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pBdr>
          <w:bottom w:val="single" w:color="1B3A6B" w:sz="12"/>
        </w:pBdr>
        <w:spacing w:after="0"/>
        <w:jc w:val="center"/>
      </w:pPr>
      <w:r>
        <w:rPr>
          <w:rFonts w:ascii="Calibri" w:cs="Calibri" w:eastAsia="Calibri" w:hAnsi="Calibri"/>
          <w:b/>
          <w:bCs/>
          <w:color w:val="1B3A6B"/>
          <w:sz w:val="36"/>
          <w:szCs w:val="36"/>
        </w:rPr>
        <w:t xml:space="preserve">ACI LATAM</w:t>
      </w:r>
    </w:p>
    <w:p>
      <w:pPr>
        <w:spacing w:after="480"/>
        <w:jc w:val="center"/>
      </w:pPr>
      <w:r>
        <w:rPr>
          <w:rFonts w:ascii="Calibri" w:cs="Calibri" w:eastAsia="Calibri" w:hAnsi="Calibri"/>
          <w:color w:val="2E75B6"/>
          <w:sz w:val="26"/>
          <w:szCs w:val="26"/>
        </w:rPr>
        <w:t xml:space="preserve">Loss Control &amp; Expediting</w:t>
      </w:r>
    </w:p>
    <w:p>
      <w:pPr>
        <w:spacing w:after="240"/>
        <w:jc w:val="center"/>
      </w:pPr>
      <w:r>
        <w:rPr>
          <w:rFonts w:ascii="Calibri" w:cs="Calibri" w:eastAsia="Calibri" w:hAnsi="Calibri"/>
          <w:b/>
          <w:bCs/>
          <w:color w:val="1B3A6B"/>
          <w:sz w:val="48"/>
          <w:szCs w:val="48"/>
        </w:rPr>
        <w:t xml:space="preserve">MANUAL DE ANÁLISIS Y SOPORTE DE DISPUTAS</w:t>
      </w:r>
    </w:p>
    <w:p>
      <w:pPr>
        <w:spacing w:after="120"/>
        <w:jc w:val="center"/>
      </w:pPr>
      <w:r>
        <w:rPr>
          <w:rFonts w:ascii="Calibri" w:cs="Calibri" w:eastAsia="Calibri" w:hAnsi="Calibri"/>
          <w:b/>
          <w:bCs/>
          <w:color w:val="1B3A6B"/>
          <w:sz w:val="40"/>
          <w:szCs w:val="40"/>
        </w:rPr>
        <w:t xml:space="preserve">LOSS CONTROL</w:t>
      </w:r>
    </w:p>
    <w:p>
      <w:pPr>
        <w:spacing w:after="240"/>
      </w:pPr>
    </w:p>
    <w:p>
      <w:pPr>
        <w:pBdr>
          <w:top w:val="single" w:color="2E75B6" w:sz="6"/>
        </w:pBdr>
        <w:spacing w:after="480"/>
        <w:jc w:val="center"/>
      </w:pPr>
      <w:r>
        <w:rPr>
          <w:rFonts w:ascii="Calibri" w:cs="Calibri" w:eastAsia="Calibri" w:hAnsi="Calibri"/>
          <w:i/>
          <w:iCs/>
          <w:color w:val="2E75B6"/>
          <w:sz w:val="26"/>
          <w:szCs w:val="26"/>
        </w:rPr>
        <w:t xml:space="preserve">Guía de Consulta Transversal Basada en Normas API MPMS</w:t>
      </w:r>
    </w:p>
    <w:p>
      <w:pPr>
        <w:spacing w:after="480"/>
      </w:pP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CCCCCC" w:sz="4"/>
              <w:left w:val="single" w:color="CCCCCC" w:sz="4"/>
              <w:bottom w:val="single" w:color="CCCCCC" w:sz="4"/>
              <w:right w:val="single" w:color="CCCCCC" w:sz="4"/>
            </w:tcBorders>
            <w:shd w:fill="1B3A6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Código</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ACI-MD-001</w:t>
            </w:r>
          </w:p>
        </w:tc>
      </w:tr>
      <w:tr>
        <w:tc>
          <w:tcPr>
            <w:tcW w:type="dxa" w:w="2880"/>
            <w:tcBorders>
              <w:top w:val="single" w:color="CCCCCC" w:sz="4"/>
              <w:left w:val="single" w:color="CCCCCC" w:sz="4"/>
              <w:bottom w:val="single" w:color="CCCCCC" w:sz="4"/>
              <w:right w:val="single" w:color="CCCCCC" w:sz="4"/>
            </w:tcBorders>
            <w:shd w:fill="1B3A6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Revisión</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01</w:t>
            </w:r>
          </w:p>
        </w:tc>
      </w:tr>
      <w:tr>
        <w:tc>
          <w:tcPr>
            <w:tcW w:type="dxa" w:w="2880"/>
            <w:tcBorders>
              <w:top w:val="single" w:color="CCCCCC" w:sz="4"/>
              <w:left w:val="single" w:color="CCCCCC" w:sz="4"/>
              <w:bottom w:val="single" w:color="CCCCCC" w:sz="4"/>
              <w:right w:val="single" w:color="CCCCCC" w:sz="4"/>
            </w:tcBorders>
            <w:shd w:fill="1B3A6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Fecha</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Junio 2026</w:t>
            </w:r>
          </w:p>
        </w:tc>
      </w:tr>
      <w:tr>
        <w:tc>
          <w:tcPr>
            <w:tcW w:type="dxa" w:w="2880"/>
            <w:tcBorders>
              <w:top w:val="single" w:color="CCCCCC" w:sz="4"/>
              <w:left w:val="single" w:color="CCCCCC" w:sz="4"/>
              <w:bottom w:val="single" w:color="CCCCCC" w:sz="4"/>
              <w:right w:val="single" w:color="CCCCCC" w:sz="4"/>
            </w:tcBorders>
            <w:shd w:fill="1B3A6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Clasificación</w:t>
            </w:r>
          </w:p>
        </w:tc>
        <w:tc>
          <w:tcPr>
            <w:tcW w:type="dxa" w:w="2880"/>
            <w:tcBorders>
              <w:top w:val="single" w:color="CCCCCC" w:sz="4"/>
              <w:left w:val="single" w:color="CCCCCC" w:sz="4"/>
              <w:bottom w:val="single" w:color="CCCCCC" w:sz="4"/>
              <w:right w:val="single" w:color="CCCCCC" w:sz="4"/>
            </w:tcBorders>
            <w:shd w:fill="D5E8F0" w:val="clear"/>
            <w:tcMar>
              <w:top w:type="dxa" w:w="100"/>
              <w:left w:type="dxa" w:w="160"/>
              <w:bottom w:type="dxa" w:w="100"/>
              <w:right w:type="dxa" w:w="160"/>
            </w:tcMar>
          </w:tcPr>
          <w:p>
            <w:pPr>
              <w:jc w:val="center"/>
            </w:pPr>
            <w:r>
              <w:rPr>
                <w:rFonts w:ascii="Calibri" w:cs="Calibri" w:eastAsia="Calibri" w:hAnsi="Calibri"/>
                <w:b/>
                <w:bCs/>
                <w:color w:val="1B3A6B"/>
                <w:sz w:val="20"/>
                <w:szCs w:val="20"/>
              </w:rPr>
              <w:t xml:space="preserve">Uso Interno — Técnico Operacional</w:t>
            </w:r>
          </w:p>
        </w:tc>
      </w:tr>
    </w:tbl>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SECCIÓN 1 — PROPÓSITO Y ALCANCE</w:t>
      </w:r>
    </w:p>
    <w:p>
      <w:pPr>
        <w:pStyle w:val="Heading2"/>
      </w:pPr>
      <w:r>
        <w:t xml:space="preserve">1.1 Propósito</w:t>
      </w:r>
    </w:p>
    <w:p>
      <w:pPr>
        <w:spacing w:after="120"/>
        <w:jc w:val="both"/>
      </w:pPr>
      <w:r>
        <w:rPr>
          <w:rFonts w:ascii="Calibri" w:cs="Calibri" w:eastAsia="Calibri" w:hAnsi="Calibri"/>
          <w:sz w:val="22"/>
          <w:szCs w:val="22"/>
        </w:rPr>
        <w:t xml:space="preserve">Este manual establece el marco técnico-normativo para el análisis objetivo y transversal de disputas en operaciones de transferencia de custodia de hidrocarburos líquidos. Provee a los inspectores y analistas de ACI una metodología estructurada para identificar la causa raíz de diferencias de cantidad y calidad, determinar responsabilidades, y fundamentar reclamaciones con base en las normas API MPMS vigentes.</w:t>
      </w:r>
    </w:p>
    <w:p>
      <w:pPr>
        <w:spacing w:after="120"/>
        <w:jc w:val="both"/>
      </w:pPr>
      <w:r>
        <w:rPr>
          <w:rFonts w:ascii="Calibri" w:cs="Calibri" w:eastAsia="Calibri" w:hAnsi="Calibri"/>
          <w:sz w:val="22"/>
          <w:szCs w:val="22"/>
        </w:rPr>
        <w:t xml:space="preserve">El presente documento es una herramienta de consulta activa: cada escenario de disputa se cruza con la(s) norma(s) API aplicable(s), los parámetros clave a verificar, los umbrales de tolerancia aceptados por la industria, y los documentos de respaldo mínimos requeridos para sustentar una posición técnica.</w:t>
      </w:r>
    </w:p>
    <w:p>
      <w:pPr>
        <w:spacing w:after="160"/>
      </w:pPr>
    </w:p>
    <w:p>
      <w:pPr>
        <w:pStyle w:val="Heading2"/>
      </w:pPr>
      <w:r>
        <w:t xml:space="preserve">1.2 Alcance</w:t>
      </w:r>
    </w:p>
    <w:p>
      <w:pPr>
        <w:spacing w:after="120"/>
        <w:jc w:val="both"/>
      </w:pPr>
      <w:r>
        <w:rPr>
          <w:rFonts w:ascii="Calibri" w:cs="Calibri" w:eastAsia="Calibri" w:hAnsi="Calibri"/>
          <w:sz w:val="22"/>
          <w:szCs w:val="22"/>
        </w:rPr>
        <w:t xml:space="preserve">Este manual aplica a las siguientes operaciones y tipos de disputa:</w:t>
      </w:r>
    </w:p>
    <w:p>
      <w:pPr>
        <w:pStyle w:val="ListParagraph"/>
        <w:numPr>
          <w:ilvl w:val="0"/>
          <w:numId w:val="2"/>
        </w:numPr>
      </w:pPr>
      <w:r>
        <w:rPr>
          <w:rFonts w:ascii="Calibri" w:cs="Calibri" w:eastAsia="Calibri" w:hAnsi="Calibri"/>
          <w:sz w:val="22"/>
          <w:szCs w:val="22"/>
        </w:rPr>
        <w:t xml:space="preserve">Operaciones de carga y descarga en buques tanque (tankers) y barcazas</w:t>
      </w:r>
    </w:p>
    <w:p>
      <w:pPr>
        <w:pStyle w:val="ListParagraph"/>
        <w:numPr>
          <w:ilvl w:val="0"/>
          <w:numId w:val="2"/>
        </w:numPr>
      </w:pPr>
      <w:r>
        <w:rPr>
          <w:rFonts w:ascii="Calibri" w:cs="Calibri" w:eastAsia="Calibri" w:hAnsi="Calibri"/>
          <w:sz w:val="22"/>
          <w:szCs w:val="22"/>
        </w:rPr>
        <w:t xml:space="preserve">Transferencias entre terminales marítimas, plantas de almacenamiento y refinerías</w:t>
      </w:r>
    </w:p>
    <w:p>
      <w:pPr>
        <w:pStyle w:val="ListParagraph"/>
        <w:numPr>
          <w:ilvl w:val="0"/>
          <w:numId w:val="2"/>
        </w:numPr>
      </w:pPr>
      <w:r>
        <w:rPr>
          <w:rFonts w:ascii="Calibri" w:cs="Calibri" w:eastAsia="Calibri" w:hAnsi="Calibri"/>
          <w:sz w:val="22"/>
          <w:szCs w:val="22"/>
        </w:rPr>
        <w:t xml:space="preserve">Recibos y entregas en instalaciones fijas (tanques atmosféricos verticales y horizontales)</w:t>
      </w:r>
    </w:p>
    <w:p>
      <w:pPr>
        <w:pStyle w:val="ListParagraph"/>
        <w:numPr>
          <w:ilvl w:val="0"/>
          <w:numId w:val="2"/>
        </w:numPr>
      </w:pPr>
      <w:r>
        <w:rPr>
          <w:rFonts w:ascii="Calibri" w:cs="Calibri" w:eastAsia="Calibri" w:hAnsi="Calibri"/>
          <w:sz w:val="22"/>
          <w:szCs w:val="22"/>
        </w:rPr>
        <w:t xml:space="preserve">Disputas de cantidad: cargo shortage (faltante) y overage (sobrante)</w:t>
      </w:r>
    </w:p>
    <w:p>
      <w:pPr>
        <w:pStyle w:val="ListParagraph"/>
        <w:numPr>
          <w:ilvl w:val="0"/>
          <w:numId w:val="2"/>
        </w:numPr>
      </w:pPr>
      <w:r>
        <w:rPr>
          <w:rFonts w:ascii="Calibri" w:cs="Calibri" w:eastAsia="Calibri" w:hAnsi="Calibri"/>
          <w:sz w:val="22"/>
          <w:szCs w:val="22"/>
        </w:rPr>
        <w:t xml:space="preserve">Disputas de calidad: contaminación de producto, agua libre, sedimentos (BS&amp;W)</w:t>
      </w:r>
    </w:p>
    <w:p>
      <w:pPr>
        <w:pStyle w:val="ListParagraph"/>
        <w:numPr>
          <w:ilvl w:val="0"/>
          <w:numId w:val="2"/>
        </w:numPr>
      </w:pPr>
      <w:r>
        <w:rPr>
          <w:rFonts w:ascii="Calibri" w:cs="Calibri" w:eastAsia="Calibri" w:hAnsi="Calibri"/>
          <w:sz w:val="22"/>
          <w:szCs w:val="22"/>
        </w:rPr>
        <w:t xml:space="preserve">Análisis y validación del VEF (Vessel Experience Factor)</w:t>
      </w:r>
    </w:p>
    <w:p>
      <w:pPr>
        <w:pStyle w:val="ListParagraph"/>
        <w:numPr>
          <w:ilvl w:val="0"/>
          <w:numId w:val="2"/>
        </w:numPr>
      </w:pPr>
      <w:r>
        <w:rPr>
          <w:rFonts w:ascii="Calibri" w:cs="Calibri" w:eastAsia="Calibri" w:hAnsi="Calibri"/>
          <w:sz w:val="22"/>
          <w:szCs w:val="22"/>
        </w:rPr>
        <w:t xml:space="preserve">Reconciliación de viaje (Voyage Analysis) y cierre de operaciones</w:t>
      </w:r>
    </w:p>
    <w:p>
      <w:pPr>
        <w:spacing w:after="160"/>
      </w:pPr>
    </w:p>
    <w:p>
      <w:pPr>
        <w:pStyle w:val="Heading2"/>
      </w:pPr>
      <w:r>
        <w:t xml:space="preserve">1.3 Marco Normativo Aplicable</w:t>
      </w:r>
    </w:p>
    <w:p>
      <w:pPr>
        <w:spacing w:after="120"/>
        <w:jc w:val="both"/>
      </w:pPr>
      <w:r>
        <w:rPr>
          <w:rFonts w:ascii="Calibri" w:cs="Calibri" w:eastAsia="Calibri" w:hAnsi="Calibri"/>
          <w:sz w:val="22"/>
          <w:szCs w:val="22"/>
        </w:rPr>
        <w:t xml:space="preserve">Las siguientes normas del API MPMS (Manual of Petroleum Measurement Standards) constituyen el marco técnico-legal de referencia para el análisis de disputas en Loss Control: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Norma</w:t>
            </w:r>
          </w:p>
        </w:tc>
        <w:tc>
          <w:tcPr>
            <w:tcW w:type="dxa" w:w="4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Título</w:t>
            </w:r>
          </w:p>
        </w:tc>
        <w:tc>
          <w:tcPr>
            <w:tcW w:type="dxa" w:w="3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Aplicación en Disputas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Vocabulario y Terminología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Definiciones base para toda disputa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3.1</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Medición Manual por Sondeo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Disputas por medición de tanques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7.1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Determinación de Temperatura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Disputas por temperatura incorrecta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8.1/8.2</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Muestreo Manual/Automático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Disputas de calidad y muestreo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9.1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Densidad por Hidrómetro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Disputas de densidad/gravity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10.1-4</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Agua y Sedimentos (BS&amp;W)</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Disputas por contenido acuoso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11.1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Factor de Corrección de Volumen (VCF)</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Disputas de corrección volumétrica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12.1</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Cálculo de Cantidades Estáticas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Base de toda liquidación estática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17.01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Inspección Marina — Guía General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Marco general para buques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17.02</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Medición de Carga en Tanques de Buque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Disputas por medición a bordo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17.05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Análisis de Viaje y Reconciliación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Reconciliación de diferencias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17.06</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Determinación de Plenitud (Ullage)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Disputas por espacio ullage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17.08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Inspección Pre-Carga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Responsabilidades antes de carga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17.09</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Factor de Experiencia del Buque (VEF)</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Análisis de confiabilidad del buque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18.1/18.2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Medición de Crudo — Procedimientos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Disputas en operaciones de crudo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MPMS Cap. 20.1</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Asignación de Producción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Reconciliación multipartita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MPMS Cap. 23.1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Reconciliación de Oleoductos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Diferencias en transporte por ducto</w:t>
            </w:r>
          </w:p>
        </w:tc>
      </w:tr>
    </w:tbl>
    <w:p>
      <w:r>
        <w:br w:type="page"/>
      </w:r>
    </w:p>
    <w:p>
      <w:pPr>
        <w:pStyle w:val="Heading1"/>
      </w:pPr>
      <w:r>
        <w:t xml:space="preserve">SECCIÓN 2 — TAXONOMÍA DE DISPUTAS</w:t>
      </w:r>
    </w:p>
    <w:p>
      <w:pPr>
        <w:pStyle w:val="Heading2"/>
      </w:pPr>
      <w:r>
        <w:t xml:space="preserve">2.1 Clasificación por Tipo de Disputa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000"/>
        <w:gridCol w:w="2060"/>
      </w:tblGrid>
      <w:tr>
        <w:trPr>
          <w:tblHeader/>
        </w:trPr>
        <w:tc>
          <w:tcPr>
            <w:tcW w:type="dxa" w:w="23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Tipo de Disputa</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w:t>
            </w:r>
          </w:p>
        </w:tc>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Norma(s) Principal(es)</w:t>
            </w:r>
          </w:p>
        </w:tc>
        <w:tc>
          <w:tcPr>
            <w:tcW w:type="dxa" w:w="20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Indicador Clave</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Diferencia de Cantidad (Shore vs. Ship)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Diferencia entre medición en tierra y a bordo del buque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17.02, 17.05, 12.1</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ΔQ &gt; tolerancia admisible (&gt;0.3%)</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Diferencia por VEF fuera de rango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VEF del buque histórico no refleja carga actual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17.09</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VEF &lt; 0.9970 o &gt; 1.0030</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Error de Corrección VCF</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Temperatura o densidad usada incorrectamente en el cálculo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11.1</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ΔVCF &gt; 0.0005</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Disputa de Agua Libre / BS&amp;W</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Exceso de agua o sedimentos detectado en cargamento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10.1, 10.4, 8.1</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BS&amp;W descarga &gt; BS&amp;W certificado origen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Error de Calibración de Tanque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Tablas de calibración del buque incorrectas o vencidas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2.2A, 2.7, 17.07</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Tabla no certificada o &gt;5 años</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Muestreo no representativo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Muestra tomada fuera de procedimiento o sin cadena de custodia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8.1, 8.2</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No cumple frecuencia/posición/custodia</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Sondeo incorrecto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Lectura de nivel errónea o sin corrección de trim/lista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3.1, 17.02</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Sin sondeo cruzado / trim no aplicado</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Temperatura no representativa</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Temperatura medida fuera de procedimiento o en punto único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7.1</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Sin promedio de múltiples puntos/capas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Short Loading (carga incompleta)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Buque no recibió la cantidad total contratada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17.05, 18.1</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BL &lt; Nominated Quantity</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Contaminación de producto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Producto fuera de especificación detectado en destino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8.1, 9.1, 17.03</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COQ destino fuera de spec COQ origen</w:t>
            </w:r>
          </w:p>
        </w:tc>
      </w:tr>
    </w:tbl>
    <w:p>
      <w:pPr>
        <w:spacing w:after="160"/>
      </w:pPr>
    </w:p>
    <w:p>
      <w:pPr>
        <w:pStyle w:val="Heading2"/>
      </w:pPr>
      <w:r>
        <w:t xml:space="preserve">2.2 Clasificación por Etapa de la Operación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Etapa</w:t>
            </w:r>
          </w:p>
        </w:tc>
        <w:tc>
          <w:tcPr>
            <w:tcW w:type="dxa" w:w="4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Disputas Típicas</w:t>
            </w:r>
          </w:p>
        </w:tc>
        <w:tc>
          <w:tcPr>
            <w:tcW w:type="dxa" w:w="3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Documentos Clave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Pre-Carga</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Inspección de tanques, residuos (OBQ), calibración de instrumentos, productos anteriores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Pre-Load Survey (API 17.08), Sounding Sheets, Calibration Certs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Carga (Loading)</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Short loading, contaminación durante carga, muestreo incorrecto, temperatura incorrecta</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Bill of Lading, Shore Figures, COQ, Temperature Log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Tránsito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Pérdida en tránsito, contaminación en línea, variaciones de temperatura en tanques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VEF histórico (API 17.09), Ship Log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Descarga (Discharge)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Diferencia Shore vs. Ship, BS&amp;W elevado, sondeos no acordados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Discharge Figures, Ship Ullage Report, BS&amp;W Report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Post-Descarga / Cierre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Reconciliación final, ROB no acordado, reclamación formal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Voyage Analysis (API 17.05), NOR, Protest Letter</w:t>
            </w:r>
          </w:p>
        </w:tc>
      </w:tr>
    </w:tbl>
    <w:p>
      <w:r>
        <w:br w:type="page"/>
      </w:r>
    </w:p>
    <w:p>
      <w:pPr>
        <w:pStyle w:val="Heading1"/>
      </w:pPr>
      <w:r>
        <w:t xml:space="preserve">SECCIÓN 3 — METODOLOGÍA DE ANÁLISIS DE DISPUTAS</w:t>
      </w:r>
    </w:p>
    <w:p>
      <w:pPr>
        <w:spacing w:after="120"/>
        <w:jc w:val="both"/>
      </w:pPr>
      <w:r>
        <w:rPr>
          <w:rFonts w:ascii="Calibri" w:cs="Calibri" w:eastAsia="Calibri" w:hAnsi="Calibri"/>
          <w:sz w:val="22"/>
          <w:szCs w:val="22"/>
        </w:rPr>
        <w:t xml:space="preserve">El análisis de una disputa debe ser sistemático, documentado y reproducible. Los siguientes seis pasos garantizan objetividad técnica y fundamento normativo en toda reclamación o defensa que presente ACI.</w:t>
      </w:r>
    </w:p>
    <w:p>
      <w:pPr>
        <w:spacing w:after="160"/>
      </w:pPr>
    </w:p>
    <w:p>
      <w:pPr>
        <w:pStyle w:val="Heading2"/>
      </w:pPr>
      <w:r>
        <w:t xml:space="preserve">Paso 1 — Identificar el Tipo de Disputa</w:t>
      </w:r>
    </w:p>
    <w:p>
      <w:pPr>
        <w:spacing w:after="120"/>
        <w:jc w:val="both"/>
      </w:pPr>
      <w:r>
        <w:rPr>
          <w:rFonts w:ascii="Calibri" w:cs="Calibri" w:eastAsia="Calibri" w:hAnsi="Calibri"/>
          <w:sz w:val="22"/>
          <w:szCs w:val="22"/>
        </w:rPr>
        <w:t xml:space="preserve">Determinar si la disputa es de cantidad, calidad, o mixta:</w:t>
      </w:r>
    </w:p>
    <w:p>
      <w:pPr>
        <w:pStyle w:val="ListParagraph"/>
        <w:numPr>
          <w:ilvl w:val="0"/>
          <w:numId w:val="2"/>
        </w:numPr>
      </w:pPr>
      <w:r>
        <w:rPr>
          <w:rFonts w:ascii="Calibri" w:cs="Calibri" w:eastAsia="Calibri" w:hAnsi="Calibri"/>
          <w:sz w:val="22"/>
          <w:szCs w:val="22"/>
        </w:rPr>
        <w:t xml:space="preserve">¿Hay diferencia en el volumen liquidado (GOV/GSV/NSV)? → Disputa de CANTIDAD — ver Sección 4</w:t>
      </w:r>
    </w:p>
    <w:p>
      <w:pPr>
        <w:pStyle w:val="ListParagraph"/>
        <w:numPr>
          <w:ilvl w:val="0"/>
          <w:numId w:val="2"/>
        </w:numPr>
      </w:pPr>
      <w:r>
        <w:rPr>
          <w:rFonts w:ascii="Calibri" w:cs="Calibri" w:eastAsia="Calibri" w:hAnsi="Calibri"/>
          <w:sz w:val="22"/>
          <w:szCs w:val="22"/>
        </w:rPr>
        <w:t xml:space="preserve">¿Hay discrepancia en parámetros de calidad (densidad, BS&amp;W, viscosidad, contaminantes)? → Disputa de CALIDAD — ver Sección 5</w:t>
      </w:r>
    </w:p>
    <w:p>
      <w:pPr>
        <w:pStyle w:val="ListParagraph"/>
        <w:numPr>
          <w:ilvl w:val="0"/>
          <w:numId w:val="2"/>
        </w:numPr>
      </w:pPr>
      <w:r>
        <w:rPr>
          <w:rFonts w:ascii="Calibri" w:cs="Calibri" w:eastAsia="Calibri" w:hAnsi="Calibri"/>
          <w:sz w:val="22"/>
          <w:szCs w:val="22"/>
        </w:rPr>
        <w:t xml:space="preserve">¿Ambas condiciones se presentan simultáneamente? → Disputa MIXTA — aplicar Secciones 4 y 5</w:t>
      </w:r>
    </w:p>
    <w:p>
      <w:pPr>
        <w:spacing w:after="160"/>
      </w:pPr>
    </w:p>
    <w:p>
      <w:pPr>
        <w:pStyle w:val="Heading2"/>
      </w:pPr>
      <w:r>
        <w:t xml:space="preserve">Paso 2 — Verificar la Documentación Base</w:t>
      </w:r>
    </w:p>
    <w:p>
      <w:pPr>
        <w:spacing w:after="120"/>
        <w:jc w:val="both"/>
      </w:pPr>
      <w:r>
        <w:rPr>
          <w:rFonts w:ascii="Calibri" w:cs="Calibri" w:eastAsia="Calibri" w:hAnsi="Calibri"/>
          <w:sz w:val="22"/>
          <w:szCs w:val="22"/>
        </w:rPr>
        <w:t xml:space="preserve">Antes de cualquier análisis, confirmar disponibilidad y validez de la documentación requerida: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460"/>
      </w:tblGrid>
      <w:tr>
        <w:trPr>
          <w:tblHeader/>
        </w:trPr>
        <w:tc>
          <w:tcPr>
            <w:tcW w:type="dxa" w:w="4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Documento Requerido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Norma de Referencia</w:t>
            </w:r>
          </w:p>
        </w:tc>
        <w:tc>
          <w:tcPr>
            <w:tcW w:type="dxa" w:w="24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Estado</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Bill of Lading (BL) con cifras Shore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18.1</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Ship's Ullage Report (carga y descarga)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17.02</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Certificate of Quality (COQ)</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8.1, 9.1</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Calibration Certificates de tanques del buque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2.7, 17.07</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VCF aplicados (Tabla 6A/6B/6C/6D)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11.1</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VEF histórico del buque (mín. 6 viajes)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17.09</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Temperature logs (múltiples mediciones)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7.1</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BS&amp;W Report (origen y destino)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10.1-4</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Pre-Load Survey Report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17.08</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r>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Notice of Readiness (NOR)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17.01</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Calibri" w:cs="Calibri" w:eastAsia="Calibri" w:hAnsi="Calibri"/>
                <w:sz w:val="22"/>
                <w:szCs w:val="22"/>
              </w:rPr>
              <w:t xml:space="preserve">☐</w:t>
            </w:r>
          </w:p>
        </w:tc>
      </w:tr>
    </w:tbl>
    <w:p>
      <w:pPr>
        <w:spacing w:after="160"/>
      </w:pPr>
    </w:p>
    <w:p>
      <w:pPr>
        <w:pStyle w:val="Heading2"/>
      </w:pPr>
      <w:r>
        <w:t xml:space="preserve">Paso 3 — Calcular la Diferencia Real</w:t>
      </w:r>
    </w:p>
    <w:p>
      <w:pPr>
        <w:spacing w:after="120"/>
        <w:jc w:val="both"/>
      </w:pPr>
      <w:r>
        <w:rPr>
          <w:rFonts w:ascii="Calibri" w:cs="Calibri" w:eastAsia="Calibri" w:hAnsi="Calibri"/>
          <w:sz w:val="22"/>
          <w:szCs w:val="22"/>
        </w:rPr>
        <w:t xml:space="preserve">Aplicar las siguientes fórmulas para cuantificar la diferencia observada: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none" w:color="FFFFFF" w:sz="0"/>
            </w:tcBorders>
            <w:shd w:fill="D5E8F0" w:val="clear"/>
            <w:tcMar>
              <w:top w:type="dxa" w:w="100"/>
              <w:left w:type="dxa" w:w="160"/>
              <w:bottom w:type="dxa" w:w="100"/>
              <w:right w:type="dxa" w:w="160"/>
            </w:tcMar>
          </w:tcPr>
          <w:p>
            <w:r>
              <w:rPr>
                <w:rFonts w:ascii="Calibri" w:cs="Calibri" w:eastAsia="Calibri" w:hAnsi="Calibri"/>
                <w:b/>
                <w:bCs/>
                <w:sz w:val="22"/>
                <w:szCs w:val="22"/>
              </w:rPr>
              <w:t xml:space="preserve">FÓRMULA DE DIFERENCIA SHORE-SHIP:</w:t>
            </w:r>
          </w:p>
          <w:p>
            <w:r>
              <w:rPr>
                <w:rFonts w:ascii="Calibri" w:cs="Calibri" w:eastAsia="Calibri" w:hAnsi="Calibri"/>
                <w:b w:val="false"/>
                <w:bCs w:val="false"/>
                <w:sz w:val="22"/>
                <w:szCs w:val="22"/>
              </w:rPr>
              <w:t xml:space="preserve">  Diferencia (%) = (Shore Fig. − Ship Fig.) / Shore Fig. × 100</w:t>
            </w:r>
          </w:p>
          <w:p>
            <w:r>
              <w:rPr>
                <w:rFonts w:ascii="Calibri" w:cs="Calibri" w:eastAsia="Calibri" w:hAnsi="Calibri"/>
                <w:b/>
                <w:bCs/>
                <w:sz w:val="22"/>
                <w:szCs w:val="22"/>
              </w:rPr>
              <w:t xml:space="preserve"/>
            </w:r>
          </w:p>
          <w:p>
            <w:r>
              <w:rPr>
                <w:rFonts w:ascii="Calibri" w:cs="Calibri" w:eastAsia="Calibri" w:hAnsi="Calibri"/>
                <w:b/>
                <w:bCs/>
                <w:sz w:val="22"/>
                <w:szCs w:val="22"/>
              </w:rPr>
              <w:t xml:space="preserve">LÍMITE DE TOLERANCIA ADMISIBLE (API MPMS Cap. 17.05):</w:t>
            </w:r>
          </w:p>
          <w:p>
            <w:r>
              <w:rPr>
                <w:rFonts w:ascii="Calibri" w:cs="Calibri" w:eastAsia="Calibri" w:hAnsi="Calibri"/>
                <w:b w:val="false"/>
                <w:bCs w:val="false"/>
                <w:sz w:val="22"/>
                <w:szCs w:val="22"/>
              </w:rPr>
              <w:t xml:space="preserve">  Tolerancia aceptada por la industria: ±0.3% (crudo) | ±0.2% (productos refinados)</w:t>
            </w:r>
          </w:p>
          <w:p>
            <w:r>
              <w:rPr>
                <w:rFonts w:ascii="Calibri" w:cs="Calibri" w:eastAsia="Calibri" w:hAnsi="Calibri"/>
                <w:b/>
                <w:bCs/>
                <w:sz w:val="22"/>
                <w:szCs w:val="22"/>
              </w:rPr>
              <w:t xml:space="preserve"/>
            </w:r>
          </w:p>
          <w:p>
            <w:r>
              <w:rPr>
                <w:rFonts w:ascii="Calibri" w:cs="Calibri" w:eastAsia="Calibri" w:hAnsi="Calibri"/>
                <w:b/>
                <w:bCs/>
                <w:sz w:val="22"/>
                <w:szCs w:val="22"/>
              </w:rPr>
              <w:t xml:space="preserve">CRITERIO DE ACCIÓN:</w:t>
            </w:r>
          </w:p>
          <w:p>
            <w:r>
              <w:rPr>
                <w:rFonts w:ascii="Calibri" w:cs="Calibri" w:eastAsia="Calibri" w:hAnsi="Calibri"/>
                <w:b w:val="false"/>
                <w:bCs w:val="false"/>
                <w:sz w:val="22"/>
                <w:szCs w:val="22"/>
              </w:rPr>
              <w:t xml:space="preserve">  Diferencia &lt; tolerancia → documentar y cerrar operación</w:t>
            </w:r>
          </w:p>
          <w:p>
            <w:r>
              <w:rPr>
                <w:rFonts w:ascii="Calibri" w:cs="Calibri" w:eastAsia="Calibri" w:hAnsi="Calibri"/>
                <w:b w:val="false"/>
                <w:bCs w:val="false"/>
                <w:sz w:val="22"/>
                <w:szCs w:val="22"/>
              </w:rPr>
              <w:t xml:space="preserve">  Diferencia ≥ tolerancia → continuar análisis causa raíz (Paso 4)</w:t>
            </w:r>
          </w:p>
        </w:tc>
      </w:tr>
    </w:tbl>
    <w:p>
      <w:pPr>
        <w:spacing w:after="160"/>
      </w:pPr>
    </w:p>
    <w:p>
      <w:pPr>
        <w:pStyle w:val="Heading2"/>
      </w:pPr>
      <w:r>
        <w:t xml:space="preserve">Paso 4 — Identificar Causa Raíz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Posible Causa</w:t>
            </w:r>
          </w:p>
        </w:tc>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Norma Aplicable</w:t>
            </w:r>
          </w:p>
        </w:tc>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Evidencia Requerida</w:t>
            </w:r>
          </w:p>
        </w:tc>
        <w:tc>
          <w:tcPr>
            <w:tcW w:type="dxa" w:w="19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 Probable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Tablas de calibración del buque incorrectas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2.7, 17.07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Fecha de calibración, diferencia histórica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Buque / Armador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Trim y/o lista no corregidos en sondeo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3.1, 17.02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Logs de trim/lista vs. corrección aplicada</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Buque / Oficial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VCF calculado con temperatura incorrecta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Temperature log vs. VCF aplicado en BL</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Terminal / Buque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Tabla VCF incorrecta para el producto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11.1 (Tab. 6A-6D)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Producto, API gravity, tabla usada</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Liquidador / Terminal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Muestreo no representativo del producto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8.1, 8.2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Protocolo de muestreo, posición, frecuencia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Terminal / Inspector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OBQ/ROB excesivo o no acordado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17.02, 17.05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Pre-load survey, sounding sheets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Buque / Inspector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Instrumento de medición descalibrado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3.1, 7.1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Último certificado de calibración</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Terminal o Buque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Error de lectura o transcripción de sondeo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3.1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Sounding sheets, counter-sounding</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Inspector / Oficial</w:t>
            </w:r>
          </w:p>
        </w:tc>
      </w:tr>
    </w:tbl>
    <w:p>
      <w:pPr>
        <w:spacing w:after="160"/>
      </w:pPr>
    </w:p>
    <w:p>
      <w:pPr>
        <w:pStyle w:val="Heading2"/>
      </w:pPr>
      <w:r>
        <w:t xml:space="preserve">Paso 5 — Determinar Responsabilidad</w:t>
      </w:r>
    </w:p>
    <w:p>
      <w:pPr>
        <w:spacing w:after="120"/>
        <w:jc w:val="both"/>
      </w:pPr>
      <w:r>
        <w:rPr>
          <w:rFonts w:ascii="Calibri" w:cs="Calibri" w:eastAsia="Calibri" w:hAnsi="Calibri"/>
          <w:sz w:val="22"/>
          <w:szCs w:val="22"/>
        </w:rPr>
        <w:t xml:space="preserve">La responsabilidad debe asignarse con base en evidencia documental y referencia explícita a la norma API aplicable. Las tres categorías 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Categoría</w:t>
            </w:r>
          </w:p>
        </w:tc>
        <w:tc>
          <w:tcPr>
            <w:tcW w:type="dxa" w:w="4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Indicadores de Responsabilidad</w:t>
            </w:r>
          </w:p>
        </w:tc>
        <w:tc>
          <w:tcPr>
            <w:tcW w:type="dxa" w:w="2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Norma Base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Responsabilidad del Buque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Tabla de calibración vencida o incorrecta
VEF histórico fuera de rango
Sondeo sin corrección de trim/lista
Instrumentos del buque descalibrados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17.07, 17.09, 3.1</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Responsabilidad de Terminal</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Medidor Shore sin calibración vigente
Temperatura registrada en un solo punto
Muestreo no proporcional al flujo
Error en selección de tabla VCF</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5.1, 7.1, 8.1, 11.1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Error de Medición / Procedimiento</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Procedimiento no seguido por inspector
Documentación incompleta o no firmada
Desviación del procedimiento API sin protest letter
Falta de counter-sounding acordado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17.01, 17.02, 18.1</w:t>
            </w:r>
          </w:p>
        </w:tc>
      </w:tr>
    </w:tbl>
    <w:p>
      <w:pPr>
        <w:spacing w:after="160"/>
      </w:pPr>
    </w:p>
    <w:p>
      <w:pPr>
        <w:pStyle w:val="Heading2"/>
      </w:pPr>
      <w:r>
        <w:t xml:space="preserve">Paso 6 — Elaborar el Reporte de Análisis</w:t>
      </w:r>
    </w:p>
    <w:p>
      <w:pPr>
        <w:spacing w:after="120"/>
        <w:jc w:val="both"/>
      </w:pPr>
      <w:r>
        <w:rPr>
          <w:rFonts w:ascii="Calibri" w:cs="Calibri" w:eastAsia="Calibri" w:hAnsi="Calibri"/>
          <w:sz w:val="22"/>
          <w:szCs w:val="22"/>
        </w:rPr>
        <w:t xml:space="preserve">Con todos los elementos anteriores verificados, el inspector debe elaborar el Reporte de Análisis Técnico siguiendo la estructura descrita en la Sección 7 de este manual. El reporte debe estar referenciado a secciones específicas de las normas API aplicables, no solo al número de capítulo.</w:t>
      </w:r>
    </w:p>
    <w:p>
      <w:r>
        <w:br w:type="page"/>
      </w:r>
    </w:p>
    <w:p>
      <w:pPr>
        <w:pStyle w:val="Heading1"/>
      </w:pPr>
      <w:r>
        <w:t xml:space="preserve">SECCIÓN 4 — ANÁLISIS DE DISPUTAS DE CANTIDAD</w:t>
      </w:r>
    </w:p>
    <w:p>
      <w:pPr>
        <w:pStyle w:val="Heading2"/>
      </w:pPr>
      <w:r>
        <w:t xml:space="preserve">4.1 Shore vs. Ship — Metodología Completa</w:t>
      </w:r>
    </w:p>
    <w:p>
      <w:pPr>
        <w:spacing w:after="120"/>
        <w:jc w:val="both"/>
      </w:pPr>
      <w:r>
        <w:rPr>
          <w:rFonts w:ascii="Calibri" w:cs="Calibri" w:eastAsia="Calibri" w:hAnsi="Calibri"/>
          <w:sz w:val="22"/>
          <w:szCs w:val="22"/>
        </w:rPr>
        <w:t xml:space="preserve">El análisis Shore vs. Ship es el proceso central de toda disputa de cantidad. El objetivo es determinar si la diferencia observada se debe a error de medición, procedimiento, instrumento, o pérdida real.</w:t>
      </w:r>
    </w:p>
    <w:p>
      <w:pPr>
        <w:spacing w:after="120"/>
      </w:pPr>
    </w:p>
    <w:p>
      <w:pPr>
        <w:spacing w:after="120"/>
      </w:pPr>
      <w:r>
        <w:rPr>
          <w:rFonts w:ascii="Calibri" w:cs="Calibri" w:eastAsia="Calibri" w:hAnsi="Calibri"/>
          <w:b/>
          <w:bCs/>
          <w:sz w:val="22"/>
          <w:szCs w:val="22"/>
        </w:rPr>
        <w:t xml:space="preserve">a) Verificar figures de shore (terminal): </w:t>
      </w:r>
      <w:r>
        <w:rPr>
          <w:rFonts w:ascii="Calibri" w:cs="Calibri" w:eastAsia="Calibri" w:hAnsi="Calibri"/>
          <w:sz w:val="22"/>
          <w:szCs w:val="22"/>
        </w:rPr>
        <w:t xml:space="preserve">Obtener GOV, GSV, NSV, temperatura observada, densidad @15°C y VCF aplicado. Verificar que los cálculos sigan API MPMS Cap. 12.1 (static calculations). Confirmar que la tabla VCF es la correcta para el producto (Tabla 6A para crudos, 6B para productos generales, 6C para lubricantes, 6D para especiales).</w:t>
      </w:r>
    </w:p>
    <w:p>
      <w:pPr>
        <w:spacing w:after="120"/>
      </w:pPr>
      <w:r>
        <w:rPr>
          <w:rFonts w:ascii="Calibri" w:cs="Calibri" w:eastAsia="Calibri" w:hAnsi="Calibri"/>
          <w:b/>
          <w:bCs/>
          <w:sz w:val="22"/>
          <w:szCs w:val="22"/>
        </w:rPr>
        <w:t xml:space="preserve">b) Verificar figures del buque: </w:t>
      </w:r>
      <w:r>
        <w:rPr>
          <w:rFonts w:ascii="Calibri" w:cs="Calibri" w:eastAsia="Calibri" w:hAnsi="Calibri"/>
          <w:sz w:val="22"/>
          <w:szCs w:val="22"/>
        </w:rPr>
        <w:t xml:space="preserve">Obtener Ship Ullage Report con sondeos (ullage/innage) de cada tanque. Verificar corrección de trim (Trim Correction) y lista (List Correction) según API MPMS Cap. 17.02. Confirmar uso de tablas de calibración certificadas y vigentes (API 2.7, 17.07).</w:t>
      </w:r>
    </w:p>
    <w:p>
      <w:pPr>
        <w:spacing w:after="120"/>
      </w:pPr>
      <w:r>
        <w:rPr>
          <w:rFonts w:ascii="Calibri" w:cs="Calibri" w:eastAsia="Calibri" w:hAnsi="Calibri"/>
          <w:b/>
          <w:bCs/>
          <w:sz w:val="22"/>
          <w:szCs w:val="22"/>
        </w:rPr>
        <w:t xml:space="preserve">c) Recalcular GOV/GSV/NSV independientemente: </w:t>
      </w:r>
      <w:r>
        <w:rPr>
          <w:rFonts w:ascii="Calibri" w:cs="Calibri" w:eastAsia="Calibri" w:hAnsi="Calibri"/>
          <w:sz w:val="22"/>
          <w:szCs w:val="22"/>
        </w:rPr>
        <w:t xml:space="preserve">El inspector ACI debe recalcular las cantidades usando los mismos datos crudos (sondeos, temperaturas, densidades) para verificar la aritmética de ambas partes.</w:t>
      </w:r>
    </w:p>
    <w:p>
      <w:pPr>
        <w:spacing w:after="120"/>
      </w:pPr>
      <w:r>
        <w:rPr>
          <w:rFonts w:ascii="Calibri" w:cs="Calibri" w:eastAsia="Calibri" w:hAnsi="Calibri"/>
          <w:b/>
          <w:bCs/>
          <w:sz w:val="22"/>
          <w:szCs w:val="22"/>
        </w:rPr>
        <w:t xml:space="preserve">d) Comparar y calcular diferencia: </w:t>
      </w:r>
      <w:r>
        <w:rPr>
          <w:rFonts w:ascii="Calibri" w:cs="Calibri" w:eastAsia="Calibri" w:hAnsi="Calibri"/>
          <w:sz w:val="22"/>
          <w:szCs w:val="22"/>
        </w:rPr>
        <w:t xml:space="preserve">Aplicar la fórmula de la Sección 3, Paso 3. Si la diferencia es &lt; tolerancia: documentar y cerrar. Si ≥ tolerancia: aplicar análisis VEF.</w:t>
      </w:r>
    </w:p>
    <w:p>
      <w:pPr>
        <w:spacing w:after="120"/>
      </w:pPr>
      <w:r>
        <w:rPr>
          <w:rFonts w:ascii="Calibri" w:cs="Calibri" w:eastAsia="Calibri" w:hAnsi="Calibri"/>
          <w:b/>
          <w:bCs/>
          <w:sz w:val="22"/>
          <w:szCs w:val="22"/>
        </w:rPr>
        <w:t xml:space="preserve">e) Aplicar VEF si diferencia es significativa: </w:t>
      </w:r>
      <w:r>
        <w:rPr>
          <w:rFonts w:ascii="Calibri" w:cs="Calibri" w:eastAsia="Calibri" w:hAnsi="Calibri"/>
          <w:sz w:val="22"/>
          <w:szCs w:val="22"/>
        </w:rPr>
        <w:t xml:space="preserve">Si la diferencia persiste después de verificar procedimientos, aplicar el VEF histórico del buque (API 17.09) para determinar si la diferencia es sistemática o puntual.</w:t>
      </w:r>
    </w:p>
    <w:p>
      <w:pPr>
        <w:spacing w:after="120"/>
      </w:pPr>
      <w:r>
        <w:rPr>
          <w:rFonts w:ascii="Calibri" w:cs="Calibri" w:eastAsia="Calibri" w:hAnsi="Calibri"/>
          <w:b/>
          <w:bCs/>
          <w:sz w:val="22"/>
          <w:szCs w:val="22"/>
        </w:rPr>
        <w:t xml:space="preserve">f) Documentar conclusión con base normativa: </w:t>
      </w:r>
      <w:r>
        <w:rPr>
          <w:rFonts w:ascii="Calibri" w:cs="Calibri" w:eastAsia="Calibri" w:hAnsi="Calibri"/>
          <w:sz w:val="22"/>
          <w:szCs w:val="22"/>
        </w:rPr>
        <w:t xml:space="preserve">Todo hallazgo debe citar la sección específica de la norma API que fue incumplida o que justifica la posición técnica adoptada.</w:t>
      </w:r>
    </w:p>
    <w:p>
      <w:pPr>
        <w:spacing w:after="160"/>
      </w:pPr>
    </w:p>
    <w:p>
      <w:pPr>
        <w:pStyle w:val="Heading2"/>
      </w:pPr>
      <w:r>
        <w:t xml:space="preserve">4.2 VEF — Análisis del Factor de Experiencia del Buque</w:t>
      </w:r>
    </w:p>
    <w:p>
      <w:pPr>
        <w:spacing w:after="120"/>
        <w:jc w:val="both"/>
      </w:pPr>
      <w:r>
        <w:rPr>
          <w:rFonts w:ascii="Calibri" w:cs="Calibri" w:eastAsia="Calibri" w:hAnsi="Calibri"/>
          <w:sz w:val="22"/>
          <w:szCs w:val="22"/>
        </w:rPr>
        <w:t xml:space="preserve">El VEF (Vessel Experience Factor) es un promedio ponderado de las relaciones Ship/Shore calculadas en los viajes previos del buque para el mismo tipo de producto y condición de operación. Está definido en API MPMS Cap. 17.09 y es reconocido internacionalmente como herramienta objetiva para evaluar la confiabilidad histórica de las mediciones del buque.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none" w:color="FFFFFF" w:sz="0"/>
            </w:tcBorders>
            <w:shd w:fill="D5E8F0" w:val="clear"/>
            <w:tcMar>
              <w:top w:type="dxa" w:w="100"/>
              <w:left w:type="dxa" w:w="160"/>
              <w:bottom w:type="dxa" w:w="100"/>
              <w:right w:type="dxa" w:w="160"/>
            </w:tcMar>
          </w:tcPr>
          <w:p>
            <w:r>
              <w:rPr>
                <w:rFonts w:ascii="Calibri" w:cs="Calibri" w:eastAsia="Calibri" w:hAnsi="Calibri"/>
                <w:b/>
                <w:bCs/>
                <w:sz w:val="22"/>
                <w:szCs w:val="22"/>
              </w:rPr>
              <w:t xml:space="preserve">FÓRMULA VEF (API MPMS Cap. 17.09):</w:t>
            </w:r>
          </w:p>
          <w:p>
            <w:r>
              <w:rPr>
                <w:rFonts w:ascii="Calibri" w:cs="Calibri" w:eastAsia="Calibri" w:hAnsi="Calibri"/>
                <w:b w:val="false"/>
                <w:bCs w:val="false"/>
                <w:sz w:val="22"/>
                <w:szCs w:val="22"/>
              </w:rPr>
              <w:t xml:space="preserve">  VEF = Σ (Ship Fig. / Shore Fig. × Peso_n) / Σ Peso_n</w:t>
            </w:r>
          </w:p>
          <w:p>
            <w:r>
              <w:rPr>
                <w:rFonts w:ascii="Calibri" w:cs="Calibri" w:eastAsia="Calibri" w:hAnsi="Calibri"/>
                <w:b/>
                <w:bCs/>
                <w:sz w:val="22"/>
                <w:szCs w:val="22"/>
              </w:rPr>
              <w:t xml:space="preserve"/>
            </w:r>
          </w:p>
          <w:p>
            <w:r>
              <w:rPr>
                <w:rFonts w:ascii="Calibri" w:cs="Calibri" w:eastAsia="Calibri" w:hAnsi="Calibri"/>
                <w:b w:val="false"/>
                <w:bCs w:val="false"/>
                <w:sz w:val="22"/>
                <w:szCs w:val="22"/>
              </w:rPr>
              <w:t xml:space="preserve">  Donde Peso_n es la cantidad cargada en cada viaje n</w:t>
            </w:r>
          </w:p>
          <w:p>
            <w:r>
              <w:rPr>
                <w:rFonts w:ascii="Calibri" w:cs="Calibri" w:eastAsia="Calibri" w:hAnsi="Calibri"/>
                <w:b w:val="false"/>
                <w:bCs w:val="false"/>
                <w:sz w:val="22"/>
                <w:szCs w:val="22"/>
              </w:rPr>
              <w:t xml:space="preserve">  Mínimo recomendado: 6 viajes para VEF estadísticamente confiable</w:t>
            </w:r>
          </w:p>
          <w:p>
            <w:r>
              <w:rPr>
                <w:rFonts w:ascii="Calibri" w:cs="Calibri" w:eastAsia="Calibri" w:hAnsi="Calibri"/>
                <w:b w:val="false"/>
                <w:bCs w:val="false"/>
                <w:sz w:val="22"/>
                <w:szCs w:val="22"/>
              </w:rPr>
              <w:t xml:space="preserve">  Rango de aplicación normal: VEF entre 0.9970 y 1.0030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Rango VEF</w:t>
            </w:r>
          </w:p>
        </w:tc>
        <w:tc>
          <w:tcPr>
            <w:tcW w:type="dxa" w:w="4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Interpretación</w:t>
            </w:r>
          </w:p>
        </w:tc>
        <w:tc>
          <w:tcPr>
            <w:tcW w:type="dxa" w:w="3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Acción Recomendada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VEF &lt; 0.9950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Buque mide sistemáticamente MENOS que shore — muy bajo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Investigar fugas, tabla de calibración, instrumentos a bordo. Considerar survey independiente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0.9950 – 0.9970</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VEF bajo — fuera del rango normal</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Revisar historial de los últimos 10 viajes. Solicitar inspección de tabla de calibración del buque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0.9970 – 1.0030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Rango normal aceptable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Sin acción especial. Documentar VEF en reporte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1.0030 – 1.0050</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VEF alto — fuera del rango normal</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Revisar procedimiento de sondeo a bordo. Verificar correcciones de trim/lista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VEF &gt; 1.0050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Buque mide sistemáticamente MÁS que shore — muy alto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Verificar expansión térmica de tanques, método de sondeo, lectura de cartas de calibración</w:t>
            </w:r>
          </w:p>
        </w:tc>
      </w:tr>
    </w:tbl>
    <w:p>
      <w:pPr>
        <w:spacing w:after="160"/>
      </w:pPr>
    </w:p>
    <w:p>
      <w:pPr>
        <w:pStyle w:val="Heading2"/>
      </w:pPr>
      <w:r>
        <w:t xml:space="preserve">4.3 Reconciliación de Viaje — Voyage Analysis (API 17.05)</w:t>
      </w:r>
    </w:p>
    <w:p>
      <w:pPr>
        <w:spacing w:after="120"/>
        <w:jc w:val="both"/>
      </w:pPr>
      <w:r>
        <w:rPr>
          <w:rFonts w:ascii="Calibri" w:cs="Calibri" w:eastAsia="Calibri" w:hAnsi="Calibri"/>
          <w:sz w:val="22"/>
          <w:szCs w:val="22"/>
        </w:rPr>
        <w:t xml:space="preserve">El Voyage Analysis es la herramienta de reconciliación completa para un viaje. Permite identificar pérdidas reales, errores de medición, y distribuir responsabilidades. Se realiza al cierre de cada operación.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Componente</w:t>
            </w:r>
          </w:p>
        </w:tc>
        <w:tc>
          <w:tcPr>
            <w:tcW w:type="dxa" w:w="38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Definición</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Fuente de Datos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OBQ (On Board Quantity)</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Cantidad de producto a bordo antes de iniciar la carga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Pre-load survey (API 17.08)</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Loaded Quantity</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Cantidad cargada según cifras Shore (BL figures)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Bill of Lading / Shore Meters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Arrival Quantity</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Cantidad a bordo al arribo a destino (Ship figures)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Ship's Ullage Report en destino</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Discharged Quantity</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Cantidad entregada según cifras Shore en destino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Shore Meters / Tank Gauges destino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ROB (Retained on Board)</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Cantidad remanente en tanques del buque post-descarga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Post-discharge sounding (API 17.02)</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Unaccounted Difference</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Loaded − (Discharged + ROB) = diferencia no explicada</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Cálculo final del Voyage Analysis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none" w:color="FFFFFF" w:sz="0"/>
            </w:tcBorders>
            <w:shd w:fill="D5E8F0" w:val="clear"/>
            <w:tcMar>
              <w:top w:type="dxa" w:w="100"/>
              <w:left w:type="dxa" w:w="160"/>
              <w:bottom w:type="dxa" w:w="100"/>
              <w:right w:type="dxa" w:w="160"/>
            </w:tcMar>
          </w:tcPr>
          <w:p>
            <w:r>
              <w:rPr>
                <w:rFonts w:ascii="Calibri" w:cs="Calibri" w:eastAsia="Calibri" w:hAnsi="Calibri"/>
                <w:b/>
                <w:bCs/>
                <w:sz w:val="22"/>
                <w:szCs w:val="22"/>
              </w:rPr>
              <w:t xml:space="preserve">BALANCE DE VIAJE:</w:t>
            </w:r>
          </w:p>
          <w:p>
            <w:r>
              <w:rPr>
                <w:rFonts w:ascii="Calibri" w:cs="Calibri" w:eastAsia="Calibri" w:hAnsi="Calibri"/>
                <w:b w:val="false"/>
                <w:bCs w:val="false"/>
                <w:sz w:val="22"/>
                <w:szCs w:val="22"/>
              </w:rPr>
              <w:t xml:space="preserve">  Unaccounted Difference = OBQ + Loaded − (Discharged + ROB)</w:t>
            </w:r>
          </w:p>
          <w:p>
            <w:r>
              <w:rPr>
                <w:rFonts w:ascii="Calibri" w:cs="Calibri" w:eastAsia="Calibri" w:hAnsi="Calibri"/>
                <w:b/>
                <w:bCs/>
                <w:sz w:val="22"/>
                <w:szCs w:val="22"/>
              </w:rPr>
              <w:t xml:space="preserve"/>
            </w:r>
          </w:p>
          <w:p>
            <w:r>
              <w:rPr>
                <w:rFonts w:ascii="Calibri" w:cs="Calibri" w:eastAsia="Calibri" w:hAnsi="Calibri"/>
                <w:b w:val="false"/>
                <w:bCs w:val="false"/>
                <w:sz w:val="22"/>
                <w:szCs w:val="22"/>
              </w:rPr>
              <w:t xml:space="preserve">  Si Unaccounted Diff. = 0: balance perfecto</w:t>
            </w:r>
          </w:p>
          <w:p>
            <w:r>
              <w:rPr>
                <w:rFonts w:ascii="Calibri" w:cs="Calibri" w:eastAsia="Calibri" w:hAnsi="Calibri"/>
                <w:b w:val="false"/>
                <w:bCs w:val="false"/>
                <w:sz w:val="22"/>
                <w:szCs w:val="22"/>
              </w:rPr>
              <w:t xml:space="preserve">  Si Unaccounted Diff. &gt; 0: posible pérdida en tránsito o medición</w:t>
            </w:r>
          </w:p>
          <w:p>
            <w:r>
              <w:rPr>
                <w:rFonts w:ascii="Calibri" w:cs="Calibri" w:eastAsia="Calibri" w:hAnsi="Calibri"/>
                <w:b w:val="false"/>
                <w:bCs w:val="false"/>
                <w:sz w:val="22"/>
                <w:szCs w:val="22"/>
              </w:rPr>
              <w:t xml:space="preserve">  Si Unaccounted Diff. &lt; 0: posible sobrante o error de medición</w:t>
            </w:r>
          </w:p>
          <w:p>
            <w:r>
              <w:rPr>
                <w:rFonts w:ascii="Calibri" w:cs="Calibri" w:eastAsia="Calibri" w:hAnsi="Calibri"/>
                <w:b w:val="false"/>
                <w:bCs w:val="false"/>
                <w:sz w:val="22"/>
                <w:szCs w:val="22"/>
              </w:rPr>
              <w:t xml:space="preserve">  Tolerancia admisible: ±0.3% del Loaded Quantity (API 17.05)</w:t>
            </w:r>
          </w:p>
        </w:tc>
      </w:tr>
    </w:tbl>
    <w:p>
      <w:r>
        <w:br w:type="page"/>
      </w:r>
    </w:p>
    <w:p>
      <w:pPr>
        <w:pStyle w:val="Heading1"/>
      </w:pPr>
      <w:r>
        <w:t xml:space="preserve">SECCIÓN 5 — ANÁLISIS DE DISPUTAS DE CALIDAD</w:t>
      </w:r>
    </w:p>
    <w:p>
      <w:pPr>
        <w:pStyle w:val="Heading2"/>
      </w:pPr>
      <w:r>
        <w:t xml:space="preserve">5.1 Muestreo — Validación de Procedimiento (API 8.1/8.2)</w:t>
      </w:r>
    </w:p>
    <w:p>
      <w:pPr>
        <w:spacing w:after="120"/>
        <w:jc w:val="both"/>
      </w:pPr>
      <w:r>
        <w:rPr>
          <w:rFonts w:ascii="Calibri" w:cs="Calibri" w:eastAsia="Calibri" w:hAnsi="Calibri"/>
          <w:sz w:val="22"/>
          <w:szCs w:val="22"/>
        </w:rPr>
        <w:t xml:space="preserve">La validez de un certificado de calidad depende directamente de la corrección del procedimiento de muestreo. Una muestra no representativa invalida cualquier análisis posterior. Verificar el cumplimiento de los siguientes criterios: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Criterio de Validación</w:t>
            </w:r>
          </w:p>
        </w:tc>
        <w:tc>
          <w:tcPr>
            <w:tcW w:type="dxa" w:w="4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Requisito según API 8.1/8.2</w:t>
            </w:r>
          </w:p>
        </w:tc>
        <w:tc>
          <w:tcPr>
            <w:tcW w:type="dxa" w:w="27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Consecuencia del Incumplimiento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Frecuencia de muestreo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Proporcional al caudal de transferencia (mínimo cada 1/4 del volumen total)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Muestra no representa el cargamento completo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Puntos de toma de muestra</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Aguas abajo de la válvula de control, en flujo turbulento, no en codos ni zonas muertas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Estratificación — muestra no homogénea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Contenedor de muestra</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Certificado, limpio, sin contaminante previo, cierre hermético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Contaminación de la muestra — resultado inválido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Cadena de custodia</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Sellado, etiquetado y firmado por ambas partes en el momento de toma</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Muestra impugnable en arbitraje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Laboratorio de análisis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Certificado por organismo reconocido (ISO 17025 o equivalente)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Resultados sin valor probatorio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Muestra de retención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Conservada en frío, disponible por mínimo 90 días</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Sin posibilidad de re-análisis en disputa</w:t>
            </w:r>
          </w:p>
        </w:tc>
      </w:tr>
    </w:tbl>
    <w:p>
      <w:pPr>
        <w:spacing w:after="160"/>
      </w:pPr>
    </w:p>
    <w:p>
      <w:pPr>
        <w:pStyle w:val="Heading2"/>
      </w:pPr>
      <w:r>
        <w:t xml:space="preserve">5.2 Densidad y API Gravity (API 9.1)</w:t>
      </w:r>
    </w:p>
    <w:p>
      <w:pPr>
        <w:spacing w:after="120"/>
        <w:jc w:val="both"/>
      </w:pPr>
      <w:r>
        <w:rPr>
          <w:rFonts w:ascii="Calibri" w:cs="Calibri" w:eastAsia="Calibri" w:hAnsi="Calibri"/>
          <w:sz w:val="22"/>
          <w:szCs w:val="22"/>
        </w:rPr>
        <w:t xml:space="preserve">La densidad es el parámetro más directamente relacionado con el valor económico del cargamento. Diferencias en la densidad aplicada al cálculo de GSV y NSV generan disputas de cantidad indirectas. Verificar:</w:t>
      </w:r>
    </w:p>
    <w:p>
      <w:pPr>
        <w:pStyle w:val="ListParagraph"/>
        <w:numPr>
          <w:ilvl w:val="0"/>
          <w:numId w:val="2"/>
        </w:numPr>
      </w:pPr>
      <w:r>
        <w:rPr>
          <w:rFonts w:ascii="Calibri" w:cs="Calibri" w:eastAsia="Calibri" w:hAnsi="Calibri"/>
          <w:sz w:val="22"/>
          <w:szCs w:val="22"/>
        </w:rPr>
        <w:t xml:space="preserve">Temperatura del hidrómetro al momento exacto de lectura (corregir según API 9.1)</w:t>
      </w:r>
    </w:p>
    <w:p>
      <w:pPr>
        <w:pStyle w:val="ListParagraph"/>
        <w:numPr>
          <w:ilvl w:val="0"/>
          <w:numId w:val="2"/>
        </w:numPr>
      </w:pPr>
      <w:r>
        <w:rPr>
          <w:rFonts w:ascii="Calibri" w:cs="Calibri" w:eastAsia="Calibri" w:hAnsi="Calibri"/>
          <w:sz w:val="22"/>
          <w:szCs w:val="22"/>
        </w:rPr>
        <w:t xml:space="preserve">Corrección de densidad a temperatura de referencia 15°C (ρ@15°C) para cálculo de GSV</w:t>
      </w:r>
    </w:p>
    <w:p>
      <w:pPr>
        <w:pStyle w:val="ListParagraph"/>
        <w:numPr>
          <w:ilvl w:val="0"/>
          <w:numId w:val="2"/>
        </w:numPr>
      </w:pPr>
      <w:r>
        <w:rPr>
          <w:rFonts w:ascii="Calibri" w:cs="Calibri" w:eastAsia="Calibri" w:hAnsi="Calibri"/>
          <w:sz w:val="22"/>
          <w:szCs w:val="22"/>
        </w:rPr>
        <w:t xml:space="preserve">Comparar ρ@15°C medida vs. ρ@15°C del Certificate of Analysis (COA) del productor</w:t>
      </w:r>
    </w:p>
    <w:p>
      <w:pPr>
        <w:pStyle w:val="ListParagraph"/>
        <w:numPr>
          <w:ilvl w:val="0"/>
          <w:numId w:val="2"/>
        </w:numPr>
      </w:pPr>
      <w:r>
        <w:rPr>
          <w:rFonts w:ascii="Calibri" w:cs="Calibri" w:eastAsia="Calibri" w:hAnsi="Calibri"/>
          <w:sz w:val="22"/>
          <w:szCs w:val="22"/>
        </w:rPr>
        <w:t xml:space="preserve">Tolerancia de discrepancia aceptable: ±0.5 kg/m³ (±0.0005 g/cm³)</w:t>
      </w:r>
    </w:p>
    <w:p>
      <w:pPr>
        <w:pStyle w:val="ListParagraph"/>
        <w:numPr>
          <w:ilvl w:val="0"/>
          <w:numId w:val="2"/>
        </w:numPr>
      </w:pPr>
      <w:r>
        <w:rPr>
          <w:rFonts w:ascii="Calibri" w:cs="Calibri" w:eastAsia="Calibri" w:hAnsi="Calibri"/>
          <w:sz w:val="22"/>
          <w:szCs w:val="22"/>
        </w:rPr>
        <w:t xml:space="preserve">Si diferencia &gt; 0.5 kg/m³: solicitar re-análisis con muestra de retención — API 9.1 §9</w:t>
      </w:r>
    </w:p>
    <w:p>
      <w:pPr>
        <w:spacing w:after="160"/>
      </w:pPr>
    </w:p>
    <w:p>
      <w:pPr>
        <w:pStyle w:val="Heading2"/>
      </w:pPr>
      <w:r>
        <w:t xml:space="preserve">5.3 Agua y Sedimentos — BS&amp;W (API 10.1-10.4)</w:t>
      </w:r>
    </w:p>
    <w:p>
      <w:pPr>
        <w:spacing w:after="120"/>
        <w:jc w:val="both"/>
      </w:pPr>
      <w:r>
        <w:rPr>
          <w:rFonts w:ascii="Calibri" w:cs="Calibri" w:eastAsia="Calibri" w:hAnsi="Calibri"/>
          <w:sz w:val="22"/>
          <w:szCs w:val="22"/>
        </w:rPr>
        <w:t xml:space="preserve">El contenido de Básicos, Sedimentos y Agua (BS&amp;W) afecta directamente el cálculo del NSV (Net Standard Volume). Un BS&amp;W mayor al certificado en origen representa un diferencial económico que justifica reclamación formal.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Método de Análisis</w:t>
            </w:r>
          </w:p>
        </w:tc>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Norma API</w:t>
            </w:r>
          </w:p>
        </w:tc>
        <w:tc>
          <w:tcPr>
            <w:tcW w:type="dxa" w:w="4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Aplicación en Disputas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Centrífuga (centrifuge method)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10.1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Método rápido de campo. Referencia para operaciones en buque y terminal</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Dean-Stark (distillation method)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10.3</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MÉTODO ÁRBITRO en disputas. Mayor precisión que centrífuga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Karl Fischer (agua disuelta)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10.6 / ASTM D4928</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Para crudos con alta agua disuelta o en disputas de alta precisión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Gravimetría (sedimento por extracción)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10.4 / ASTM D473</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Para determinación específica de sedimento sólido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none" w:color="FFFFFF" w:sz="0"/>
            </w:tcBorders>
            <w:shd w:fill="D5E8F0" w:val="clear"/>
            <w:tcMar>
              <w:top w:type="dxa" w:w="100"/>
              <w:left w:type="dxa" w:w="160"/>
              <w:bottom w:type="dxa" w:w="100"/>
              <w:right w:type="dxa" w:w="160"/>
            </w:tcMar>
          </w:tcPr>
          <w:p>
            <w:r>
              <w:rPr>
                <w:rFonts w:ascii="Calibri" w:cs="Calibri" w:eastAsia="Calibri" w:hAnsi="Calibri"/>
                <w:b/>
                <w:bCs/>
                <w:sz w:val="22"/>
                <w:szCs w:val="22"/>
              </w:rPr>
              <w:t xml:space="preserve">CRITERIO DE DISPUTA POR BS&amp;W:</w:t>
            </w:r>
          </w:p>
          <w:p>
            <w:r>
              <w:rPr>
                <w:rFonts w:ascii="Calibri" w:cs="Calibri" w:eastAsia="Calibri" w:hAnsi="Calibri"/>
                <w:b w:val="false"/>
                <w:bCs w:val="false"/>
                <w:sz w:val="22"/>
                <w:szCs w:val="22"/>
              </w:rPr>
              <w:t xml:space="preserve">  Diferencia &gt; 0.05% entre BS&amp;W en origen y destino:</w:t>
            </w:r>
          </w:p>
          <w:p>
            <w:r>
              <w:rPr>
                <w:rFonts w:ascii="Calibri" w:cs="Calibri" w:eastAsia="Calibri" w:hAnsi="Calibri"/>
                <w:b w:val="false"/>
                <w:bCs w:val="false"/>
                <w:sz w:val="22"/>
                <w:szCs w:val="22"/>
              </w:rPr>
              <w:t xml:space="preserve">  → Requiere análisis de dónde se produjo el incremento (carga / tránsito / descarga)</w:t>
            </w:r>
          </w:p>
          <w:p>
            <w:r>
              <w:rPr>
                <w:rFonts w:ascii="Calibri" w:cs="Calibri" w:eastAsia="Calibri" w:hAnsi="Calibri"/>
                <w:b w:val="false"/>
                <w:bCs w:val="false"/>
                <w:sz w:val="22"/>
                <w:szCs w:val="22"/>
              </w:rPr>
              <w:t xml:space="preserve">  → Aplicar Dean-Stark (API 10.3) como método árbitro</w:t>
            </w:r>
          </w:p>
          <w:p>
            <w:r>
              <w:rPr>
                <w:rFonts w:ascii="Calibri" w:cs="Calibri" w:eastAsia="Calibri" w:hAnsi="Calibri"/>
                <w:b/>
                <w:bCs/>
                <w:sz w:val="22"/>
                <w:szCs w:val="22"/>
              </w:rPr>
              <w:t xml:space="preserve"/>
            </w:r>
          </w:p>
          <w:p>
            <w:r>
              <w:rPr>
                <w:rFonts w:ascii="Calibri" w:cs="Calibri" w:eastAsia="Calibri" w:hAnsi="Calibri"/>
                <w:b w:val="false"/>
                <w:bCs w:val="false"/>
                <w:sz w:val="22"/>
                <w:szCs w:val="22"/>
              </w:rPr>
              <w:t xml:space="preserve">  NSV = GOV × VCF × (1 − BS&amp;W/100)</w:t>
            </w:r>
          </w:p>
          <w:p>
            <w:r>
              <w:rPr>
                <w:rFonts w:ascii="Calibri" w:cs="Calibri" w:eastAsia="Calibri" w:hAnsi="Calibri"/>
                <w:b w:val="false"/>
                <w:bCs w:val="false"/>
                <w:sz w:val="22"/>
                <w:szCs w:val="22"/>
              </w:rPr>
              <w:t xml:space="preserve">  Cada 0.1% de BS&amp;W adicional reduce el NSV en un 0.1% — impacto económico directo</w:t>
            </w:r>
          </w:p>
        </w:tc>
      </w:tr>
    </w:tbl>
    <w:p>
      <w:pPr>
        <w:spacing w:after="160"/>
      </w:pPr>
    </w:p>
    <w:p>
      <w:pPr>
        <w:pStyle w:val="Heading2"/>
      </w:pPr>
      <w:r>
        <w:t xml:space="preserve">5.4 Contaminación de Producto (API 17.03)</w:t>
      </w:r>
    </w:p>
    <w:p>
      <w:pPr>
        <w:spacing w:after="120"/>
        <w:jc w:val="both"/>
      </w:pPr>
      <w:r>
        <w:rPr>
          <w:rFonts w:ascii="Calibri" w:cs="Calibri" w:eastAsia="Calibri" w:hAnsi="Calibri"/>
          <w:sz w:val="22"/>
          <w:szCs w:val="22"/>
        </w:rPr>
        <w:t xml:space="preserve">La contaminación es una disputa de calidad que puede derivar en rechazo total del cargamento. El protocolo de análisis debe ser inmediato y documentado:</w:t>
      </w:r>
    </w:p>
    <w:p>
      <w:pPr>
        <w:pStyle w:val="ListParagraph"/>
        <w:numPr>
          <w:ilvl w:val="0"/>
          <w:numId w:val="2"/>
        </w:numPr>
      </w:pPr>
      <w:r>
        <w:rPr>
          <w:rFonts w:ascii="Calibri" w:cs="Calibri" w:eastAsia="Calibri" w:hAnsi="Calibri"/>
          <w:sz w:val="22"/>
          <w:szCs w:val="22"/>
        </w:rPr>
        <w:t xml:space="preserve">a) Comparar COQ origen vs. COQ destino: identificar parámetros fuera de especificación</w:t>
      </w:r>
    </w:p>
    <w:p>
      <w:pPr>
        <w:pStyle w:val="ListParagraph"/>
        <w:numPr>
          <w:ilvl w:val="0"/>
          <w:numId w:val="2"/>
        </w:numPr>
      </w:pPr>
      <w:r>
        <w:rPr>
          <w:rFonts w:ascii="Calibri" w:cs="Calibri" w:eastAsia="Calibri" w:hAnsi="Calibri"/>
          <w:sz w:val="22"/>
          <w:szCs w:val="22"/>
        </w:rPr>
        <w:t xml:space="preserve">b) Identificar el contaminante: fingerprinting cromatográfico, análisis de viscosidad, flash point, color</w:t>
      </w:r>
    </w:p>
    <w:p>
      <w:pPr>
        <w:pStyle w:val="ListParagraph"/>
        <w:numPr>
          <w:ilvl w:val="0"/>
          <w:numId w:val="2"/>
        </w:numPr>
      </w:pPr>
      <w:r>
        <w:rPr>
          <w:rFonts w:ascii="Calibri" w:cs="Calibri" w:eastAsia="Calibri" w:hAnsi="Calibri"/>
          <w:sz w:val="22"/>
          <w:szCs w:val="22"/>
        </w:rPr>
        <w:t xml:space="preserve">c) Evaluar la etapa de ocurrencia: operación de carga (terminal origen), tránsito (buque), descarga (terminal destino), o carga previa (cargo anterior en el buque)</w:t>
      </w:r>
    </w:p>
    <w:p>
      <w:pPr>
        <w:pStyle w:val="ListParagraph"/>
        <w:numPr>
          <w:ilvl w:val="0"/>
          <w:numId w:val="2"/>
        </w:numPr>
      </w:pPr>
      <w:r>
        <w:rPr>
          <w:rFonts w:ascii="Calibri" w:cs="Calibri" w:eastAsia="Calibri" w:hAnsi="Calibri"/>
          <w:sz w:val="22"/>
          <w:szCs w:val="22"/>
        </w:rPr>
        <w:t xml:space="preserve">d) Revisar Pre-Load Survey (API 17.08): ¿había residuos del cargo anterior? ¿Fueron aceptados o protestados?</w:t>
      </w:r>
    </w:p>
    <w:p>
      <w:pPr>
        <w:pStyle w:val="ListParagraph"/>
        <w:numPr>
          <w:ilvl w:val="0"/>
          <w:numId w:val="2"/>
        </w:numPr>
      </w:pPr>
      <w:r>
        <w:rPr>
          <w:rFonts w:ascii="Calibri" w:cs="Calibri" w:eastAsia="Calibri" w:hAnsi="Calibri"/>
          <w:sz w:val="22"/>
          <w:szCs w:val="22"/>
        </w:rPr>
        <w:t xml:space="preserve">e) Emitir protest letter si hay evidencia de contaminación antes de que el buque zarpe del puerto de descarga</w:t>
      </w:r>
    </w:p>
    <w:p>
      <w:pPr>
        <w:pStyle w:val="ListParagraph"/>
        <w:numPr>
          <w:ilvl w:val="0"/>
          <w:numId w:val="2"/>
        </w:numPr>
      </w:pPr>
      <w:r>
        <w:rPr>
          <w:rFonts w:ascii="Calibri" w:cs="Calibri" w:eastAsia="Calibri" w:hAnsi="Calibri"/>
          <w:sz w:val="22"/>
          <w:szCs w:val="22"/>
        </w:rPr>
        <w:t xml:space="preserve">f) Referencias: API 17.03 (cargo identification), API 8.1 (sampling), API 17.08 (pre-load survey)</w:t>
      </w:r>
    </w:p>
    <w:p>
      <w:r>
        <w:br w:type="page"/>
      </w:r>
    </w:p>
    <w:p>
      <w:pPr>
        <w:pStyle w:val="Heading1"/>
      </w:pPr>
      <w:r>
        <w:t xml:space="preserve">SECCIÓN 6 — MATRIZ TRANSVERSAL: NORMAS API POR ESCENARIO DE DISPUTA</w:t>
      </w:r>
    </w:p>
    <w:p>
      <w:pPr>
        <w:spacing w:after="120"/>
        <w:jc w:val="both"/>
      </w:pPr>
      <w:r>
        <w:rPr>
          <w:rFonts w:ascii="Calibri" w:cs="Calibri" w:eastAsia="Calibri" w:hAnsi="Calibri"/>
          <w:sz w:val="22"/>
          <w:szCs w:val="22"/>
        </w:rPr>
        <w:t xml:space="preserve">Esta es la herramienta de consulta central del manual. Para cada escenario de disputa se indica el capítulo API primario, los capítulos complementarios, el parámetro clave a verificar, el umbral que activa la disputa, y la evidencia mínima requerida.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400"/>
        <w:gridCol w:w="1100"/>
        <w:gridCol w:w="1460"/>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Escenario de Disputa</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Cap. Primario</w:t>
            </w:r>
          </w:p>
        </w:tc>
        <w:tc>
          <w:tcPr>
            <w:tcW w:type="dxa" w:w="1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Caps. Complementarios</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Parámetro Clave</w:t>
            </w:r>
          </w:p>
        </w:tc>
        <w:tc>
          <w:tcPr>
            <w:tcW w:type="dxa" w:w="11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Umbral</w:t>
            </w:r>
          </w:p>
        </w:tc>
        <w:tc>
          <w:tcPr>
            <w:tcW w:type="dxa" w:w="14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Evidencia Mínima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 Diferencia Shore-Ship en crudo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12.1, 17.02, 17.09, 11.1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NSV Shore vs. Ship</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&gt;±0.3%</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BL, Ullage Report, VCF logs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 Diferencia Shore-Ship en productos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17.05</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12.1, 17.02, 11.1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GSV Shore vs. Ship</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&gt;±0.2%</w:t>
            </w:r>
          </w:p>
        </w:tc>
        <w:tc>
          <w:tcPr>
            <w:tcW w:type="dxa" w:w="1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Shore Meter tickets, Ullage Report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3. VEF histórico fuera de rango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17.02, 17.05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VEF calculado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&lt;0.9970 o &gt;1.0030</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Historial mín. 6 viajes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4. Temperatura incorrecta en VCF</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11.1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7.1, 12.1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 observada vs. T en BL</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Diferencia &gt; 0.5°C</w:t>
            </w:r>
          </w:p>
        </w:tc>
        <w:tc>
          <w:tcPr>
            <w:tcW w:type="dxa" w:w="1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Temperature log, BL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5. Tabla VCF incorrecta (6A/6B/6C)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9.1, 12.1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Tabla usada vs. tipo de producto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Tabla incorrecta</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Tipo de producto, COQ, BL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6. Sondeo sin corrección trim/lista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3.1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17.02, 17.06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Trim y lista al momento del sondeo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Trim &gt;0.5% sin corregir</w:t>
            </w:r>
          </w:p>
        </w:tc>
        <w:tc>
          <w:tcPr>
            <w:tcW w:type="dxa" w:w="1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Sounding sheets, Ship Log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7. Tabla de calibración vencida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2.7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17.07, 17.02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Fecha de calibración de tablas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Certificado &gt;5 años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Calibration Certificate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8. Muestreo no representativo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8.1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8.2, 9.1, 10.1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Protocolo de muestreo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Incumple frecuencia/posición</w:t>
            </w:r>
          </w:p>
        </w:tc>
        <w:tc>
          <w:tcPr>
            <w:tcW w:type="dxa" w:w="1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Sampling protocol, Chain of Custody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9. BS&amp;W elevado en descarga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10.3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10.1, 8.1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BS&amp;W descarga vs. origen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Diferencia &gt; 0.05%</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COQ origen y destino, Método árbitro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10. Agua libre en descarga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10.4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3.1, 17.02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Free Water en fondos de tanque</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Presencia detectada</w:t>
            </w:r>
          </w:p>
        </w:tc>
        <w:tc>
          <w:tcPr>
            <w:tcW w:type="dxa" w:w="1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Sounding sheets, Water cut meter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11. Short Loading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18.1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17.05, 12.1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BL vs. Nominated Quantity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BL &lt; NQ tolerancia</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BL, Shore figures, Nomination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12. Contaminación en tránsito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17.03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8.1, 17.08, 9.1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Parámetros COQ origen vs. destino</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Fuera de spec. contractual</w:t>
            </w:r>
          </w:p>
        </w:tc>
        <w:tc>
          <w:tcPr>
            <w:tcW w:type="dxa" w:w="1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COQ, Pre-load Survey, Ship Log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13. OBQ/ROB no acordado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17.05, 17.08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OBQ antes de carga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No firmado por ambas partes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Pre-load Survey, Protest Letter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14. Error por expansión térmica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11.1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7.1, 7.2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Temperatura en tanques del buque</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Variación &gt;5°C sin compensar</w:t>
            </w:r>
          </w:p>
        </w:tc>
        <w:tc>
          <w:tcPr>
            <w:tcW w:type="dxa" w:w="1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Temperature log en tanques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15. Diferencia entre sondeos del mismo tanque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3.1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17.02, 17.06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Desviación entre lecturas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&gt;1 mm entre sondeos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Múltiples sounding sheets</w:t>
            </w:r>
          </w:p>
        </w:tc>
      </w:tr>
    </w:tbl>
    <w:p>
      <w:r>
        <w:br w:type="page"/>
      </w:r>
    </w:p>
    <w:p>
      <w:pPr>
        <w:pStyle w:val="Heading1"/>
      </w:pPr>
      <w:r>
        <w:t xml:space="preserve">SECCIÓN 7 — ESTRUCTURA DEL REPORTE DE ANÁLISIS DE DISPUTA</w:t>
      </w:r>
    </w:p>
    <w:p>
      <w:pPr>
        <w:spacing w:after="120"/>
        <w:jc w:val="both"/>
      </w:pPr>
      <w:r>
        <w:rPr>
          <w:rFonts w:ascii="Calibri" w:cs="Calibri" w:eastAsia="Calibri" w:hAnsi="Calibri"/>
          <w:sz w:val="22"/>
          <w:szCs w:val="22"/>
        </w:rPr>
        <w:t xml:space="preserve">Todo análisis de disputa que ACI soporte o presente debe estar documentado en un Reporte de Análisis Técnico con la estructura que se describe a continuación. Esta estructura es compatible con los estándares de documentación de la industria y con los requerimientos de árbitros y aseguradoras.</w:t>
      </w:r>
    </w:p>
    <w:p>
      <w:pPr>
        <w:spacing w:after="160"/>
      </w:pPr>
    </w:p>
    <w:p>
      <w:pPr>
        <w:pStyle w:val="Heading2"/>
      </w:pPr>
      <w:r>
        <w:t xml:space="preserve">7.1 Encabezado del Reporte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Campo</w:t>
            </w:r>
          </w:p>
        </w:tc>
        <w:tc>
          <w:tcPr>
            <w:tcW w:type="dxa" w:w="6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 de Caso / Referencia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Código único del caso (ej. ACI-DISP-2026-001)</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Buque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Nombre del buque, IMO, bandera, clase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Terminal / Puerto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Nombre, país, operador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Fecha de Operación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Fecha inicio / fecha fin de carga o descarga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Producto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Tipo de hidrocarburo (crudo, nafta, gasoil, etc.)</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Partes Involucradas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Comprador, vendedor, transportista, terminal, aseguradora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Tipo de Disputa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Cantidad / Calidad / Mixta (según Sección 2)</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Inspector ACI Responsable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Nombre, certificaciones, firma</w:t>
            </w:r>
          </w:p>
        </w:tc>
      </w:tr>
    </w:tbl>
    <w:p>
      <w:pPr>
        <w:spacing w:after="160"/>
      </w:pPr>
    </w:p>
    <w:p>
      <w:pPr>
        <w:pStyle w:val="Heading2"/>
      </w:pPr>
      <w:r>
        <w:t xml:space="preserve">7.2 Resumen Ejecutivo</w:t>
      </w:r>
    </w:p>
    <w:p>
      <w:pPr>
        <w:spacing w:after="120"/>
        <w:jc w:val="both"/>
      </w:pPr>
      <w:r>
        <w:rPr>
          <w:rFonts w:ascii="Calibri" w:cs="Calibri" w:eastAsia="Calibri" w:hAnsi="Calibri"/>
          <w:sz w:val="22"/>
          <w:szCs w:val="22"/>
        </w:rPr>
        <w:t xml:space="preserve">El resumen ejecutivo no debe exceder una (1) página. Debe incluir:</w:t>
      </w:r>
    </w:p>
    <w:p>
      <w:pPr>
        <w:pStyle w:val="ListParagraph"/>
        <w:numPr>
          <w:ilvl w:val="0"/>
          <w:numId w:val="2"/>
        </w:numPr>
      </w:pPr>
      <w:r>
        <w:rPr>
          <w:rFonts w:ascii="Calibri" w:cs="Calibri" w:eastAsia="Calibri" w:hAnsi="Calibri"/>
          <w:sz w:val="22"/>
          <w:szCs w:val="22"/>
        </w:rPr>
        <w:t xml:space="preserve">Diferencia identificada (en volumen y valor estimado si se conoce el precio)</w:t>
      </w:r>
    </w:p>
    <w:p>
      <w:pPr>
        <w:pStyle w:val="ListParagraph"/>
        <w:numPr>
          <w:ilvl w:val="0"/>
          <w:numId w:val="2"/>
        </w:numPr>
      </w:pPr>
      <w:r>
        <w:rPr>
          <w:rFonts w:ascii="Calibri" w:cs="Calibri" w:eastAsia="Calibri" w:hAnsi="Calibri"/>
          <w:sz w:val="22"/>
          <w:szCs w:val="22"/>
        </w:rPr>
        <w:t xml:space="preserve">Causa raíz determinada por el análisis técnico</w:t>
      </w:r>
    </w:p>
    <w:p>
      <w:pPr>
        <w:pStyle w:val="ListParagraph"/>
        <w:numPr>
          <w:ilvl w:val="0"/>
          <w:numId w:val="2"/>
        </w:numPr>
      </w:pPr>
      <w:r>
        <w:rPr>
          <w:rFonts w:ascii="Calibri" w:cs="Calibri" w:eastAsia="Calibri" w:hAnsi="Calibri"/>
          <w:sz w:val="22"/>
          <w:szCs w:val="22"/>
        </w:rPr>
        <w:t xml:space="preserve">Parte responsable y fundamento normativo</w:t>
      </w:r>
    </w:p>
    <w:p>
      <w:pPr>
        <w:pStyle w:val="ListParagraph"/>
        <w:numPr>
          <w:ilvl w:val="0"/>
          <w:numId w:val="2"/>
        </w:numPr>
      </w:pPr>
      <w:r>
        <w:rPr>
          <w:rFonts w:ascii="Calibri" w:cs="Calibri" w:eastAsia="Calibri" w:hAnsi="Calibri"/>
          <w:sz w:val="22"/>
          <w:szCs w:val="22"/>
        </w:rPr>
        <w:t xml:space="preserve">Recomendación de acción (reclamo, investigación adicional, cierre)</w:t>
      </w:r>
    </w:p>
    <w:p>
      <w:pPr>
        <w:spacing w:after="160"/>
      </w:pPr>
    </w:p>
    <w:p>
      <w:pPr>
        <w:pStyle w:val="Heading2"/>
      </w:pPr>
      <w:r>
        <w:t xml:space="preserve">7.3 Datos de la Operación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Parámetro</w:t>
            </w:r>
          </w:p>
        </w:tc>
        <w:tc>
          <w:tcPr>
            <w:tcW w:type="dxa" w:w="19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Shore (Terminal)</w:t>
            </w:r>
          </w:p>
        </w:tc>
        <w:tc>
          <w:tcPr>
            <w:tcW w:type="dxa" w:w="19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Ship (Buque)</w:t>
            </w:r>
          </w:p>
        </w:tc>
        <w:tc>
          <w:tcPr>
            <w:tcW w:type="dxa" w:w="19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Diferencia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GOV (m³ o BBL)</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GSV (m³ o BBL)</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NSV (m³ o BBL)</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Temperatura observada (°C)</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Densidad @15°C (kg/m³)</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BS&amp;W (%)</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VCF aplicado</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Tabla VCF utilizada</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N/A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VEF del buque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N/A</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N/A</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Diferencia Shore-Ship (%)</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r>
    </w:tbl>
    <w:p>
      <w:pPr>
        <w:spacing w:after="160"/>
      </w:pPr>
    </w:p>
    <w:p>
      <w:pPr>
        <w:pStyle w:val="Heading2"/>
      </w:pPr>
      <w:r>
        <w:t xml:space="preserve">7.4 Análisis Técnico</w:t>
      </w:r>
    </w:p>
    <w:p>
      <w:pPr>
        <w:spacing w:after="120"/>
        <w:jc w:val="both"/>
      </w:pPr>
      <w:r>
        <w:rPr>
          <w:rFonts w:ascii="Calibri" w:cs="Calibri" w:eastAsia="Calibri" w:hAnsi="Calibri"/>
          <w:sz w:val="22"/>
          <w:szCs w:val="22"/>
        </w:rPr>
        <w:t xml:space="preserve">Esta sección contiene el desarrollo técnico del análisis, con los siguientes elementos obligatorios:</w:t>
      </w:r>
    </w:p>
    <w:p>
      <w:pPr>
        <w:pStyle w:val="ListParagraph"/>
        <w:numPr>
          <w:ilvl w:val="0"/>
          <w:numId w:val="2"/>
        </w:numPr>
      </w:pPr>
      <w:r>
        <w:rPr>
          <w:rFonts w:ascii="Calibri" w:cs="Calibri" w:eastAsia="Calibri" w:hAnsi="Calibri"/>
          <w:sz w:val="22"/>
          <w:szCs w:val="22"/>
        </w:rPr>
        <w:t xml:space="preserve">Verificación paso a paso de los procedimientos aplicados por cada parte (referenciando sección específica de norma API)</w:t>
      </w:r>
    </w:p>
    <w:p>
      <w:pPr>
        <w:pStyle w:val="ListParagraph"/>
        <w:numPr>
          <w:ilvl w:val="0"/>
          <w:numId w:val="2"/>
        </w:numPr>
      </w:pPr>
      <w:r>
        <w:rPr>
          <w:rFonts w:ascii="Calibri" w:cs="Calibri" w:eastAsia="Calibri" w:hAnsi="Calibri"/>
          <w:sz w:val="22"/>
          <w:szCs w:val="22"/>
        </w:rPr>
        <w:t xml:space="preserve">Recálculo independiente de GOV/GSV/NSV por parte del inspector ACI</w:t>
      </w:r>
    </w:p>
    <w:p>
      <w:pPr>
        <w:pStyle w:val="ListParagraph"/>
        <w:numPr>
          <w:ilvl w:val="0"/>
          <w:numId w:val="2"/>
        </w:numPr>
      </w:pPr>
      <w:r>
        <w:rPr>
          <w:rFonts w:ascii="Calibri" w:cs="Calibri" w:eastAsia="Calibri" w:hAnsi="Calibri"/>
          <w:sz w:val="22"/>
          <w:szCs w:val="22"/>
        </w:rPr>
        <w:t xml:space="preserve">Comparación de los valores calculados vs. los declarados en BL y Ullage Report</w:t>
      </w:r>
    </w:p>
    <w:p>
      <w:pPr>
        <w:pStyle w:val="ListParagraph"/>
        <w:numPr>
          <w:ilvl w:val="0"/>
          <w:numId w:val="2"/>
        </w:numPr>
      </w:pPr>
      <w:r>
        <w:rPr>
          <w:rFonts w:ascii="Calibri" w:cs="Calibri" w:eastAsia="Calibri" w:hAnsi="Calibri"/>
          <w:sz w:val="22"/>
          <w:szCs w:val="22"/>
        </w:rPr>
        <w:t xml:space="preserve">Análisis del VEF si aplica (con historial de mínimo 6 viajes)</w:t>
      </w:r>
    </w:p>
    <w:p>
      <w:pPr>
        <w:pStyle w:val="ListParagraph"/>
        <w:numPr>
          <w:ilvl w:val="0"/>
          <w:numId w:val="2"/>
        </w:numPr>
      </w:pPr>
      <w:r>
        <w:rPr>
          <w:rFonts w:ascii="Calibri" w:cs="Calibri" w:eastAsia="Calibri" w:hAnsi="Calibri"/>
          <w:sz w:val="22"/>
          <w:szCs w:val="22"/>
        </w:rPr>
        <w:t xml:space="preserve">Identificación de desviaciones del procedimiento normativo y su impacto cuantitativo</w:t>
      </w:r>
    </w:p>
    <w:p>
      <w:pPr>
        <w:spacing w:after="160"/>
      </w:pPr>
    </w:p>
    <w:p>
      <w:pPr>
        <w:pStyle w:val="Heading2"/>
      </w:pPr>
      <w:r>
        <w:t xml:space="preserve">7.5 Base Normativa</w:t>
      </w:r>
    </w:p>
    <w:p>
      <w:pPr>
        <w:spacing w:after="120"/>
        <w:jc w:val="both"/>
      </w:pPr>
      <w:r>
        <w:rPr>
          <w:rFonts w:ascii="Calibri" w:cs="Calibri" w:eastAsia="Calibri" w:hAnsi="Calibri"/>
          <w:sz w:val="22"/>
          <w:szCs w:val="22"/>
        </w:rPr>
        <w:t xml:space="preserve">Listar explícitamente todas las normas API aplicadas con el número de sección específico (no solo el número de capítulo). Ejemplo: 'API MPMS Cap. 17.09, Sección 9.3 — cálculo ponderado del VEF'. Incluir también:</w:t>
      </w:r>
    </w:p>
    <w:p>
      <w:pPr>
        <w:pStyle w:val="ListParagraph"/>
        <w:numPr>
          <w:ilvl w:val="0"/>
          <w:numId w:val="2"/>
        </w:numPr>
      </w:pPr>
      <w:r>
        <w:rPr>
          <w:rFonts w:ascii="Calibri" w:cs="Calibri" w:eastAsia="Calibri" w:hAnsi="Calibri"/>
          <w:sz w:val="22"/>
          <w:szCs w:val="22"/>
        </w:rPr>
        <w:t xml:space="preserve">Contratos de transporte o charter party aplicables</w:t>
      </w:r>
    </w:p>
    <w:p>
      <w:pPr>
        <w:pStyle w:val="ListParagraph"/>
        <w:numPr>
          <w:ilvl w:val="0"/>
          <w:numId w:val="2"/>
        </w:numPr>
      </w:pPr>
      <w:r>
        <w:rPr>
          <w:rFonts w:ascii="Calibri" w:cs="Calibri" w:eastAsia="Calibri" w:hAnsi="Calibri"/>
          <w:sz w:val="22"/>
          <w:szCs w:val="22"/>
        </w:rPr>
        <w:t xml:space="preserve">Incoterms aplicados a la operación</w:t>
      </w:r>
    </w:p>
    <w:p>
      <w:pPr>
        <w:pStyle w:val="ListParagraph"/>
        <w:numPr>
          <w:ilvl w:val="0"/>
          <w:numId w:val="2"/>
        </w:numPr>
      </w:pPr>
      <w:r>
        <w:rPr>
          <w:rFonts w:ascii="Calibri" w:cs="Calibri" w:eastAsia="Calibri" w:hAnsi="Calibri"/>
          <w:sz w:val="22"/>
          <w:szCs w:val="22"/>
        </w:rPr>
        <w:t xml:space="preserve">Práctica estándar de la industria (Industry Custom &amp; Practice) cuando no existe norma explícita</w:t>
      </w:r>
    </w:p>
    <w:p>
      <w:pPr>
        <w:spacing w:after="160"/>
      </w:pPr>
    </w:p>
    <w:p>
      <w:pPr>
        <w:pStyle w:val="Heading2"/>
      </w:pPr>
      <w:r>
        <w:t xml:space="preserve">7.6 Conclusión y Recomendación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Elemento</w:t>
            </w:r>
          </w:p>
        </w:tc>
        <w:tc>
          <w:tcPr>
            <w:tcW w:type="dxa" w:w="6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Contenido Requerido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Determinación de responsabilidad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Parte responsable (buque / terminal / inspector) con fundamento normativo específico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Cuantificación de la diferencia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Volumen en m³ y BBL, masa en MT, y valor estimado en USD si se dispone del precio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Pasos siguientes recomendados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Reclamo formal (claim), investigación adicional, re-análisis de muestra, acuerdo directo, mediación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Plazo de acción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Los reclamos de cantidad deben notificarse dentro del plazo contractual (generalmente 30-90 días post-BL)</w:t>
            </w:r>
          </w:p>
        </w:tc>
      </w:tr>
    </w:tbl>
    <w:p>
      <w:r>
        <w:br w:type="page"/>
      </w:r>
    </w:p>
    <w:p>
      <w:pPr>
        <w:pStyle w:val="Heading1"/>
      </w:pPr>
      <w:r>
        <w:t xml:space="preserve">SECCIÓN 8 — GUÍA DE CONSULTA RÁPIDA: PREGUNTAS FRECUENTES</w:t>
      </w:r>
    </w:p>
    <w:p>
      <w:pPr>
        <w:spacing w:after="120"/>
        <w:jc w:val="both"/>
      </w:pPr>
      <w:r>
        <w:rPr>
          <w:rFonts w:ascii="Calibri" w:cs="Calibri" w:eastAsia="Calibri" w:hAnsi="Calibri"/>
          <w:sz w:val="22"/>
          <w:szCs w:val="22"/>
        </w:rPr>
        <w:t xml:space="preserve">Esta sección proporciona respuestas técnicas directas a las preguntas más comunes en el análisis de disputas de Loss Control.</w:t>
      </w:r>
    </w:p>
    <w:p>
      <w:pPr>
        <w:spacing w:after="160"/>
      </w:pPr>
    </w:p>
    <w:p>
      <w:pPr>
        <w:spacing w:after="80"/>
      </w:pPr>
      <w:r>
        <w:rPr>
          <w:rFonts w:ascii="Calibri" w:cs="Calibri" w:eastAsia="Calibri" w:hAnsi="Calibri"/>
          <w:b/>
          <w:bCs/>
          <w:color w:val="1B3A6B"/>
          <w:sz w:val="22"/>
          <w:szCs w:val="22"/>
        </w:rPr>
        <w:t xml:space="preserve">1. ¿Cuál es la diferencia máxima aceptable entre Shore y Ship?</w:t>
      </w:r>
    </w:p>
    <w:p>
      <w:pPr>
        <w:spacing w:after="240"/>
        <w:ind w:left="360"/>
      </w:pPr>
      <w:r>
        <w:rPr>
          <w:rFonts w:ascii="Calibri" w:cs="Calibri" w:eastAsia="Calibri" w:hAnsi="Calibri"/>
          <w:sz w:val="22"/>
          <w:szCs w:val="22"/>
        </w:rPr>
        <w:t xml:space="preserve">±0.3% para crudos y ±0.2% para productos refinados, según API MPMS Cap. 17.05. Esta tolerancia aplica al NSV o GSV. Diferencias dentro de este rango se consideran dentro de los límites del error de medición y no sustentan reclamación formal.</w:t>
      </w:r>
    </w:p>
    <w:p>
      <w:pPr>
        <w:spacing w:after="80"/>
      </w:pPr>
      <w:r>
        <w:rPr>
          <w:rFonts w:ascii="Calibri" w:cs="Calibri" w:eastAsia="Calibri" w:hAnsi="Calibri"/>
          <w:b/>
          <w:bCs/>
          <w:color w:val="1B3A6B"/>
          <w:sz w:val="22"/>
          <w:szCs w:val="22"/>
        </w:rPr>
        <w:t xml:space="preserve">2. ¿Qué tabla VCF debo usar para crudo venezolano?</w:t>
      </w:r>
    </w:p>
    <w:p>
      <w:pPr>
        <w:spacing w:after="240"/>
        <w:ind w:left="360"/>
      </w:pPr>
      <w:r>
        <w:rPr>
          <w:rFonts w:ascii="Calibri" w:cs="Calibri" w:eastAsia="Calibri" w:hAnsi="Calibri"/>
          <w:sz w:val="22"/>
          <w:szCs w:val="22"/>
        </w:rPr>
        <w:t xml:space="preserve">Tabla 6A (Crude Oils) de API MPMS Cap. 11.1. La selección depende del API Gravity y la temperatura observada. Para crudos con densidad fuera del rango de la Tabla 6A, se puede usar 6B (Generalized Products) con justificación técnica documentada.</w:t>
      </w:r>
    </w:p>
    <w:p>
      <w:pPr>
        <w:spacing w:after="80"/>
      </w:pPr>
      <w:r>
        <w:rPr>
          <w:rFonts w:ascii="Calibri" w:cs="Calibri" w:eastAsia="Calibri" w:hAnsi="Calibri"/>
          <w:b/>
          <w:bCs/>
          <w:color w:val="1B3A6B"/>
          <w:sz w:val="22"/>
          <w:szCs w:val="22"/>
        </w:rPr>
        <w:t xml:space="preserve">3. ¿Cuántos viajes necesito para calcular un VEF confiable?</w:t>
      </w:r>
    </w:p>
    <w:p>
      <w:pPr>
        <w:spacing w:after="240"/>
        <w:ind w:left="360"/>
      </w:pPr>
      <w:r>
        <w:rPr>
          <w:rFonts w:ascii="Calibri" w:cs="Calibri" w:eastAsia="Calibri" w:hAnsi="Calibri"/>
          <w:sz w:val="22"/>
          <w:szCs w:val="22"/>
        </w:rPr>
        <w:t xml:space="preserve">Mínimo 6 viajes de carga completa con el mismo tipo de producto y condiciones similares, según API MPMS Cap. 17.09, Sección 9.4. Con menos viajes, el VEF puede ser calculado pero debe ser usado con cautela e indicando la limitación estadística.</w:t>
      </w:r>
    </w:p>
    <w:p>
      <w:pPr>
        <w:spacing w:after="80"/>
      </w:pPr>
      <w:r>
        <w:rPr>
          <w:rFonts w:ascii="Calibri" w:cs="Calibri" w:eastAsia="Calibri" w:hAnsi="Calibri"/>
          <w:b/>
          <w:bCs/>
          <w:color w:val="1B3A6B"/>
          <w:sz w:val="22"/>
          <w:szCs w:val="22"/>
        </w:rPr>
        <w:t xml:space="preserve">4. ¿Qué hago si el buque no tiene tabla de calibración vigente?</w:t>
      </w:r>
    </w:p>
    <w:p>
      <w:pPr>
        <w:spacing w:after="240"/>
        <w:ind w:left="360"/>
      </w:pPr>
      <w:r>
        <w:rPr>
          <w:rFonts w:ascii="Calibri" w:cs="Calibri" w:eastAsia="Calibri" w:hAnsi="Calibri"/>
          <w:sz w:val="22"/>
          <w:szCs w:val="22"/>
        </w:rPr>
        <w:t xml:space="preserve">Emitir protest letter de inmediato (antes de que el buque zarpe). Según API MPMS Cap. 17.07 y 2.7, las tablas de calibración deben estar vigentes (generalmente certificadas cada 5 años). Sin tabla válida, los sondeos del buque no son referenciales para la liquidación.</w:t>
      </w:r>
    </w:p>
    <w:p>
      <w:pPr>
        <w:spacing w:after="80"/>
      </w:pPr>
      <w:r>
        <w:rPr>
          <w:rFonts w:ascii="Calibri" w:cs="Calibri" w:eastAsia="Calibri" w:hAnsi="Calibri"/>
          <w:b/>
          <w:bCs/>
          <w:color w:val="1B3A6B"/>
          <w:sz w:val="22"/>
          <w:szCs w:val="22"/>
        </w:rPr>
        <w:t xml:space="preserve">5. ¿Cómo valido que el sondeo fue correcto?</w:t>
      </w:r>
    </w:p>
    <w:p>
      <w:pPr>
        <w:spacing w:after="240"/>
        <w:ind w:left="360"/>
      </w:pPr>
      <w:r>
        <w:rPr>
          <w:rFonts w:ascii="Calibri" w:cs="Calibri" w:eastAsia="Calibri" w:hAnsi="Calibri"/>
          <w:sz w:val="22"/>
          <w:szCs w:val="22"/>
        </w:rPr>
        <w:t xml:space="preserve">Verificar: (a) que se realizó counter-sounding (sondeo cruzado) firmado por ambas partes, (b) que se aplicaron correcciones de trim y lista según API 3.1 y 17.02, (c) que el sondaje fue hecho por inspector certificado, (d) que los valores son coherentes con el perfil de llenado del tanque.</w:t>
      </w:r>
    </w:p>
    <w:p>
      <w:pPr>
        <w:spacing w:after="80"/>
      </w:pPr>
      <w:r>
        <w:rPr>
          <w:rFonts w:ascii="Calibri" w:cs="Calibri" w:eastAsia="Calibri" w:hAnsi="Calibri"/>
          <w:b/>
          <w:bCs/>
          <w:color w:val="1B3A6B"/>
          <w:sz w:val="22"/>
          <w:szCs w:val="22"/>
        </w:rPr>
        <w:t xml:space="preserve">6. ¿Qué norma regula el muestreo de crudo en buque?</w:t>
      </w:r>
    </w:p>
    <w:p>
      <w:pPr>
        <w:spacing w:after="240"/>
        <w:ind w:left="360"/>
      </w:pPr>
      <w:r>
        <w:rPr>
          <w:rFonts w:ascii="Calibri" w:cs="Calibri" w:eastAsia="Calibri" w:hAnsi="Calibri"/>
          <w:sz w:val="22"/>
          <w:szCs w:val="22"/>
        </w:rPr>
        <w:t xml:space="preserve">API MPMS Cap. 8.1 (Manual Sampling) y Cap. 8.2 (Automatic Sampling). Para el análisis de las muestras se aplica API 9.1 (densidad), 10.1-10.4 (BS&amp;W), y el COQ debe ser elaborado siguiendo los métodos referenciados en el contrato de compraventa.</w:t>
      </w:r>
    </w:p>
    <w:p>
      <w:pPr>
        <w:spacing w:after="80"/>
      </w:pPr>
      <w:r>
        <w:rPr>
          <w:rFonts w:ascii="Calibri" w:cs="Calibri" w:eastAsia="Calibri" w:hAnsi="Calibri"/>
          <w:b/>
          <w:bCs/>
          <w:color w:val="1B3A6B"/>
          <w:sz w:val="22"/>
          <w:szCs w:val="22"/>
        </w:rPr>
        <w:t xml:space="preserve">7. ¿Qué es el OBQ y cómo afecta la liquidación?</w:t>
      </w:r>
    </w:p>
    <w:p>
      <w:pPr>
        <w:spacing w:after="240"/>
        <w:ind w:left="360"/>
      </w:pPr>
      <w:r>
        <w:rPr>
          <w:rFonts w:ascii="Calibri" w:cs="Calibri" w:eastAsia="Calibri" w:hAnsi="Calibri"/>
          <w:sz w:val="22"/>
          <w:szCs w:val="22"/>
        </w:rPr>
        <w:t xml:space="preserve">OBQ (On Board Quantity) es la cantidad de hidrocarburo a bordo antes de iniciar la carga, medida según API 17.08. Si el OBQ no fue acordado y firmado por ambas partes antes de cargar, puede generar disputas sobre la cantidad real cargada. El OBQ se resta de la cantidad total cargada para obtener la cantidad neta cargada.</w:t>
      </w:r>
    </w:p>
    <w:p>
      <w:pPr>
        <w:spacing w:after="80"/>
      </w:pPr>
      <w:r>
        <w:rPr>
          <w:rFonts w:ascii="Calibri" w:cs="Calibri" w:eastAsia="Calibri" w:hAnsi="Calibri"/>
          <w:b/>
          <w:bCs/>
          <w:color w:val="1B3A6B"/>
          <w:sz w:val="22"/>
          <w:szCs w:val="22"/>
        </w:rPr>
        <w:t xml:space="preserve">8. ¿Cuándo se aplica el VEF en la liquidación?</w:t>
      </w:r>
    </w:p>
    <w:p>
      <w:pPr>
        <w:spacing w:after="240"/>
        <w:ind w:left="360"/>
      </w:pPr>
      <w:r>
        <w:rPr>
          <w:rFonts w:ascii="Calibri" w:cs="Calibri" w:eastAsia="Calibri" w:hAnsi="Calibri"/>
          <w:sz w:val="22"/>
          <w:szCs w:val="22"/>
        </w:rPr>
        <w:t xml:space="preserve">El VEF se aplica cuando el contrato lo estipula expresamente, o cuando la diferencia Shore-Ship es mayor a la tolerancia y existe un VEF histórico confiable (≥6 viajes). Su aplicación debe ser acordada por ambas partes según API 17.09. No se aplica automáticamente — requiere acuerdo contractual previo.</w:t>
      </w:r>
    </w:p>
    <w:p>
      <w:pPr>
        <w:spacing w:after="80"/>
      </w:pPr>
      <w:r>
        <w:rPr>
          <w:rFonts w:ascii="Calibri" w:cs="Calibri" w:eastAsia="Calibri" w:hAnsi="Calibri"/>
          <w:b/>
          <w:bCs/>
          <w:color w:val="1B3A6B"/>
          <w:sz w:val="22"/>
          <w:szCs w:val="22"/>
        </w:rPr>
        <w:t xml:space="preserve">9. ¿Qué documentos son obligatorios para una disputa formal?</w:t>
      </w:r>
    </w:p>
    <w:p>
      <w:pPr>
        <w:spacing w:after="240"/>
        <w:ind w:left="360"/>
      </w:pPr>
      <w:r>
        <w:rPr>
          <w:rFonts w:ascii="Calibri" w:cs="Calibri" w:eastAsia="Calibri" w:hAnsi="Calibri"/>
          <w:sz w:val="22"/>
          <w:szCs w:val="22"/>
        </w:rPr>
        <w:t xml:space="preserve">BL con cifras Shore, Ship's Ullage Report, COQ (origen y destino), calibration certificates del buque, temperature logs, BS&amp;W reports, pre-load survey, y protest letter emitida en tiempo y forma. La ausencia de cualquiera de estos documentos debilita significativamente la posición en arbitraje.</w:t>
      </w:r>
    </w:p>
    <w:p>
      <w:pPr>
        <w:spacing w:after="80"/>
      </w:pPr>
      <w:r>
        <w:rPr>
          <w:rFonts w:ascii="Calibri" w:cs="Calibri" w:eastAsia="Calibri" w:hAnsi="Calibri"/>
          <w:b/>
          <w:bCs/>
          <w:color w:val="1B3A6B"/>
          <w:sz w:val="22"/>
          <w:szCs w:val="22"/>
        </w:rPr>
        <w:t xml:space="preserve">10. ¿Cómo determino si hay pérdida en tránsito o error de medición?</w:t>
      </w:r>
    </w:p>
    <w:p>
      <w:pPr>
        <w:spacing w:after="240"/>
        <w:ind w:left="360"/>
      </w:pPr>
      <w:r>
        <w:rPr>
          <w:rFonts w:ascii="Calibri" w:cs="Calibri" w:eastAsia="Calibri" w:hAnsi="Calibri"/>
          <w:sz w:val="22"/>
          <w:szCs w:val="22"/>
        </w:rPr>
        <w:t xml:space="preserve">Mediante el Voyage Analysis (API 17.05). Si el VEF histórico del buque es dentro del rango normal y la diferencia es puntual, se investiga error de medición. Si el VEF histórico también muestra tendencia negativa, se investiga pérdida sistemática (fugas, evaporación anormal, robo). Comparar con tasas de evaporación esperadas según tipo de producto (API 19.1).</w:t>
      </w:r>
    </w:p>
    <w:p>
      <w:pPr>
        <w:spacing w:after="80"/>
      </w:pPr>
      <w:r>
        <w:rPr>
          <w:rFonts w:ascii="Calibri" w:cs="Calibri" w:eastAsia="Calibri" w:hAnsi="Calibri"/>
          <w:b/>
          <w:bCs/>
          <w:color w:val="1B3A6B"/>
          <w:sz w:val="22"/>
          <w:szCs w:val="22"/>
        </w:rPr>
        <w:t xml:space="preserve">11. ¿Qué tolerancia tiene el BS&amp;W para disputas?</w:t>
      </w:r>
    </w:p>
    <w:p>
      <w:pPr>
        <w:spacing w:after="240"/>
        <w:ind w:left="360"/>
      </w:pPr>
      <w:r>
        <w:rPr>
          <w:rFonts w:ascii="Calibri" w:cs="Calibri" w:eastAsia="Calibri" w:hAnsi="Calibri"/>
          <w:sz w:val="22"/>
          <w:szCs w:val="22"/>
        </w:rPr>
        <w:t xml:space="preserve">La industria acepta variaciones de hasta ±0.05% entre BS&amp;W medido en origen y destino para el mismo cargamento. Diferencias mayores requieren re-análisis por el método árbitro (Dean-Stark, API 10.3). El contrato de compraventa puede especificar tolerancias más estrictas.</w:t>
      </w:r>
    </w:p>
    <w:p>
      <w:pPr>
        <w:spacing w:after="80"/>
      </w:pPr>
      <w:r>
        <w:rPr>
          <w:rFonts w:ascii="Calibri" w:cs="Calibri" w:eastAsia="Calibri" w:hAnsi="Calibri"/>
          <w:b/>
          <w:bCs/>
          <w:color w:val="1B3A6B"/>
          <w:sz w:val="22"/>
          <w:szCs w:val="22"/>
        </w:rPr>
        <w:t xml:space="preserve">12. ¿Cómo se calcula el NSV desde el GOV?</w:t>
      </w:r>
    </w:p>
    <w:p>
      <w:pPr>
        <w:spacing w:after="240"/>
        <w:ind w:left="360"/>
      </w:pPr>
      <w:r>
        <w:rPr>
          <w:rFonts w:ascii="Calibri" w:cs="Calibri" w:eastAsia="Calibri" w:hAnsi="Calibri"/>
          <w:sz w:val="22"/>
          <w:szCs w:val="22"/>
        </w:rPr>
        <w:t xml:space="preserve">NSV = GOV × VCF × (1 − BS&amp;W/100). El VCF se obtiene de las tablas API 11.1 usando temperatura observada y densidad @15°C. El NSV es el volumen final para fines de liquidación en la mayoría de los contratos de crudo.</w:t>
      </w:r>
    </w:p>
    <w:p>
      <w:pPr>
        <w:spacing w:after="80"/>
      </w:pPr>
      <w:r>
        <w:rPr>
          <w:rFonts w:ascii="Calibri" w:cs="Calibri" w:eastAsia="Calibri" w:hAnsi="Calibri"/>
          <w:b/>
          <w:bCs/>
          <w:color w:val="1B3A6B"/>
          <w:sz w:val="22"/>
          <w:szCs w:val="22"/>
        </w:rPr>
        <w:t xml:space="preserve">13. ¿Qué es el trim correction y cuándo es obligatorio?</w:t>
      </w:r>
    </w:p>
    <w:p>
      <w:pPr>
        <w:spacing w:after="240"/>
        <w:ind w:left="360"/>
      </w:pPr>
      <w:r>
        <w:rPr>
          <w:rFonts w:ascii="Calibri" w:cs="Calibri" w:eastAsia="Calibri" w:hAnsi="Calibri"/>
          <w:sz w:val="22"/>
          <w:szCs w:val="22"/>
        </w:rPr>
        <w:t xml:space="preserve">La corrección de trim (diferencia de calado proa-popa) es un ajuste que se aplica al volumen calculado desde los sondeos de tanques de buque para compensar la inclinación longitudinal del casco. Es obligatorio según API 3.1 y 17.02 cuando el trim es mayor a 0.3 metros. Sin esta corrección, el volumen calculado puede tener error de hasta 1%.</w:t>
      </w:r>
    </w:p>
    <w:p>
      <w:pPr>
        <w:spacing w:after="80"/>
      </w:pPr>
      <w:r>
        <w:rPr>
          <w:rFonts w:ascii="Calibri" w:cs="Calibri" w:eastAsia="Calibri" w:hAnsi="Calibri"/>
          <w:b/>
          <w:bCs/>
          <w:color w:val="1B3A6B"/>
          <w:sz w:val="22"/>
          <w:szCs w:val="22"/>
        </w:rPr>
        <w:t xml:space="preserve">14. ¿Cuándo se activa el proceso de reclamo formal?</w:t>
      </w:r>
    </w:p>
    <w:p>
      <w:pPr>
        <w:spacing w:after="240"/>
        <w:ind w:left="360"/>
      </w:pPr>
      <w:r>
        <w:rPr>
          <w:rFonts w:ascii="Calibri" w:cs="Calibri" w:eastAsia="Calibri" w:hAnsi="Calibri"/>
          <w:sz w:val="22"/>
          <w:szCs w:val="22"/>
        </w:rPr>
        <w:t xml:space="preserve">Cuando la diferencia supera la tolerancia admisible (API 17.05) y no puede explicarse por error de procedimiento verificable y corregible. La protest letter debe emitirse antes de que el buque zarpe del puerto de descarga. El reclamo formal (claim letter) debe presentarse dentro del plazo contractual, generalmente 30-90 días post-operación.</w:t>
      </w:r>
    </w:p>
    <w:p>
      <w:pPr>
        <w:spacing w:after="80"/>
      </w:pPr>
      <w:r>
        <w:rPr>
          <w:rFonts w:ascii="Calibri" w:cs="Calibri" w:eastAsia="Calibri" w:hAnsi="Calibri"/>
          <w:b/>
          <w:bCs/>
          <w:color w:val="1B3A6B"/>
          <w:sz w:val="22"/>
          <w:szCs w:val="22"/>
        </w:rPr>
        <w:t xml:space="preserve">15. ¿Qué organismos son reconocidos para dirimir disputas de medición API?</w:t>
      </w:r>
    </w:p>
    <w:p>
      <w:pPr>
        <w:spacing w:after="240"/>
        <w:ind w:left="360"/>
      </w:pPr>
      <w:r>
        <w:rPr>
          <w:rFonts w:ascii="Calibri" w:cs="Calibri" w:eastAsia="Calibri" w:hAnsi="Calibri"/>
          <w:sz w:val="22"/>
          <w:szCs w:val="22"/>
        </w:rPr>
        <w:t xml:space="preserve">Los principales son: GAFTA y FOSFA (para granos y aceites — referencia para procedimientos), LMAA (London Maritime Arbitrators Association), ICC (International Chamber of Commerce), y para América Latina, la Cámara de Comercio Internacional con sede en París. Los contratos de crudo generalmente especifican el foro de arbitraje. El inspector independiente (surveyors SIRE o similares) puede actuar como árbitro técnico.</w:t>
      </w:r>
    </w:p>
    <w:p>
      <w:r>
        <w:br w:type="page"/>
      </w:r>
    </w:p>
    <w:p>
      <w:pPr>
        <w:pStyle w:val="Heading1"/>
      </w:pPr>
      <w:r>
        <w:t xml:space="preserve">SECCIÓN 9 — GLOSARIO TÉCNICO</w:t>
      </w:r>
    </w:p>
    <w:p>
      <w:pPr>
        <w:spacing w:after="120"/>
        <w:jc w:val="both"/>
      </w:pPr>
      <w:r>
        <w:rPr>
          <w:rFonts w:ascii="Calibri" w:cs="Calibri" w:eastAsia="Calibri" w:hAnsi="Calibri"/>
          <w:sz w:val="22"/>
          <w:szCs w:val="22"/>
        </w:rPr>
        <w:t xml:space="preserve">Definiciones técnicas de términos empleados en el análisis de disputas de Loss Control, con referencia a la norma API aplicable.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200"/>
        <w:gridCol w:w="1360"/>
      </w:tblGrid>
      <w:tr>
        <w:trPr>
          <w:tblHeader/>
        </w:trPr>
        <w:tc>
          <w:tcPr>
            <w:tcW w:type="dxa" w:w="1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Término / Sigla</w:t>
            </w:r>
          </w:p>
        </w:tc>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Nombre Completo</w:t>
            </w:r>
          </w:p>
        </w:tc>
        <w:tc>
          <w:tcPr>
            <w:tcW w:type="dxa" w:w="4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Definición Técnica</w:t>
            </w:r>
          </w:p>
        </w:tc>
        <w:tc>
          <w:tcPr>
            <w:tcW w:type="dxa" w:w="1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Norma API</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GOV</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Gross Observed Volume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Volumen total medido a condiciones de temperatura y presión observadas, sin correcciones de calidad.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11.1, 12.1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GSV</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Gross Standard Volume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Volumen corregido a condiciones estándar (15°C / 60°F) aplicando el VCF. GSV = GOV × VCF.</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11.1, 12.1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NSV</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Net Standard Volume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GSV menos el agua y sedimentos libres. NSV = GSV × (1 − BS&amp;W/100). Base de liquidación.</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11.1, 12.1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VCF</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Volume Correction Factor</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Factor que corrige el volumen observado a condiciones estándar de temperatura. Derivado de tablas API 11.1 (6A-6D).</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11.1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Vessel Experience Factor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Promedio ponderado de relaciones Ship/Shore de viajes anteriores. Mide confiabilidad histórica del buque.</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17.09</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OBQ</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On Board Quantity</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Cantidad de hidrocarburo en tanques del buque antes de comenzar la carga.</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17.08, 17.05</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ROB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Retained on Board</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Cantidad remanente en tanques del buque tras completar la descarga.</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17.02, 17.05</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Bill of Lading</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Documento que certifica la cantidad y calidad del cargamento recibido. Base legal de la transferencia de custodia.</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18.1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Shore Figures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Shore Figures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Cantidades medidas en instalaciones fijas (terminales). Generalmente medición maestra para liquidación.</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12.1, 17.05</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Ship Figures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Ship Figures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Cantidades calculadas desde sondeos de tanques del buque. Usadas para verificación y VEF.</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17.02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Ullage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Ullage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Espacio vacío desde la superficie del líquido hasta el techo del tanque. Se usa para calcular el volumen por diferencia.</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3.1, 17.06</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Innage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Innage (Sounding)</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Profundidad del líquido desde el fondo del tanque. Método alternativo al ullage para medir nivel.</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3.1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Trim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Trim</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Diferencia entre calado de proa y calado de popa del buque. Afecta la lectura de nivel en tanques.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3.1, 17.02</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List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List</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Inclinación lateral (estribor-babor) del buque. También afecta la lectura de nivel en tanques.</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3.1, 17.02</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Density @15°C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Density at 15°C (ρ@15°C)</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Densidad del producto corregida a temperatura estándar de 15°C. Parámetro clave para convertir GSV a masa.</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9.1, 11.1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Gravity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Gravity</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Escala de densidad relativa del petróleo al agua a 60°F. API = (141.5 / SG @60°F) − 131.5.</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9.1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BS&amp;W</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Basic Sediment and Water</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Contenido de agua y sólidos en el hidrocarburo expresado en % volumen. Afecta NSV y calidad.</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10.1-10.4</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Custody Transfer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Custody Transfer (Transferencia de Custodia)</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Transferencia de propiedad o responsabilidad legal de un hidrocarburo entre dos partes. Requiere medición certificada.</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5.1, 18.1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Voyage Analysis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Voyage Analysis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Reconciliación completa de cantidades a lo largo de un viaje: OBQ, cargado, descargado, ROB.</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17.05</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Mass Balance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Mass Balance (Balance de Masa)</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Verificación de que la masa total de entrada igual la masa total de salida en una operación.</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12.2, 20.1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Tolerance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Tolerance (Tolerancia)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Diferencia máxima aceptable entre dos mediciones independientes antes de que se considere una disputa.</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17.05</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Short Loading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Short Loading</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Situación en que el buque recibe menos cantidad que la nominada/contratada.</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18.1, 17.05</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Overage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Overage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Sobrante: el buque recibe más cantidad que la nominada/contratada o se registra más en destino que en origen.</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17.05</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Shortage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Shortage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Faltante: diferencia negativa entre cantidad nominada/embarcada y cantidad recibida.</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17.05</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Calibration Table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Calibration Table (Tabla de Calibración / Strapping Table)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Tabla que relaciona el nivel del tanque (sondeo) con el volumen correspondiente. Debe estar certificada.</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2.2A, 2.7, 17.07</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Hydrometer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Hydrometer (Hidrómetro)</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Instrumento de vidrio flotante para medir la densidad de líquidos por flotabilidad. API estandariza su uso.</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9.1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Composite Sample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Composite Sample (Muestra Compuesta)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Muestra formada por la mezcla de submuestras tomadas a lo largo de toda la operación de transferencia, proporcional al flujo.</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8.1, 8.2</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Spot Sample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Spot Sample (Muestra Puntual)</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Muestra tomada en un momento específico y punto definido. Menos representativa que la compuesta.</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8.1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Chain of Custody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Chain of Custody (Cadena de Custodia)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Registro documentado y sellado que garantiza que una muestra no fue alterada desde su toma hasta el análisis.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8.1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COQ</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Certificate of Quality (COQ)</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Certificado oficial emitido por laboratorio certificado con los resultados de análisis del cargamento.</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8.1, 9.1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Certificate of Analysis (COA)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Certificado de calidad emitido por el productor o refinería, con las especificaciones del producto de origen.</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18.1</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Strapping Table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Strapping Table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Sinónimo de Calibration Table. Tabla de capacidad del tanque obtenida por medición directa (strap = cinta métrica).</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API 2.2A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Reference Temperature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Reference Temperature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Temperatura estándar a la que se refieren los volúmenes en la industria: 15°C (internacional) o 60°F (EE.UU.).</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API 11.1 Cap. 1</w:t>
            </w:r>
          </w:p>
        </w:tc>
      </w:tr>
    </w:tbl>
    <w:p>
      <w:r>
        <w:br w:type="page"/>
      </w:r>
    </w:p>
    <w:p>
      <w:pPr>
        <w:pStyle w:val="Heading1"/>
      </w:pPr>
      <w:r>
        <w:t xml:space="preserve">SECCIÓN 10 — ÍNDICE DE NORMAS API MPMS RELEVANTES PARA DISPUTAS</w:t>
      </w:r>
    </w:p>
    <w:p>
      <w:pPr>
        <w:spacing w:after="120"/>
        <w:jc w:val="both"/>
      </w:pPr>
      <w:r>
        <w:rPr>
          <w:rFonts w:ascii="Calibri" w:cs="Calibri" w:eastAsia="Calibri" w:hAnsi="Calibri"/>
          <w:sz w:val="22"/>
          <w:szCs w:val="22"/>
        </w:rPr>
        <w:t xml:space="preserve">Referencia rápida de los capítulos API MPMS más frecuentemente aplicados en el análisis de disputas de Loss Control, con edición de referencia y aplicación práctica.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260"/>
        <w:gridCol w:w="2900"/>
      </w:tblGrid>
      <w:tr>
        <w:trPr>
          <w:tblHeader/>
        </w:trPr>
        <w:tc>
          <w:tcPr>
            <w:tcW w:type="dxa" w:w="7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Cap.</w:t>
            </w:r>
          </w:p>
        </w:tc>
        <w:tc>
          <w:tcPr>
            <w:tcW w:type="dxa" w:w="4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Título (Inglés oficial)</w:t>
            </w:r>
          </w:p>
        </w:tc>
        <w:tc>
          <w:tcPr>
            <w:tcW w:type="dxa" w:w="12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Edición Ref.</w:t>
            </w:r>
          </w:p>
        </w:tc>
        <w:tc>
          <w:tcPr>
            <w:tcW w:type="dxa" w:w="29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Aplicación en Disputas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Vocabulary and Definitions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1994</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Definición de todos los términos usados en disputas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2.2A</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Measurement and Calibration of Upright Cylindrical Tanks</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2019</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Calibración de tanques verticales en terminal</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2.7</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Measurement of Cargoes on Board Vessels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Calibración de tablas de tanques de buque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3.1</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Standard Practice for Manual Gauging of Petroleum</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2018</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Procedimiento oficial de sondeo manual</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3.6</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Measurement of Liquid Hydrocarbons by Displacement Meter</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2011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Medición dinámica por desplazamiento</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4.2</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Displacement Provers</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2019</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Verificación de medidores dinámicos en terminal</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5.1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Fidelity and Security of Flow Measurement Pulsed-Output Transducers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2005</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Medición continua en terminales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7.1</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Temperature Determination</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2017</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Medición de temperatura en tanques y líneas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7.2</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Dynamic Temperature Compensation</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2004</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Corrección de temperatura en medidores dinámicos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8.1</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Manual Sampling of Petroleum and Petroleum Products</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2013</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Muestreo manual — patrón para disputas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8.2</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Automatic Sampling of Petroleum and Petroleum Products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2015</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Muestreo automático en línea de transferencia</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9.1</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Hydrometer Test Method for Density</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2012</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Determinación de densidad con hidrómetro</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10.1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Determination of Sediment in Crude Oils by Centrifuge</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2017</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BS&amp;W por centrífuga — método de campo</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10.3</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Determination of Water Content by Distillation</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2013</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Dean-Stark — método árbitro en disputas BS&amp;W</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10.4</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Determination of Sediment and Water (S&amp;W) in Crude Oil</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2013</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Método gravimétrico de sedimentos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11.1</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Temperature and Pressure Volume Correction Factors</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2021</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Tablas VCF 6A/6B/6C/6D — base de liquidación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12.1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Calculation of Static Petroleum Quantities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2021</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Cálculo GOV/GSV/NSV estático en tanques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12.2</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Calculation of Petroleum Quantities Using Dynamic Measurement</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2003</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Liquidación en medidores dinámicos (flows)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13.1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Statistical Aspects of Measuring and Sampling</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2013</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Incertidumbre de medición y análisis estadístico</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17.01</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Guidelines for Marine Cargo Inspection</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2000</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Marco general para toda inspección marina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17.02</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Measurement of Cargoes Aboard Marine Vessels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2004</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Procedimiento oficial de sondeo en buques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17.03</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Cargo Identification</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1999</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Verificación e identificación de cargamentos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17.04</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Methods for Quantification of Small Volumes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2003</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Medición de volúmenes pequeños (residuos, muestras)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17.05</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Voyage Analysis</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2007</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Reconciliación completa de viaje — herramienta clave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17.06</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Determination of Fullness of Marine Vessel Cargo Tanks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2004</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Ullage y plenitud de tanques de buque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17.07</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Development of Tank Tables for Marine Vessels</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2004</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Elaboración de tablas de calibración del buque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17.08</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Guidelines for the Pre-Loading Inspection</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2003</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Inspección previa a carga — base para OBQ y responsabilidades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17.09</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Vessel Experience Factor</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2002</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Cálculo y aplicación del VEF — estándar de la industria</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18.1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Custody Transfer</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2006</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Marco completo de transferencia de custodia de crudo</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18.2</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Custody Transfer — Refined Products</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2006</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Transferencia de custodia para productos refinados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19.1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Evaporative Loss from Fixed-Roof Tanks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2002</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Pérdidas por evaporación en tanques atmosféricos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Allocation Measurement</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2017</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Asignación y reconciliación en múltiples productores</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23.1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Reconciliation of Liquid Pipeline Quantities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2013</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Reconciliación en oleoductos y sistemas de tubería</w:t>
            </w:r>
          </w:p>
        </w:tc>
      </w:tr>
    </w:tbl>
    <w:p>
      <w:pPr>
        <w:spacing w:after="160"/>
      </w:pPr>
    </w:p>
    <w:p>
      <w:pPr>
        <w:spacing w:after="120"/>
        <w:jc w:val="both"/>
      </w:pPr>
      <w:r>
        <w:rPr>
          <w:rFonts w:ascii="Calibri" w:cs="Calibri" w:eastAsia="Calibri" w:hAnsi="Calibri"/>
          <w:sz w:val="22"/>
          <w:szCs w:val="22"/>
        </w:rPr>
        <w:t xml:space="preserve">NOTA: Las ediciones indicadas son las de mayor disponibilidad en la biblioteca de normas ACI. Siempre verificar si existe una edición más reciente antes de citar en un reporte formal de disputa.</w:t>
      </w:r>
    </w:p>
    <w:p>
      <w:r>
        <w:br w:type="page"/>
      </w:r>
    </w:p>
    <w:p>
      <w:pPr>
        <w:pStyle w:val="Heading1"/>
      </w:pPr>
      <w:r>
        <w:t xml:space="preserve">HOJA DE APROBACIÓN Y CONTROL DE CAMBIOS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Nombre y Apellido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Firma</w:t>
            </w:r>
          </w:p>
        </w:tc>
        <w:tc>
          <w:tcPr>
            <w:tcW w:type="dxa" w:w="18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Fecha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Elaborado por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________________________________</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________________</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Revisado por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________________________________</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________________</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___________</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Aprobado por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________________________________</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________________</w:t>
            </w:r>
          </w:p>
        </w:tc>
        <w:tc>
          <w:tcPr>
            <w:tcW w:type="dxa" w:w="1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___________</w:t>
            </w:r>
          </w:p>
        </w:tc>
      </w:tr>
    </w:tbl>
    <w:p>
      <w:pPr>
        <w:spacing w:after="160"/>
      </w:pPr>
    </w:p>
    <w:p>
      <w:pPr>
        <w:pStyle w:val="Heading2"/>
      </w:pPr>
      <w:r>
        <w:t xml:space="preserve">Control de Revisiones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860"/>
        <w:gridCol w:w="1800"/>
        <w:gridCol w:w="1800"/>
      </w:tblGrid>
      <w:tr>
        <w:trPr>
          <w:tblHeader/>
        </w:trPr>
        <w:tc>
          <w:tcPr>
            <w:tcW w:type="dxa" w:w="7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Rev.</w:t>
            </w:r>
          </w:p>
        </w:tc>
        <w:tc>
          <w:tcPr>
            <w:tcW w:type="dxa" w:w="1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Fecha</w:t>
            </w:r>
          </w:p>
        </w:tc>
        <w:tc>
          <w:tcPr>
            <w:tcW w:type="dxa" w:w="38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 del Cambio</w:t>
            </w:r>
          </w:p>
        </w:tc>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Elaborado por</w:t>
            </w:r>
          </w:p>
        </w:tc>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Aprobado por</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Junio 2026</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Emisión inicial del documento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ACI LATAM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sz w:val="20"/>
                <w:szCs w:val="20"/>
              </w:rPr>
              <w:t xml:space="preserve"/>
            </w:r>
          </w:p>
        </w:tc>
      </w:tr>
    </w:tbl>
    <w:p>
      <w:pPr>
        <w:spacing w:after="160"/>
      </w:pPr>
    </w:p>
    <w:p>
      <w:pPr>
        <w:pBdr>
          <w:top w:val="single" w:color="1B3A6B" w:sz="6"/>
        </w:pBdr>
        <w:spacing w:after="0"/>
      </w:pPr>
      <w:r>
        <w:rPr>
          <w:rFonts w:ascii="Calibri" w:cs="Calibri" w:eastAsia="Calibri" w:hAnsi="Calibri"/>
          <w:i/>
          <w:iCs/>
          <w:color w:val="1B3A6B"/>
          <w:sz w:val="18"/>
          <w:szCs w:val="18"/>
        </w:rPr>
        <w:t xml:space="preserve">ACI LATAM — Loss Control &amp; Expediting | ACI-MD-001 Rev. 01 | Junio 2026 | Confidencial — Uso Interno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jc w:val="center"/>
    </w:pPr>
    <w:r>
      <w:rPr>
        <w:rFonts w:ascii="Calibri" w:cs="Calibri" w:eastAsia="Calibri" w:hAnsi="Calibri"/>
        <w:color w:val="1B3A6B"/>
        <w:sz w:val="18"/>
        <w:szCs w:val="18"/>
      </w:rPr>
      <w:t xml:space="preserve">ACI-MD-001  |  Rev. 01  |  Junio 2026  |  Confidencial — Uso Interno  |  Página </w:t>
    </w:r>
    <w:r>
      <w:rPr>
        <w:rFonts w:ascii="Calibri" w:cs="Calibri" w:eastAsia="Calibri" w:hAnsi="Calibri"/>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jc w:val="right"/>
    </w:pPr>
    <w:r>
      <w:rPr>
        <w:rFonts w:ascii="Calibri" w:cs="Calibri" w:eastAsia="Calibri" w:hAnsi="Calibri"/>
        <w:color w:val="1B3A6B"/>
        <w:sz w:val="18"/>
        <w:szCs w:val="18"/>
      </w:rPr>
      <w:t xml:space="preserve">ACI LATAM  |  Loss Control &amp; Expediting  |  </w:t>
    </w:r>
    <w:r>
      <w:rPr>
        <w:rFonts w:ascii="Calibri" w:cs="Calibri" w:eastAsia="Calibri" w:hAnsi="Calibri"/>
        <w:b/>
        <w:bCs/>
        <w:color w:val="1B3A6B"/>
        <w:sz w:val="18"/>
        <w:szCs w:val="18"/>
      </w:rPr>
      <w:t xml:space="preserve">Manual de Análisis de Disputas — ACI-MD-001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6B" w:sz="6" w:space="1"/>
      </w:pBdr>
      <w:spacing w:after="24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2026-06-12T19:53:01.319Z</dcterms:created>
  <dcterms:modified xsi:type="dcterms:W3CDTF">2026-06-12T19:53:01.322Z</dcterms:modified>
</cp:coreProperties>
</file>

<file path=docProps/custom.xml><?xml version="1.0" encoding="utf-8"?>
<Properties xmlns="http://schemas.openxmlformats.org/officeDocument/2006/custom-properties" xmlns:vt="http://schemas.openxmlformats.org/officeDocument/2006/docPropsVTypes"/>
</file>