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677"/>
      </w:tblGrid>
      <w:tr>
        <w:tc>
          <w:tcPr>
            <w:tcW w:type="dxa" w:w="9878"/>
            <w:shd w:fill="0B0F12"/>
            <w:tcMar>
              <w:top w:w="330" w:type="dxa"/>
              <w:start w:w="280" w:type="dxa"/>
              <w:bottom w:w="330" w:type="dxa"/>
              <w:end w:w="2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INDICE MAESTRO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3"/>
              </w:rPr>
              <w:t>Documentacion Operacional y Tecnica</w:t>
            </w:r>
          </w:p>
          <w:p>
            <w:pPr>
              <w:spacing w:before="32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2"/>
              </w:rPr>
              <w:t>ACI-OP-000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Aprobacion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aprobacion e implementacion piloto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Pendiente</w:t>
            </w:r>
          </w:p>
        </w:tc>
      </w:tr>
    </w:tbl>
    <w:p>
      <w:pPr>
        <w:spacing w:after="40"/>
      </w:pPr>
    </w:p>
    <w:p>
      <w:pPr>
        <w:spacing w:after="100" w:line="264" w:lineRule="auto"/>
      </w:pPr>
      <w:r>
        <w:rPr>
          <w:rFonts w:ascii="Arial" w:hAnsi="Arial"/>
          <w:b w:val="0"/>
          <w:i/>
          <w:color w:val="5D788A"/>
          <w:sz w:val="20"/>
        </w:rPr>
        <w:t>Debe aplicarse junto con ACI-MO-001, la orden de servicio y las instrucciones contractuales vigentes. No reemplaza normas, metodos ni requisitos legales aplicables.</w:t>
      </w:r>
    </w:p>
    <w:p>
      <w:r>
        <w:br w:type="page"/>
      </w:r>
    </w:p>
    <w:p>
      <w:pPr>
        <w:pStyle w:val="Heading1"/>
      </w:pPr>
      <w:r>
        <w:t>1. Objeto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Identificar la documentación operacional desarrollada para ACI LATAM y su estado de implementación.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Codigo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14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Funcion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ACI-MO-001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Manual Operacional de Loss Control y Expediting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aprobación</w:t>
            </w:r>
          </w:p>
        </w:tc>
        <w:tc>
          <w:tcPr>
            <w:tcW w:type="dxa" w:w="14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Marco general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ACI-PT-001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Control Cantidad Reconciliacion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aprobación</w:t>
            </w:r>
          </w:p>
        </w:tc>
        <w:tc>
          <w:tcPr>
            <w:tcW w:type="dxa" w:w="14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Procedimiento / programa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ACI-PT-002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Muestreo Calidad Cadena Custodia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aprobación</w:t>
            </w:r>
          </w:p>
        </w:tc>
        <w:tc>
          <w:tcPr>
            <w:tcW w:type="dxa" w:w="14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Procedimiento / programa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ACI-PT-003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Expediting Control Tiempos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aprobación</w:t>
            </w:r>
          </w:p>
        </w:tc>
        <w:tc>
          <w:tcPr>
            <w:tcW w:type="dxa" w:w="14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Procedimiento / programa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ACI-PT-004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Evidencia Reportabilidad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aprobación</w:t>
            </w:r>
          </w:p>
        </w:tc>
        <w:tc>
          <w:tcPr>
            <w:tcW w:type="dxa" w:w="14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Procedimiento / programa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ACI-PT-005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Diferencias Soporte Reclamos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aprobación</w:t>
            </w:r>
          </w:p>
        </w:tc>
        <w:tc>
          <w:tcPr>
            <w:tcW w:type="dxa" w:w="14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Procedimiento / programa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ACI-HSE-001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Seguridad Emergencias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aprobación</w:t>
            </w:r>
          </w:p>
        </w:tc>
        <w:tc>
          <w:tcPr>
            <w:tcW w:type="dxa" w:w="14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Procedimiento / programa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ACI-PC-001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Capacitacion Habilitacion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aprobación</w:t>
            </w:r>
          </w:p>
        </w:tc>
        <w:tc>
          <w:tcPr>
            <w:tcW w:type="dxa" w:w="14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Procedimiento / programa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ACI-PQ-001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Paquete de Formatos Operacionales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aprobación</w:t>
            </w:r>
          </w:p>
        </w:tc>
        <w:tc>
          <w:tcPr>
            <w:tcW w:type="dxa" w:w="14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Excel ACI-F-001 a ACI-F-006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ACI-PQ-002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Control Documental y Competencia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aprobación</w:t>
            </w:r>
          </w:p>
        </w:tc>
        <w:tc>
          <w:tcPr>
            <w:tcW w:type="dxa" w:w="14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Excel ACI-F-101 y ACI-F-201 a 204</w:t>
            </w:r>
          </w:p>
        </w:tc>
      </w:tr>
    </w:tbl>
    <w:p>
      <w:pPr>
        <w:spacing w:after="40"/>
      </w:pPr>
    </w:p>
    <w:p>
      <w:pPr>
        <w:pStyle w:val="Heading1"/>
      </w:pPr>
      <w:r>
        <w:t>2. Condicion de vigencia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Ningún documento se considera vigente hasta contar con responsable nominal, aprobación, capacitación, prueba piloto y registro en el listado maestro de documentos.</w:t>
      </w:r>
    </w:p>
    <w:p>
      <w:pPr>
        <w:pStyle w:val="Heading1"/>
      </w:pPr>
      <w:r>
        <w:t>3. Orden de implementacion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Aprobar ACI-MO-001 y ACI-HSE-001.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Designar responsables y completar matrices de competencia.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Capacitar con ACI-PC-001.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Simular los procedimientos ACI-PT-001 a ACI-PT-005.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Ajustar formatos y emitir versiones vigentes.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Ejecutar operaciones piloto supervisadas.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Version 1.0 | Para aprobacion e implementacion piloto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ACI-OP-000 | Indice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