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p>
      <w:pPr>
        <w:spacing w:before="0" w:after="60"/>
      </w:pPr>
      <w:r>
        <w:rPr>
          <w:rFonts w:ascii="Arial" w:cs="Arial" w:eastAsia="Arial" w:hAnsi="Arial"/>
          <w:b/>
          <w:bCs/>
          <w:color w:val="1B4F8A"/>
          <w:sz w:val="96"/>
          <w:szCs w:val="96"/>
        </w:rPr>
        <w:t xml:space="preserve">AI-GECO</w:t>
      </w:r>
    </w:p>
    <w:p>
      <w:pPr>
        <w:spacing w:before="0" w:after="40"/>
      </w:pPr>
      <w:r>
        <w:rPr>
          <w:rFonts w:ascii="Arial" w:cs="Arial" w:eastAsia="Arial" w:hAnsi="Arial"/>
          <w:b w:val="false"/>
          <w:bCs w:val="false"/>
          <w:color w:val="2C2C2C"/>
          <w:sz w:val="40"/>
          <w:szCs w:val="40"/>
        </w:rPr>
        <w:t xml:space="preserve">Grounded Entity Context Object</w:t>
      </w:r>
    </w:p>
    <w:p>
      <w:pPr>
        <w:pBdr>
          <w:bottom w:val="single" w:color="1B4F8A" w:sz="8" w:space="1"/>
        </w:pBdr>
        <w:spacing w:before="40" w:after="280"/>
      </w:pPr>
    </w:p>
    <w:p>
      <w:pPr>
        <w:spacing w:before="0" w:after="100"/>
      </w:pPr>
      <w:r>
        <w:rPr>
          <w:rFonts w:ascii="Arial" w:cs="Arial" w:eastAsia="Arial" w:hAnsi="Arial"/>
          <w:color w:val="888888"/>
          <w:sz w:val="21"/>
          <w:szCs w:val="21"/>
        </w:rPr>
        <w:t xml:space="preserve">Specification Version 1.0  ·  Draft</w:t>
      </w:r>
    </w:p>
    <w:p>
      <w:pPr>
        <w:spacing w:before="0" w:after="500"/>
      </w:pPr>
      <w:r>
        <w:rPr>
          <w:rFonts w:ascii="Arial" w:cs="Arial" w:eastAsia="Arial" w:hAnsi="Arial"/>
          <w:i/>
          <w:iCs/>
          <w:color w:val="555555"/>
          <w:sz w:val="24"/>
          <w:szCs w:val="24"/>
        </w:rPr>
        <w:t xml:space="preserve">A portable, model-agnostic standard for grounding AI language models with authoritative entity context — reducing hallucinations and maximizing token efficiency.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0D4EE" w:sz="1"/>
              <w:left w:val="single" w:color="C0D4EE" w:sz="1"/>
              <w:bottom w:val="single" w:color="C0D4EE" w:sz="1"/>
              <w:right w:val="single" w:color="C0D4EE" w:sz="1"/>
            </w:tcBorders>
            <w:shd w:fill="EAF0FA" w:val="clear"/>
            <w:tcMar>
              <w:top w:type="dxa" w:w="160"/>
              <w:left w:type="dxa" w:w="200"/>
              <w:bottom w:type="dxa" w:w="160"/>
              <w:right w:type="dxa" w:w="200"/>
            </w:tcMar>
          </w:tcPr>
          <w:p>
            <w:pPr>
              <w:spacing w:before="0" w:after="60"/>
            </w:pPr>
            <w:r>
              <w:rPr>
                <w:rFonts w:ascii="Arial" w:cs="Arial" w:eastAsia="Arial" w:hAnsi="Arial"/>
                <w:b/>
                <w:bCs/>
                <w:color w:val="1B4F8A"/>
                <w:sz w:val="24"/>
                <w:szCs w:val="24"/>
              </w:rPr>
              <w:t xml:space="preserve">Ground</w:t>
            </w:r>
          </w:p>
          <w:p>
            <w:r>
              <w:rPr>
                <w:rFonts w:ascii="Arial" w:cs="Arial" w:eastAsia="Arial" w:hAnsi="Arial"/>
                <w:color w:val="555555"/>
                <w:sz w:val="19"/>
                <w:szCs w:val="19"/>
              </w:rPr>
              <w:t xml:space="preserve">Provide AI models with a factual, authoritative starting point for any entity.</w:t>
            </w:r>
          </w:p>
        </w:tc>
        <w:tc>
          <w:tcPr>
            <w:tcW w:type="dxa" w:w="3120"/>
            <w:tcBorders>
              <w:top w:val="single" w:color="C0D4EE" w:sz="1"/>
              <w:left w:val="single" w:color="C0D4EE" w:sz="1"/>
              <w:bottom w:val="single" w:color="C0D4EE" w:sz="1"/>
              <w:right w:val="single" w:color="C0D4EE" w:sz="1"/>
            </w:tcBorders>
            <w:shd w:fill="EAF0FA" w:val="clear"/>
            <w:tcMar>
              <w:top w:type="dxa" w:w="160"/>
              <w:left w:type="dxa" w:w="200"/>
              <w:bottom w:type="dxa" w:w="160"/>
              <w:right w:type="dxa" w:w="200"/>
            </w:tcMar>
          </w:tcPr>
          <w:p>
            <w:pPr>
              <w:spacing w:before="0" w:after="60"/>
            </w:pPr>
            <w:r>
              <w:rPr>
                <w:rFonts w:ascii="Arial" w:cs="Arial" w:eastAsia="Arial" w:hAnsi="Arial"/>
                <w:b/>
                <w:bCs/>
                <w:color w:val="1B4F8A"/>
                <w:sz w:val="24"/>
                <w:szCs w:val="24"/>
              </w:rPr>
              <w:t xml:space="preserve">Reduce hallucinations</w:t>
            </w:r>
          </w:p>
          <w:p>
            <w:r>
              <w:rPr>
                <w:rFonts w:ascii="Arial" w:cs="Arial" w:eastAsia="Arial" w:hAnsi="Arial"/>
                <w:color w:val="555555"/>
                <w:sz w:val="19"/>
                <w:szCs w:val="19"/>
              </w:rPr>
              <w:t xml:space="preserve">Fill the gaps that AI models otherwise fill with plausible but fabricated detail.</w:t>
            </w:r>
          </w:p>
        </w:tc>
        <w:tc>
          <w:tcPr>
            <w:tcW w:type="dxa" w:w="3120"/>
            <w:tcBorders>
              <w:top w:val="single" w:color="C0D4EE" w:sz="1"/>
              <w:left w:val="single" w:color="C0D4EE" w:sz="1"/>
              <w:bottom w:val="single" w:color="C0D4EE" w:sz="1"/>
              <w:right w:val="single" w:color="C0D4EE" w:sz="1"/>
            </w:tcBorders>
            <w:shd w:fill="EAF0FA" w:val="clear"/>
            <w:tcMar>
              <w:top w:type="dxa" w:w="160"/>
              <w:left w:type="dxa" w:w="200"/>
              <w:bottom w:type="dxa" w:w="160"/>
              <w:right w:type="dxa" w:w="200"/>
            </w:tcMar>
          </w:tcPr>
          <w:p>
            <w:pPr>
              <w:spacing w:before="0" w:after="60"/>
            </w:pPr>
            <w:r>
              <w:rPr>
                <w:rFonts w:ascii="Arial" w:cs="Arial" w:eastAsia="Arial" w:hAnsi="Arial"/>
                <w:b/>
                <w:bCs/>
                <w:color w:val="1B4F8A"/>
                <w:sz w:val="24"/>
                <w:szCs w:val="24"/>
              </w:rPr>
              <w:t xml:space="preserve">Save tokens</w:t>
            </w:r>
          </w:p>
          <w:p>
            <w:r>
              <w:rPr>
                <w:rFonts w:ascii="Arial" w:cs="Arial" w:eastAsia="Arial" w:hAnsi="Arial"/>
                <w:color w:val="555555"/>
                <w:sz w:val="19"/>
                <w:szCs w:val="19"/>
              </w:rPr>
              <w:t xml:space="preserve">Deliver maximum context in minimum tokens — preserving the context window for conversation.</w:t>
            </w:r>
          </w:p>
        </w:tc>
      </w:tr>
    </w:tbl>
    <w:p>
      <w:pPr>
        <w:spacing w:before="600" w:after="0"/>
      </w:pPr>
    </w:p>
    <w:p>
      <w:pPr>
        <w:pBdr>
          <w:bottom w:val="single" w:color="E0E0E0" w:sz="4" w:space="1"/>
        </w:pBdr>
        <w:spacing w:before="80" w:after="80"/>
      </w:pPr>
    </w:p>
    <w:p>
      <w:pPr>
        <w:spacing w:before="480" w:after="60"/>
      </w:pPr>
      <w:r>
        <w:rPr>
          <w:rFonts w:ascii="Arial" w:cs="Arial" w:eastAsia="Arial" w:hAnsi="Arial"/>
          <w:b/>
          <w:bCs/>
          <w:color w:val="1B4F8A"/>
          <w:spacing w:val="50"/>
          <w:sz w:val="16"/>
          <w:szCs w:val="16"/>
        </w:rPr>
        <w:t xml:space="preserve">SECTION 1</w:t>
      </w:r>
    </w:p>
    <w:p>
      <w:pPr>
        <w:pStyle w:val="Heading1"/>
      </w:pPr>
      <w:r>
        <w:rPr>
          <w:rFonts w:ascii="Arial" w:cs="Arial" w:eastAsia="Arial" w:hAnsi="Arial"/>
        </w:rPr>
        <w:t xml:space="preserve">Purpose</w:t>
      </w:r>
    </w:p>
    <w:p>
      <w:pPr>
        <w:pBdr>
          <w:top w:val="none" w:color="FFFFFF" w:sz="0"/>
          <w:left w:val="single" w:color="1B4F8A" w:sz="16" w:space="10"/>
          <w:right w:val="none" w:color="FFFFFF" w:sz="0"/>
        </w:pBdr>
        <w:shd w:fill="EAF0FA" w:val="clear"/>
        <w:spacing w:before="80" w:after="80"/>
        <w:ind w:left="360" w:right="240"/>
      </w:pPr>
      <w:r>
        <w:rPr>
          <w:rFonts w:ascii="Arial" w:cs="Arial" w:eastAsia="Arial" w:hAnsi="Arial"/>
          <w:i/>
          <w:iCs/>
          <w:color w:val="2C2C2C"/>
          <w:sz w:val="22"/>
          <w:szCs w:val="22"/>
        </w:rPr>
        <w:t xml:space="preserve">An AI-GECO is the minimum authoritative context an AI model needs to reason accurately about an entity. It is not a comprehensive profile — it is a factual anchor.</w:t>
      </w:r>
    </w:p>
    <w:p>
      <w:pPr>
        <w:spacing w:before="200" w:after="0"/>
      </w:pPr>
    </w:p>
    <w:p>
      <w:pPr>
        <w:spacing w:before="0" w:after="180"/>
        <w:jc w:val="left"/>
      </w:pPr>
      <w:r>
        <w:rPr>
          <w:rFonts w:ascii="Arial" w:cs="Arial" w:eastAsia="Arial" w:hAnsi="Arial"/>
          <w:b w:val="false"/>
          <w:bCs w:val="false"/>
          <w:i w:val="false"/>
          <w:iCs w:val="false"/>
          <w:color w:val="555555"/>
          <w:sz w:val="22"/>
          <w:szCs w:val="22"/>
        </w:rPr>
        <w:t xml:space="preserve">AI language models hallucinate when they lack authoritative information. Faced with a gap, a model will generate a plausible-sounding answer rather than admit uncertainty — inventing dates, misattributing relationships, fabricating identifiers, or confusing one entity with another. This is not a failure of intelligence; it is an artifact of how large language models generate text.</w:t>
      </w:r>
    </w:p>
    <w:p>
      <w:pPr>
        <w:spacing w:before="0" w:after="180"/>
        <w:jc w:val="left"/>
      </w:pPr>
      <w:r>
        <w:rPr>
          <w:rFonts w:ascii="Arial" w:cs="Arial" w:eastAsia="Arial" w:hAnsi="Arial"/>
          <w:b w:val="false"/>
          <w:bCs w:val="false"/>
          <w:i w:val="false"/>
          <w:iCs w:val="false"/>
          <w:color w:val="555555"/>
          <w:sz w:val="22"/>
          <w:szCs w:val="22"/>
        </w:rPr>
        <w:t xml:space="preserve">The Grounded Entity Context Object (ECD) addresses this directly. It is a compact, structured JSON file that declares authoritative facts about a single entity — a person, an animal, a product, a company, a place, a creative work, or anything else — and instructs the AI model to treat those facts as ground truth for every response in the session.</w:t>
      </w:r>
    </w:p>
    <w:p>
      <w:pPr>
        <w:spacing w:before="0" w:after="180"/>
        <w:jc w:val="left"/>
      </w:pPr>
      <w:r>
        <w:rPr>
          <w:rFonts w:ascii="Arial" w:cs="Arial" w:eastAsia="Arial" w:hAnsi="Arial"/>
          <w:b w:val="false"/>
          <w:bCs w:val="false"/>
          <w:i w:val="false"/>
          <w:iCs w:val="false"/>
          <w:color w:val="555555"/>
          <w:sz w:val="22"/>
          <w:szCs w:val="22"/>
        </w:rPr>
        <w:t xml:space="preserve">When an AI-GECO file is uploaded to an AI platform as persistent context, three things happen:</w:t>
      </w:r>
    </w:p>
    <w:p>
      <w:pPr>
        <w:spacing w:before="60" w:after="0"/>
      </w:pPr>
    </w:p>
    <w:p>
      <w:pPr>
        <w:pStyle w:val="ListParagraph"/>
        <w:numPr>
          <w:ilvl w:val="0"/>
          <w:numId w:val="2"/>
        </w:numPr>
        <w:spacing w:before="40" w:after="60"/>
      </w:pPr>
      <w:r>
        <w:rPr>
          <w:rFonts w:ascii="Arial" w:cs="Arial" w:eastAsia="Arial" w:hAnsi="Arial"/>
          <w:b w:val="false"/>
          <w:bCs w:val="false"/>
          <w:i w:val="false"/>
          <w:iCs w:val="false"/>
          <w:color w:val="555555"/>
          <w:sz w:val="22"/>
          <w:szCs w:val="22"/>
        </w:rPr>
        <w:t xml:space="preserve">The model is </w:t>
      </w:r>
      <w:r>
        <w:rPr>
          <w:rFonts w:ascii="Arial" w:cs="Arial" w:eastAsia="Arial" w:hAnsi="Arial"/>
          <w:b/>
          <w:bCs/>
          <w:i w:val="false"/>
          <w:iCs w:val="false"/>
          <w:color w:val="555555"/>
          <w:sz w:val="22"/>
          <w:szCs w:val="22"/>
        </w:rPr>
        <w:t xml:space="preserve">grounded</w:t>
      </w:r>
      <w:r>
        <w:rPr>
          <w:rFonts w:ascii="Arial" w:cs="Arial" w:eastAsia="Arial" w:hAnsi="Arial"/>
          <w:b w:val="false"/>
          <w:bCs w:val="false"/>
          <w:i w:val="false"/>
          <w:iCs w:val="false"/>
          <w:color w:val="555555"/>
          <w:sz w:val="22"/>
          <w:szCs w:val="22"/>
        </w:rPr>
        <w:t xml:space="preserve"> — it has a factual starting point it can reason from rather than generate toward.</w:t>
      </w:r>
    </w:p>
    <w:p>
      <w:pPr>
        <w:pStyle w:val="ListParagraph"/>
        <w:numPr>
          <w:ilvl w:val="0"/>
          <w:numId w:val="2"/>
        </w:numPr>
        <w:spacing w:before="40" w:after="60"/>
      </w:pPr>
      <w:r>
        <w:rPr>
          <w:rFonts w:ascii="Arial" w:cs="Arial" w:eastAsia="Arial" w:hAnsi="Arial"/>
          <w:b w:val="false"/>
          <w:bCs w:val="false"/>
          <w:i w:val="false"/>
          <w:iCs w:val="false"/>
          <w:color w:val="555555"/>
          <w:sz w:val="22"/>
          <w:szCs w:val="22"/>
        </w:rPr>
        <w:t xml:space="preserve">Hallucination risk is </w:t>
      </w:r>
      <w:r>
        <w:rPr>
          <w:rFonts w:ascii="Arial" w:cs="Arial" w:eastAsia="Arial" w:hAnsi="Arial"/>
          <w:b/>
          <w:bCs/>
          <w:i w:val="false"/>
          <w:iCs w:val="false"/>
          <w:color w:val="555555"/>
          <w:sz w:val="22"/>
          <w:szCs w:val="22"/>
        </w:rPr>
        <w:t xml:space="preserve">reduced</w:t>
      </w:r>
      <w:r>
        <w:rPr>
          <w:rFonts w:ascii="Arial" w:cs="Arial" w:eastAsia="Arial" w:hAnsi="Arial"/>
          <w:b w:val="false"/>
          <w:bCs w:val="false"/>
          <w:i w:val="false"/>
          <w:iCs w:val="false"/>
          <w:color w:val="555555"/>
          <w:sz w:val="22"/>
          <w:szCs w:val="22"/>
        </w:rPr>
        <w:t xml:space="preserve"> — the gaps the model would otherwise fill with fabrication are filled with declared facts.</w:t>
      </w:r>
    </w:p>
    <w:p>
      <w:pPr>
        <w:pStyle w:val="ListParagraph"/>
        <w:numPr>
          <w:ilvl w:val="0"/>
          <w:numId w:val="2"/>
        </w:numPr>
        <w:spacing w:before="40" w:after="60"/>
      </w:pPr>
      <w:r>
        <w:rPr>
          <w:rFonts w:ascii="Arial" w:cs="Arial" w:eastAsia="Arial" w:hAnsi="Arial"/>
          <w:b w:val="false"/>
          <w:bCs w:val="false"/>
          <w:i w:val="false"/>
          <w:iCs w:val="false"/>
          <w:color w:val="555555"/>
          <w:sz w:val="22"/>
          <w:szCs w:val="22"/>
        </w:rPr>
        <w:t xml:space="preserve">Tokens are </w:t>
      </w:r>
      <w:r>
        <w:rPr>
          <w:rFonts w:ascii="Arial" w:cs="Arial" w:eastAsia="Arial" w:hAnsi="Arial"/>
          <w:b/>
          <w:bCs/>
          <w:i w:val="false"/>
          <w:iCs w:val="false"/>
          <w:color w:val="555555"/>
          <w:sz w:val="22"/>
          <w:szCs w:val="22"/>
        </w:rPr>
        <w:t xml:space="preserve">conserved</w:t>
      </w:r>
      <w:r>
        <w:rPr>
          <w:rFonts w:ascii="Arial" w:cs="Arial" w:eastAsia="Arial" w:hAnsi="Arial"/>
          <w:b w:val="false"/>
          <w:bCs w:val="false"/>
          <w:i w:val="false"/>
          <w:iCs w:val="false"/>
          <w:color w:val="555555"/>
          <w:sz w:val="22"/>
          <w:szCs w:val="22"/>
        </w:rPr>
        <w:t xml:space="preserve"> — the compact format delivers maximum context at minimum cost to the context window.</w:t>
      </w:r>
    </w:p>
    <w:p>
      <w:pPr>
        <w:spacing w:before="120" w:after="0"/>
      </w:pPr>
    </w:p>
    <w:p>
      <w:pPr>
        <w:spacing w:before="0" w:after="180"/>
        <w:jc w:val="left"/>
      </w:pPr>
      <w:r>
        <w:rPr>
          <w:rFonts w:ascii="Arial" w:cs="Arial" w:eastAsia="Arial" w:hAnsi="Arial"/>
          <w:b w:val="false"/>
          <w:bCs w:val="false"/>
          <w:i w:val="false"/>
          <w:iCs w:val="false"/>
          <w:color w:val="555555"/>
          <w:sz w:val="22"/>
          <w:szCs w:val="22"/>
        </w:rPr>
        <w:t xml:space="preserve">AI-GECO is model-agnostic and platform-agnostic. A single AI-GECO file can be uploaded to Claude Projects, ChatGPT Custom GPTs, Gemini Gems, Microsoft Copilot Agents, or any AI platform that supports file-based context injection. The file describes the entity. The model provides the intelligence.</w:t>
      </w:r>
    </w:p>
    <w:p>
      <w:pPr>
        <w:spacing w:before="480" w:after="60"/>
      </w:pPr>
      <w:r>
        <w:rPr>
          <w:rFonts w:ascii="Arial" w:cs="Arial" w:eastAsia="Arial" w:hAnsi="Arial"/>
          <w:b/>
          <w:bCs/>
          <w:color w:val="1B4F8A"/>
          <w:spacing w:val="50"/>
          <w:sz w:val="16"/>
          <w:szCs w:val="16"/>
        </w:rPr>
        <w:t xml:space="preserve">SECTION 2</w:t>
      </w:r>
    </w:p>
    <w:p>
      <w:pPr>
        <w:pStyle w:val="Heading1"/>
      </w:pPr>
      <w:r>
        <w:rPr>
          <w:rFonts w:ascii="Arial" w:cs="Arial" w:eastAsia="Arial" w:hAnsi="Arial"/>
        </w:rPr>
        <w:t xml:space="preserve">Scope</w:t>
      </w:r>
    </w:p>
    <w:p>
      <w:pPr>
        <w:spacing w:before="0" w:after="180"/>
        <w:jc w:val="left"/>
      </w:pPr>
      <w:r>
        <w:rPr>
          <w:rFonts w:ascii="Arial" w:cs="Arial" w:eastAsia="Arial" w:hAnsi="Arial"/>
          <w:b w:val="false"/>
          <w:bCs w:val="false"/>
          <w:i w:val="false"/>
          <w:iCs w:val="false"/>
          <w:color w:val="555555"/>
          <w:sz w:val="22"/>
          <w:szCs w:val="22"/>
        </w:rPr>
        <w:t xml:space="preserve">AI-GECO is designed for any entity about which an AI model may need to reason. The standard defines seven entity types: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1B4F8A" w:sz="1"/>
              <w:left w:val="single" w:color="1B4F8A" w:sz="1"/>
              <w:bottom w:val="single" w:color="1B4F8A" w:sz="1"/>
              <w:right w:val="single" w:color="1B4F8A" w:sz="1"/>
            </w:tcBorders>
            <w:shd w:fill="1B4F8A" w:val="clear"/>
            <w:tcMar>
              <w:top w:type="dxa" w:w="80"/>
              <w:left w:type="dxa" w:w="140"/>
              <w:bottom w:type="dxa" w:w="80"/>
              <w:right w:type="dxa" w:w="140"/>
            </w:tcMar>
          </w:tcPr>
          <w:p>
            <w:r>
              <w:rPr>
                <w:rFonts w:ascii="Arial" w:cs="Arial" w:eastAsia="Arial" w:hAnsi="Arial"/>
                <w:b/>
                <w:bCs/>
                <w:color w:val="FFFFFF"/>
                <w:sz w:val="19"/>
                <w:szCs w:val="19"/>
              </w:rPr>
              <w:t xml:space="preserve">entity_type</w:t>
            </w:r>
          </w:p>
        </w:tc>
        <w:tc>
          <w:tcPr>
            <w:tcW w:type="dxa" w:w="2200"/>
            <w:tcBorders>
              <w:top w:val="single" w:color="1B4F8A" w:sz="1"/>
              <w:left w:val="single" w:color="1B4F8A" w:sz="1"/>
              <w:bottom w:val="single" w:color="1B4F8A" w:sz="1"/>
              <w:right w:val="single" w:color="1B4F8A" w:sz="1"/>
            </w:tcBorders>
            <w:shd w:fill="1B4F8A" w:val="clear"/>
            <w:tcMar>
              <w:top w:type="dxa" w:w="80"/>
              <w:left w:type="dxa" w:w="140"/>
              <w:bottom w:type="dxa" w:w="80"/>
              <w:right w:type="dxa" w:w="140"/>
            </w:tcMar>
          </w:tcPr>
          <w:p>
            <w:r>
              <w:rPr>
                <w:rFonts w:ascii="Arial" w:cs="Arial" w:eastAsia="Arial" w:hAnsi="Arial"/>
                <w:b/>
                <w:bCs/>
                <w:color w:val="FFFFFF"/>
                <w:sz w:val="19"/>
                <w:szCs w:val="19"/>
              </w:rPr>
              <w:t xml:space="preserve">Applies to</w:t>
            </w:r>
          </w:p>
        </w:tc>
        <w:tc>
          <w:tcPr>
            <w:tcW w:type="dxa" w:w="5360"/>
            <w:tcBorders>
              <w:top w:val="single" w:color="1B4F8A" w:sz="1"/>
              <w:left w:val="single" w:color="1B4F8A" w:sz="1"/>
              <w:bottom w:val="single" w:color="1B4F8A" w:sz="1"/>
              <w:right w:val="single" w:color="1B4F8A" w:sz="1"/>
            </w:tcBorders>
            <w:shd w:fill="1B4F8A" w:val="clear"/>
            <w:tcMar>
              <w:top w:type="dxa" w:w="80"/>
              <w:left w:type="dxa" w:w="140"/>
              <w:bottom w:type="dxa" w:w="80"/>
              <w:right w:type="dxa" w:w="140"/>
            </w:tcMar>
          </w:tcPr>
          <w:p>
            <w:r>
              <w:rPr>
                <w:rFonts w:ascii="Arial" w:cs="Arial" w:eastAsia="Arial" w:hAnsi="Arial"/>
                <w:b/>
                <w:bCs/>
                <w:color w:val="FFFFFF"/>
                <w:sz w:val="19"/>
                <w:szCs w:val="19"/>
              </w:rPr>
              <w:t xml:space="preserve">Examples</w:t>
            </w:r>
          </w:p>
        </w:tc>
      </w:tr>
      <w:tr>
        <w:tc>
          <w:tcPr>
            <w:tcW w:type="dxa" w:w="1800"/>
            <w:tcBorders>
              <w:top w:val="single" w:color="E0E0E0" w:sz="1"/>
              <w:left w:val="single" w:color="E0E0E0" w:sz="1"/>
              <w:bottom w:val="single" w:color="E0E0E0" w:sz="1"/>
              <w:right w:val="single" w:color="E0E0E0" w:sz="1"/>
            </w:tcBorders>
            <w:shd w:fill="F4F4F4" w:val="clear"/>
            <w:tcMar>
              <w:top w:type="dxa" w:w="80"/>
              <w:left w:type="dxa" w:w="140"/>
              <w:bottom w:type="dxa" w:w="80"/>
              <w:right w:type="dxa" w:w="140"/>
            </w:tcMar>
          </w:tcPr>
          <w:p>
            <w:r>
              <w:rPr>
                <w:rFonts w:ascii="Courier New" w:cs="Courier New" w:eastAsia="Courier New" w:hAnsi="Courier New"/>
                <w:b w:val="false"/>
                <w:bCs w:val="false"/>
                <w:color w:val="1B4F8A"/>
                <w:sz w:val="18"/>
                <w:szCs w:val="18"/>
              </w:rPr>
              <w:t xml:space="preserve">person</w:t>
            </w:r>
          </w:p>
        </w:tc>
        <w:tc>
          <w:tcPr>
            <w:tcW w:type="dxa" w:w="2200"/>
            <w:tcBorders>
              <w:top w:val="single" w:color="E0E0E0" w:sz="1"/>
              <w:left w:val="single" w:color="E0E0E0" w:sz="1"/>
              <w:bottom w:val="single" w:color="E0E0E0" w:sz="1"/>
              <w:right w:val="single" w:color="E0E0E0" w:sz="1"/>
            </w:tcBorders>
            <w:shd w:fill="F4F4F4" w:val="clear"/>
            <w:tcMar>
              <w:top w:type="dxa" w:w="80"/>
              <w:left w:type="dxa" w:w="140"/>
              <w:bottom w:type="dxa" w:w="80"/>
              <w:right w:type="dxa" w:w="140"/>
            </w:tcMar>
          </w:tcPr>
          <w:p>
            <w:r>
              <w:rPr>
                <w:rFonts w:ascii="Arial" w:cs="Arial" w:eastAsia="Arial" w:hAnsi="Arial"/>
                <w:b/>
                <w:bCs/>
                <w:color w:val="555555"/>
                <w:sz w:val="19"/>
                <w:szCs w:val="19"/>
              </w:rPr>
              <w:t xml:space="preserve">Individual humans</w:t>
            </w:r>
          </w:p>
        </w:tc>
        <w:tc>
          <w:tcPr>
            <w:tcW w:type="dxa" w:w="5360"/>
            <w:tcBorders>
              <w:top w:val="single" w:color="E0E0E0" w:sz="1"/>
              <w:left w:val="single" w:color="E0E0E0" w:sz="1"/>
              <w:bottom w:val="single" w:color="E0E0E0" w:sz="1"/>
              <w:right w:val="single" w:color="E0E0E0" w:sz="1"/>
            </w:tcBorders>
            <w:shd w:fill="F4F4F4" w:val="clear"/>
            <w:tcMar>
              <w:top w:type="dxa" w:w="80"/>
              <w:left w:type="dxa" w:w="140"/>
              <w:bottom w:type="dxa" w:w="80"/>
              <w:right w:type="dxa" w:w="140"/>
            </w:tcMar>
          </w:tcPr>
          <w:p>
            <w:r>
              <w:rPr>
                <w:rFonts w:ascii="Arial" w:cs="Arial" w:eastAsia="Arial" w:hAnsi="Arial"/>
                <w:b w:val="false"/>
                <w:bCs w:val="false"/>
                <w:color w:val="555555"/>
                <w:sz w:val="19"/>
                <w:szCs w:val="19"/>
              </w:rPr>
              <w:t xml:space="preserve">Executives, clients, patients, historical figures, public figures, yourself</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Courier New" w:cs="Courier New" w:eastAsia="Courier New" w:hAnsi="Courier New"/>
                <w:b w:val="false"/>
                <w:bCs w:val="false"/>
                <w:color w:val="1B4F8A"/>
                <w:sz w:val="18"/>
                <w:szCs w:val="18"/>
              </w:rPr>
              <w:t xml:space="preserve">animal</w:t>
            </w:r>
          </w:p>
        </w:tc>
        <w:tc>
          <w:tcPr>
            <w:tcW w:type="dxa" w:w="22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Arial" w:cs="Arial" w:eastAsia="Arial" w:hAnsi="Arial"/>
                <w:b/>
                <w:bCs/>
                <w:color w:val="555555"/>
                <w:sz w:val="19"/>
                <w:szCs w:val="19"/>
              </w:rPr>
              <w:t xml:space="preserve">Any animal</w:t>
            </w:r>
          </w:p>
        </w:tc>
        <w:tc>
          <w:tcPr>
            <w:tcW w:type="dxa" w:w="53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Arial" w:cs="Arial" w:eastAsia="Arial" w:hAnsi="Arial"/>
                <w:b w:val="false"/>
                <w:bCs w:val="false"/>
                <w:color w:val="555555"/>
                <w:sz w:val="19"/>
                <w:szCs w:val="19"/>
              </w:rPr>
              <w:t xml:space="preserve">Pets, livestock, therapy animals, working animals, wildlife subjects</w:t>
            </w:r>
          </w:p>
        </w:tc>
      </w:tr>
      <w:tr>
        <w:tc>
          <w:tcPr>
            <w:tcW w:type="dxa" w:w="1800"/>
            <w:tcBorders>
              <w:top w:val="single" w:color="E0E0E0" w:sz="1"/>
              <w:left w:val="single" w:color="E0E0E0" w:sz="1"/>
              <w:bottom w:val="single" w:color="E0E0E0" w:sz="1"/>
              <w:right w:val="single" w:color="E0E0E0" w:sz="1"/>
            </w:tcBorders>
            <w:shd w:fill="F4F4F4" w:val="clear"/>
            <w:tcMar>
              <w:top w:type="dxa" w:w="80"/>
              <w:left w:type="dxa" w:w="140"/>
              <w:bottom w:type="dxa" w:w="80"/>
              <w:right w:type="dxa" w:w="140"/>
            </w:tcMar>
          </w:tcPr>
          <w:p>
            <w:r>
              <w:rPr>
                <w:rFonts w:ascii="Courier New" w:cs="Courier New" w:eastAsia="Courier New" w:hAnsi="Courier New"/>
                <w:b w:val="false"/>
                <w:bCs w:val="false"/>
                <w:color w:val="1B4F8A"/>
                <w:sz w:val="18"/>
                <w:szCs w:val="18"/>
              </w:rPr>
              <w:t xml:space="preserve">product</w:t>
            </w:r>
          </w:p>
        </w:tc>
        <w:tc>
          <w:tcPr>
            <w:tcW w:type="dxa" w:w="2200"/>
            <w:tcBorders>
              <w:top w:val="single" w:color="E0E0E0" w:sz="1"/>
              <w:left w:val="single" w:color="E0E0E0" w:sz="1"/>
              <w:bottom w:val="single" w:color="E0E0E0" w:sz="1"/>
              <w:right w:val="single" w:color="E0E0E0" w:sz="1"/>
            </w:tcBorders>
            <w:shd w:fill="F4F4F4" w:val="clear"/>
            <w:tcMar>
              <w:top w:type="dxa" w:w="80"/>
              <w:left w:type="dxa" w:w="140"/>
              <w:bottom w:type="dxa" w:w="80"/>
              <w:right w:type="dxa" w:w="140"/>
            </w:tcMar>
          </w:tcPr>
          <w:p>
            <w:r>
              <w:rPr>
                <w:rFonts w:ascii="Arial" w:cs="Arial" w:eastAsia="Arial" w:hAnsi="Arial"/>
                <w:b/>
                <w:bCs/>
                <w:color w:val="555555"/>
                <w:sz w:val="19"/>
                <w:szCs w:val="19"/>
              </w:rPr>
              <w:t xml:space="preserve">Physical goods</w:t>
            </w:r>
          </w:p>
        </w:tc>
        <w:tc>
          <w:tcPr>
            <w:tcW w:type="dxa" w:w="5360"/>
            <w:tcBorders>
              <w:top w:val="single" w:color="E0E0E0" w:sz="1"/>
              <w:left w:val="single" w:color="E0E0E0" w:sz="1"/>
              <w:bottom w:val="single" w:color="E0E0E0" w:sz="1"/>
              <w:right w:val="single" w:color="E0E0E0" w:sz="1"/>
            </w:tcBorders>
            <w:shd w:fill="F4F4F4" w:val="clear"/>
            <w:tcMar>
              <w:top w:type="dxa" w:w="80"/>
              <w:left w:type="dxa" w:w="140"/>
              <w:bottom w:type="dxa" w:w="80"/>
              <w:right w:type="dxa" w:w="140"/>
            </w:tcMar>
          </w:tcPr>
          <w:p>
            <w:r>
              <w:rPr>
                <w:rFonts w:ascii="Arial" w:cs="Arial" w:eastAsia="Arial" w:hAnsi="Arial"/>
                <w:b w:val="false"/>
                <w:bCs w:val="false"/>
                <w:color w:val="555555"/>
                <w:sz w:val="19"/>
                <w:szCs w:val="19"/>
              </w:rPr>
              <w:t xml:space="preserve">Packaged food, electronics, pharmaceuticals, manufactured items, components</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Courier New" w:cs="Courier New" w:eastAsia="Courier New" w:hAnsi="Courier New"/>
                <w:b w:val="false"/>
                <w:bCs w:val="false"/>
                <w:color w:val="1B4F8A"/>
                <w:sz w:val="18"/>
                <w:szCs w:val="18"/>
              </w:rPr>
              <w:t xml:space="preserve">organization</w:t>
            </w:r>
          </w:p>
        </w:tc>
        <w:tc>
          <w:tcPr>
            <w:tcW w:type="dxa" w:w="22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Arial" w:cs="Arial" w:eastAsia="Arial" w:hAnsi="Arial"/>
                <w:b/>
                <w:bCs/>
                <w:color w:val="555555"/>
                <w:sz w:val="19"/>
                <w:szCs w:val="19"/>
              </w:rPr>
              <w:t xml:space="preserve">Entities and institutions</w:t>
            </w:r>
          </w:p>
        </w:tc>
        <w:tc>
          <w:tcPr>
            <w:tcW w:type="dxa" w:w="53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Arial" w:cs="Arial" w:eastAsia="Arial" w:hAnsi="Arial"/>
                <w:b w:val="false"/>
                <w:bCs w:val="false"/>
                <w:color w:val="555555"/>
                <w:sz w:val="19"/>
                <w:szCs w:val="19"/>
              </w:rPr>
              <w:t xml:space="preserve">Companies, nonprofits, government agencies, schools, teams, clubs</w:t>
            </w:r>
          </w:p>
        </w:tc>
      </w:tr>
      <w:tr>
        <w:tc>
          <w:tcPr>
            <w:tcW w:type="dxa" w:w="1800"/>
            <w:tcBorders>
              <w:top w:val="single" w:color="E0E0E0" w:sz="1"/>
              <w:left w:val="single" w:color="E0E0E0" w:sz="1"/>
              <w:bottom w:val="single" w:color="E0E0E0" w:sz="1"/>
              <w:right w:val="single" w:color="E0E0E0" w:sz="1"/>
            </w:tcBorders>
            <w:shd w:fill="F4F4F4" w:val="clear"/>
            <w:tcMar>
              <w:top w:type="dxa" w:w="80"/>
              <w:left w:type="dxa" w:w="140"/>
              <w:bottom w:type="dxa" w:w="80"/>
              <w:right w:type="dxa" w:w="140"/>
            </w:tcMar>
          </w:tcPr>
          <w:p>
            <w:r>
              <w:rPr>
                <w:rFonts w:ascii="Courier New" w:cs="Courier New" w:eastAsia="Courier New" w:hAnsi="Courier New"/>
                <w:b w:val="false"/>
                <w:bCs w:val="false"/>
                <w:color w:val="1B4F8A"/>
                <w:sz w:val="18"/>
                <w:szCs w:val="18"/>
              </w:rPr>
              <w:t xml:space="preserve">place</w:t>
            </w:r>
          </w:p>
        </w:tc>
        <w:tc>
          <w:tcPr>
            <w:tcW w:type="dxa" w:w="2200"/>
            <w:tcBorders>
              <w:top w:val="single" w:color="E0E0E0" w:sz="1"/>
              <w:left w:val="single" w:color="E0E0E0" w:sz="1"/>
              <w:bottom w:val="single" w:color="E0E0E0" w:sz="1"/>
              <w:right w:val="single" w:color="E0E0E0" w:sz="1"/>
            </w:tcBorders>
            <w:shd w:fill="F4F4F4" w:val="clear"/>
            <w:tcMar>
              <w:top w:type="dxa" w:w="80"/>
              <w:left w:type="dxa" w:w="140"/>
              <w:bottom w:type="dxa" w:w="80"/>
              <w:right w:type="dxa" w:w="140"/>
            </w:tcMar>
          </w:tcPr>
          <w:p>
            <w:r>
              <w:rPr>
                <w:rFonts w:ascii="Arial" w:cs="Arial" w:eastAsia="Arial" w:hAnsi="Arial"/>
                <w:b/>
                <w:bCs/>
                <w:color w:val="555555"/>
                <w:sz w:val="19"/>
                <w:szCs w:val="19"/>
              </w:rPr>
              <w:t xml:space="preserve">Locations</w:t>
            </w:r>
          </w:p>
        </w:tc>
        <w:tc>
          <w:tcPr>
            <w:tcW w:type="dxa" w:w="5360"/>
            <w:tcBorders>
              <w:top w:val="single" w:color="E0E0E0" w:sz="1"/>
              <w:left w:val="single" w:color="E0E0E0" w:sz="1"/>
              <w:bottom w:val="single" w:color="E0E0E0" w:sz="1"/>
              <w:right w:val="single" w:color="E0E0E0" w:sz="1"/>
            </w:tcBorders>
            <w:shd w:fill="F4F4F4" w:val="clear"/>
            <w:tcMar>
              <w:top w:type="dxa" w:w="80"/>
              <w:left w:type="dxa" w:w="140"/>
              <w:bottom w:type="dxa" w:w="80"/>
              <w:right w:type="dxa" w:w="140"/>
            </w:tcMar>
          </w:tcPr>
          <w:p>
            <w:r>
              <w:rPr>
                <w:rFonts w:ascii="Arial" w:cs="Arial" w:eastAsia="Arial" w:hAnsi="Arial"/>
                <w:b w:val="false"/>
                <w:bCs w:val="false"/>
                <w:color w:val="555555"/>
                <w:sz w:val="19"/>
                <w:szCs w:val="19"/>
              </w:rPr>
              <w:t xml:space="preserve">Properties, venues, cities, regions, landmarks, facilities</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Courier New" w:cs="Courier New" w:eastAsia="Courier New" w:hAnsi="Courier New"/>
                <w:b w:val="false"/>
                <w:bCs w:val="false"/>
                <w:color w:val="1B4F8A"/>
                <w:sz w:val="18"/>
                <w:szCs w:val="18"/>
              </w:rPr>
              <w:t xml:space="preserve">creative_work</w:t>
            </w:r>
          </w:p>
        </w:tc>
        <w:tc>
          <w:tcPr>
            <w:tcW w:type="dxa" w:w="22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Arial" w:cs="Arial" w:eastAsia="Arial" w:hAnsi="Arial"/>
                <w:b/>
                <w:bCs/>
                <w:color w:val="555555"/>
                <w:sz w:val="19"/>
                <w:szCs w:val="19"/>
              </w:rPr>
              <w:t xml:space="preserve">Works of authorship</w:t>
            </w:r>
          </w:p>
        </w:tc>
        <w:tc>
          <w:tcPr>
            <w:tcW w:type="dxa" w:w="53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Arial" w:cs="Arial" w:eastAsia="Arial" w:hAnsi="Arial"/>
                <w:b w:val="false"/>
                <w:bCs w:val="false"/>
                <w:color w:val="555555"/>
                <w:sz w:val="19"/>
                <w:szCs w:val="19"/>
              </w:rPr>
              <w:t xml:space="preserve">Books, films, albums, artworks, software, podcasts, articles</w:t>
            </w:r>
          </w:p>
        </w:tc>
      </w:tr>
      <w:tr>
        <w:tc>
          <w:tcPr>
            <w:tcW w:type="dxa" w:w="1800"/>
            <w:tcBorders>
              <w:top w:val="single" w:color="E0E0E0" w:sz="1"/>
              <w:left w:val="single" w:color="E0E0E0" w:sz="1"/>
              <w:bottom w:val="single" w:color="E0E0E0" w:sz="1"/>
              <w:right w:val="single" w:color="E0E0E0" w:sz="1"/>
            </w:tcBorders>
            <w:shd w:fill="F4F4F4" w:val="clear"/>
            <w:tcMar>
              <w:top w:type="dxa" w:w="80"/>
              <w:left w:type="dxa" w:w="140"/>
              <w:bottom w:type="dxa" w:w="80"/>
              <w:right w:type="dxa" w:w="140"/>
            </w:tcMar>
          </w:tcPr>
          <w:p>
            <w:r>
              <w:rPr>
                <w:rFonts w:ascii="Courier New" w:cs="Courier New" w:eastAsia="Courier New" w:hAnsi="Courier New"/>
                <w:b w:val="false"/>
                <w:bCs w:val="false"/>
                <w:color w:val="1B4F8A"/>
                <w:sz w:val="18"/>
                <w:szCs w:val="18"/>
              </w:rPr>
              <w:t xml:space="preserve">other</w:t>
            </w:r>
          </w:p>
        </w:tc>
        <w:tc>
          <w:tcPr>
            <w:tcW w:type="dxa" w:w="2200"/>
            <w:tcBorders>
              <w:top w:val="single" w:color="E0E0E0" w:sz="1"/>
              <w:left w:val="single" w:color="E0E0E0" w:sz="1"/>
              <w:bottom w:val="single" w:color="E0E0E0" w:sz="1"/>
              <w:right w:val="single" w:color="E0E0E0" w:sz="1"/>
            </w:tcBorders>
            <w:shd w:fill="F4F4F4" w:val="clear"/>
            <w:tcMar>
              <w:top w:type="dxa" w:w="80"/>
              <w:left w:type="dxa" w:w="140"/>
              <w:bottom w:type="dxa" w:w="80"/>
              <w:right w:type="dxa" w:w="140"/>
            </w:tcMar>
          </w:tcPr>
          <w:p>
            <w:r>
              <w:rPr>
                <w:rFonts w:ascii="Arial" w:cs="Arial" w:eastAsia="Arial" w:hAnsi="Arial"/>
                <w:b/>
                <w:bCs/>
                <w:color w:val="555555"/>
                <w:sz w:val="19"/>
                <w:szCs w:val="19"/>
              </w:rPr>
              <w:t xml:space="preserve">Anything else</w:t>
            </w:r>
          </w:p>
        </w:tc>
        <w:tc>
          <w:tcPr>
            <w:tcW w:type="dxa" w:w="5360"/>
            <w:tcBorders>
              <w:top w:val="single" w:color="E0E0E0" w:sz="1"/>
              <w:left w:val="single" w:color="E0E0E0" w:sz="1"/>
              <w:bottom w:val="single" w:color="E0E0E0" w:sz="1"/>
              <w:right w:val="single" w:color="E0E0E0" w:sz="1"/>
            </w:tcBorders>
            <w:shd w:fill="F4F4F4" w:val="clear"/>
            <w:tcMar>
              <w:top w:type="dxa" w:w="80"/>
              <w:left w:type="dxa" w:w="140"/>
              <w:bottom w:type="dxa" w:w="80"/>
              <w:right w:type="dxa" w:w="140"/>
            </w:tcMar>
          </w:tcPr>
          <w:p>
            <w:r>
              <w:rPr>
                <w:rFonts w:ascii="Arial" w:cs="Arial" w:eastAsia="Arial" w:hAnsi="Arial"/>
                <w:b w:val="false"/>
                <w:bCs w:val="false"/>
                <w:color w:val="555555"/>
                <w:sz w:val="19"/>
                <w:szCs w:val="19"/>
              </w:rPr>
              <w:t xml:space="preserve">Concepts, events, vehicles, legal instruments — any entity not covered above</w:t>
            </w:r>
          </w:p>
        </w:tc>
      </w:tr>
    </w:tbl>
    <w:p>
      <w:pPr>
        <w:spacing w:before="200" w:after="0"/>
      </w:pPr>
    </w:p>
    <w:p>
      <w:pPr>
        <w:spacing w:before="0" w:after="180"/>
        <w:jc w:val="left"/>
      </w:pPr>
      <w:r>
        <w:rPr>
          <w:rFonts w:ascii="Arial" w:cs="Arial" w:eastAsia="Arial" w:hAnsi="Arial"/>
          <w:b w:val="false"/>
          <w:bCs w:val="false"/>
          <w:i w:val="false"/>
          <w:iCs w:val="false"/>
          <w:color w:val="555555"/>
          <w:sz w:val="22"/>
          <w:szCs w:val="22"/>
        </w:rPr>
        <w:t xml:space="preserve">Each entity type has a suggested extended module — a set of fields most commonly relevant to that kind of entity. Suggested modules are non-binding. Any extended field may be used with any entity type, and unused modules should be omitted from the file entirely.</w:t>
      </w:r>
    </w:p>
    <w:p>
      <w:pPr>
        <w:spacing w:before="480" w:after="60"/>
      </w:pPr>
      <w:r>
        <w:rPr>
          <w:rFonts w:ascii="Arial" w:cs="Arial" w:eastAsia="Arial" w:hAnsi="Arial"/>
          <w:b/>
          <w:bCs/>
          <w:color w:val="1B4F8A"/>
          <w:spacing w:val="50"/>
          <w:sz w:val="16"/>
          <w:szCs w:val="16"/>
        </w:rPr>
        <w:t xml:space="preserve">SECTION 3</w:t>
      </w:r>
    </w:p>
    <w:p>
      <w:pPr>
        <w:pStyle w:val="Heading1"/>
      </w:pPr>
      <w:r>
        <w:rPr>
          <w:rFonts w:ascii="Arial" w:cs="Arial" w:eastAsia="Arial" w:hAnsi="Arial"/>
        </w:rPr>
        <w:t xml:space="preserve">Design Principles</w:t>
      </w:r>
    </w:p>
    <w:p>
      <w:pPr>
        <w:spacing w:before="0" w:after="180"/>
        <w:jc w:val="left"/>
      </w:pPr>
      <w:r>
        <w:rPr>
          <w:rFonts w:ascii="Arial" w:cs="Arial" w:eastAsia="Arial" w:hAnsi="Arial"/>
          <w:b w:val="false"/>
          <w:bCs w:val="false"/>
          <w:i w:val="false"/>
          <w:iCs w:val="false"/>
          <w:color w:val="555555"/>
          <w:sz w:val="22"/>
          <w:szCs w:val="22"/>
        </w:rPr>
        <w:t xml:space="preserve">Every design decision in AI-GECO is governed by three principles, applied in priority order.</w:t>
      </w:r>
    </w:p>
    <w:p>
      <w:pPr>
        <w:spacing w:before="100" w:after="0"/>
      </w:pPr>
    </w:p>
    <w:p>
      <w:pPr>
        <w:pStyle w:val="Heading2"/>
      </w:pPr>
      <w:r>
        <w:rPr>
          <w:rFonts w:ascii="Arial" w:cs="Arial" w:eastAsia="Arial" w:hAnsi="Arial"/>
        </w:rPr>
        <w:t xml:space="preserve">3.1  Ground the model</w:t>
      </w:r>
    </w:p>
    <w:p>
      <w:pPr>
        <w:spacing w:before="0" w:after="180"/>
        <w:jc w:val="left"/>
      </w:pPr>
      <w:r>
        <w:rPr>
          <w:rFonts w:ascii="Arial" w:cs="Arial" w:eastAsia="Arial" w:hAnsi="Arial"/>
          <w:b w:val="false"/>
          <w:bCs w:val="false"/>
          <w:i w:val="false"/>
          <w:iCs w:val="false"/>
          <w:color w:val="555555"/>
          <w:sz w:val="22"/>
          <w:szCs w:val="22"/>
        </w:rPr>
        <w:t xml:space="preserve">Every field in an AI-GECO must serve a grounding purpose. A field that does not give the model authoritative information it would otherwise lack — or risk fabricating — does not belong in the standard. AI-GECO is not a rich entity description. It is a targeted set of facts chosen specifically because their absence creates hallucination risk.</w:t>
      </w:r>
    </w:p>
    <w:p>
      <w:pPr>
        <w:spacing w:before="0" w:after="180"/>
        <w:jc w:val="left"/>
      </w:pPr>
      <w:r>
        <w:rPr>
          <w:rFonts w:ascii="Arial" w:cs="Arial" w:eastAsia="Arial" w:hAnsi="Arial"/>
          <w:b w:val="false"/>
          <w:bCs w:val="false"/>
          <w:i w:val="false"/>
          <w:iCs w:val="false"/>
          <w:color w:val="555555"/>
          <w:sz w:val="22"/>
          <w:szCs w:val="22"/>
        </w:rPr>
        <w:t xml:space="preserve">The instruction key in the </w:t>
      </w:r>
      <w:r>
        <w:rPr>
          <w:rFonts w:ascii="Courier New" w:cs="Courier New" w:eastAsia="Courier New" w:hAnsi="Courier New"/>
          <w:b w:val="false"/>
          <w:bCs w:val="false"/>
          <w:color w:val="1B4F8A"/>
          <w:sz w:val="20"/>
          <w:szCs w:val="20"/>
        </w:rPr>
        <w:t xml:space="preserve">_meta</w:t>
      </w:r>
      <w:r>
        <w:rPr>
          <w:rFonts w:ascii="Arial" w:cs="Arial" w:eastAsia="Arial" w:hAnsi="Arial"/>
          <w:b w:val="false"/>
          <w:bCs w:val="false"/>
          <w:i w:val="false"/>
          <w:iCs w:val="false"/>
          <w:color w:val="555555"/>
          <w:sz w:val="22"/>
          <w:szCs w:val="22"/>
        </w:rPr>
        <w:t xml:space="preserve"> block makes grounding explicit. It tells the model that the values in this file are authoritative — not claims to evaluate, not background to consider, but ground truth to apply. This is the most important field in any AI-GECO instance.</w:t>
      </w:r>
    </w:p>
    <w:p>
      <w:pPr>
        <w:pStyle w:val="Heading2"/>
      </w:pPr>
      <w:r>
        <w:rPr>
          <w:rFonts w:ascii="Arial" w:cs="Arial" w:eastAsia="Arial" w:hAnsi="Arial"/>
        </w:rPr>
        <w:t xml:space="preserve">3.2  Reduce hallucination surface area</w:t>
      </w:r>
    </w:p>
    <w:p>
      <w:pPr>
        <w:spacing w:before="0" w:after="180"/>
        <w:jc w:val="left"/>
      </w:pPr>
      <w:r>
        <w:rPr>
          <w:rFonts w:ascii="Arial" w:cs="Arial" w:eastAsia="Arial" w:hAnsi="Arial"/>
          <w:b w:val="false"/>
          <w:bCs w:val="false"/>
          <w:i w:val="false"/>
          <w:iCs w:val="false"/>
          <w:color w:val="555555"/>
          <w:sz w:val="22"/>
          <w:szCs w:val="22"/>
        </w:rPr>
        <w:t xml:space="preserve">Hallucinations cluster around specific types of missing information: proper names and their variants, dates, identifiers, relationships between entities, and domain-specific terminology. ECD targets these exactly. The core block captures names, aliases, dates, identifiers, and relationships. The context_index extended module captures terminology and known ambiguities. Together they close the gaps most likely to produce fabricated output.</w:t>
      </w:r>
    </w:p>
    <w:p>
      <w:pPr>
        <w:spacing w:before="0" w:after="180"/>
        <w:jc w:val="left"/>
      </w:pPr>
      <w:r>
        <w:rPr>
          <w:rFonts w:ascii="Arial" w:cs="Arial" w:eastAsia="Arial" w:hAnsi="Arial"/>
          <w:b w:val="false"/>
          <w:bCs w:val="false"/>
          <w:i w:val="false"/>
          <w:iCs w:val="false"/>
          <w:color w:val="555555"/>
          <w:sz w:val="22"/>
          <w:szCs w:val="22"/>
        </w:rPr>
        <w:t xml:space="preserve">A useful mental test for any candidate ECD field: if a model did not have this value, would it be likely to generate a plausible-sounding but potentially wrong answer? If yes, include it. If the model would simply say it does not know, the field is lower priority.</w:t>
      </w:r>
    </w:p>
    <w:p>
      <w:pPr>
        <w:pStyle w:val="Heading2"/>
      </w:pPr>
      <w:r>
        <w:rPr>
          <w:rFonts w:ascii="Arial" w:cs="Arial" w:eastAsia="Arial" w:hAnsi="Arial"/>
        </w:rPr>
        <w:t xml:space="preserve">3.3  Maximize token efficiency</w:t>
      </w:r>
    </w:p>
    <w:p>
      <w:pPr>
        <w:spacing w:before="0" w:after="180"/>
        <w:jc w:val="left"/>
      </w:pPr>
      <w:r>
        <w:rPr>
          <w:rFonts w:ascii="Arial" w:cs="Arial" w:eastAsia="Arial" w:hAnsi="Arial"/>
          <w:b w:val="false"/>
          <w:bCs w:val="false"/>
          <w:i w:val="false"/>
          <w:iCs w:val="false"/>
          <w:color w:val="555555"/>
          <w:sz w:val="22"/>
          <w:szCs w:val="22"/>
        </w:rPr>
        <w:t xml:space="preserve">Context window space consumed by the AI-GECO file is space unavailable for conversation. AI-GECO is deliberately compact. Specific format choices that reduce token consumption:</w:t>
      </w:r>
    </w:p>
    <w:p>
      <w:pPr>
        <w:spacing w:before="60" w:after="0"/>
      </w:pPr>
    </w:p>
    <w:p>
      <w:pPr>
        <w:pStyle w:val="ListParagraph"/>
        <w:numPr>
          <w:ilvl w:val="0"/>
          <w:numId w:val="2"/>
        </w:numPr>
        <w:spacing w:before="40" w:after="60"/>
      </w:pPr>
      <w:r>
        <w:rPr>
          <w:rFonts w:ascii="Arial" w:cs="Arial" w:eastAsia="Arial" w:hAnsi="Arial"/>
          <w:b/>
          <w:bCs/>
          <w:i w:val="false"/>
          <w:iCs w:val="false"/>
          <w:color w:val="555555"/>
          <w:sz w:val="22"/>
          <w:szCs w:val="22"/>
        </w:rPr>
        <w:t xml:space="preserve">Comma-separated strings</w:t>
      </w:r>
      <w:r>
        <w:rPr>
          <w:rFonts w:ascii="Arial" w:cs="Arial" w:eastAsia="Arial" w:hAnsi="Arial"/>
          <w:b w:val="false"/>
          <w:bCs w:val="false"/>
          <w:i w:val="false"/>
          <w:iCs w:val="false"/>
          <w:color w:val="555555"/>
          <w:sz w:val="22"/>
          <w:szCs w:val="22"/>
        </w:rPr>
        <w:t xml:space="preserve"> instead of JSON arrays eliminate per-element bracket and quote overhead.</w:t>
      </w:r>
    </w:p>
    <w:p>
      <w:pPr>
        <w:pStyle w:val="ListParagraph"/>
        <w:numPr>
          <w:ilvl w:val="0"/>
          <w:numId w:val="2"/>
        </w:numPr>
        <w:spacing w:before="40" w:after="60"/>
      </w:pPr>
      <w:r>
        <w:rPr>
          <w:rFonts w:ascii="Arial" w:cs="Arial" w:eastAsia="Arial" w:hAnsi="Arial"/>
          <w:b/>
          <w:bCs/>
          <w:i w:val="false"/>
          <w:iCs w:val="false"/>
          <w:color w:val="555555"/>
          <w:sz w:val="22"/>
          <w:szCs w:val="22"/>
        </w:rPr>
        <w:t xml:space="preserve">Atomic values</w:t>
      </w:r>
      <w:r>
        <w:rPr>
          <w:rFonts w:ascii="Arial" w:cs="Arial" w:eastAsia="Arial" w:hAnsi="Arial"/>
          <w:b w:val="false"/>
          <w:bCs w:val="false"/>
          <w:i w:val="false"/>
          <w:iCs w:val="false"/>
          <w:color w:val="555555"/>
          <w:sz w:val="22"/>
          <w:szCs w:val="22"/>
        </w:rPr>
        <w:t xml:space="preserve"> — short, factual strings rather than nested prose objects.</w:t>
      </w:r>
    </w:p>
    <w:p>
      <w:pPr>
        <w:pStyle w:val="ListParagraph"/>
        <w:numPr>
          <w:ilvl w:val="0"/>
          <w:numId w:val="2"/>
        </w:numPr>
        <w:spacing w:before="40" w:after="60"/>
      </w:pPr>
      <w:r>
        <w:rPr>
          <w:rFonts w:ascii="Arial" w:cs="Arial" w:eastAsia="Arial" w:hAnsi="Arial"/>
          <w:b/>
          <w:bCs/>
          <w:i w:val="false"/>
          <w:iCs w:val="false"/>
          <w:color w:val="555555"/>
          <w:sz w:val="22"/>
          <w:szCs w:val="22"/>
        </w:rPr>
        <w:t xml:space="preserve">Two-tier structure</w:t>
      </w:r>
      <w:r>
        <w:rPr>
          <w:rFonts w:ascii="Arial" w:cs="Arial" w:eastAsia="Arial" w:hAnsi="Arial"/>
          <w:b w:val="false"/>
          <w:bCs w:val="false"/>
          <w:i w:val="false"/>
          <w:iCs w:val="false"/>
          <w:color w:val="555555"/>
          <w:sz w:val="22"/>
          <w:szCs w:val="22"/>
        </w:rPr>
        <w:t xml:space="preserve"> — unused extended modules are omitted from the file entirely, not populated with placeholder text.</w:t>
      </w:r>
    </w:p>
    <w:p>
      <w:pPr>
        <w:pStyle w:val="ListParagraph"/>
        <w:numPr>
          <w:ilvl w:val="0"/>
          <w:numId w:val="2"/>
        </w:numPr>
        <w:spacing w:before="40" w:after="60"/>
      </w:pPr>
      <w:r>
        <w:rPr>
          <w:rFonts w:ascii="Arial" w:cs="Arial" w:eastAsia="Arial" w:hAnsi="Arial"/>
          <w:b/>
          <w:bCs/>
          <w:i w:val="false"/>
          <w:iCs w:val="false"/>
          <w:color w:val="555555"/>
          <w:sz w:val="22"/>
          <w:szCs w:val="22"/>
        </w:rPr>
        <w:t xml:space="preserve">Pipe delimiters</w:t>
      </w:r>
      <w:r>
        <w:rPr>
          <w:rFonts w:ascii="Arial" w:cs="Arial" w:eastAsia="Arial" w:hAnsi="Arial"/>
          <w:b w:val="false"/>
          <w:bCs w:val="false"/>
          <w:i w:val="false"/>
          <w:iCs w:val="false"/>
          <w:color w:val="555555"/>
          <w:sz w:val="22"/>
          <w:szCs w:val="22"/>
        </w:rPr>
        <w:t xml:space="preserve"> for fields whose values contain commas — avoiding JSON array overhead for multi-part entries.</w:t>
      </w:r>
    </w:p>
    <w:p>
      <w:pPr>
        <w:pStyle w:val="ListParagraph"/>
        <w:numPr>
          <w:ilvl w:val="0"/>
          <w:numId w:val="2"/>
        </w:numPr>
        <w:spacing w:before="40" w:after="60"/>
      </w:pPr>
      <w:r>
        <w:rPr>
          <w:rFonts w:ascii="Arial" w:cs="Arial" w:eastAsia="Arial" w:hAnsi="Arial"/>
          <w:b/>
          <w:bCs/>
          <w:i w:val="false"/>
          <w:iCs w:val="false"/>
          <w:color w:val="555555"/>
          <w:sz w:val="22"/>
          <w:szCs w:val="22"/>
        </w:rPr>
        <w:t xml:space="preserve">One instruction key</w:t>
      </w:r>
      <w:r>
        <w:rPr>
          <w:rFonts w:ascii="Arial" w:cs="Arial" w:eastAsia="Arial" w:hAnsi="Arial"/>
          <w:b w:val="false"/>
          <w:bCs w:val="false"/>
          <w:i w:val="false"/>
          <w:iCs w:val="false"/>
          <w:color w:val="555555"/>
          <w:sz w:val="22"/>
          <w:szCs w:val="22"/>
        </w:rPr>
        <w:t xml:space="preserve"> — written once in the file, applied to every session. Never repeated in conversation.</w:t>
      </w:r>
    </w:p>
    <w:p>
      <w:pPr>
        <w:spacing w:before="120" w:after="0"/>
      </w:pPr>
    </w:p>
    <w:p>
      <w:pPr>
        <w:pBdr>
          <w:top w:val="none" w:color="FFFFFF" w:sz="0"/>
          <w:left w:val="single" w:color="1E6B3C" w:sz="16" w:space="10"/>
          <w:right w:val="none" w:color="FFFFFF" w:sz="0"/>
        </w:pBdr>
        <w:shd w:fill="E8F5EE" w:val="clear"/>
        <w:spacing w:before="80" w:after="80"/>
        <w:ind w:left="360" w:right="240"/>
      </w:pPr>
      <w:r>
        <w:rPr>
          <w:rFonts w:ascii="Arial" w:cs="Arial" w:eastAsia="Arial" w:hAnsi="Arial"/>
          <w:i/>
          <w:iCs/>
          <w:color w:val="2C2C2C"/>
          <w:sz w:val="22"/>
          <w:szCs w:val="22"/>
        </w:rPr>
        <w:t xml:space="preserve">A fully populated ECD with all extended modules typically consumes 800–1,400 tokens. A minimal core-only instance runs 300–500 tokens. A user re-explaining an entity in prose at the start of each conversation may consume 500–2,000 tokens with lower precision and zero consistency.</w:t>
      </w:r>
    </w:p>
    <w:p>
      <w:pPr>
        <w:spacing w:before="480" w:after="60"/>
      </w:pPr>
      <w:r>
        <w:rPr>
          <w:rFonts w:ascii="Arial" w:cs="Arial" w:eastAsia="Arial" w:hAnsi="Arial"/>
          <w:b/>
          <w:bCs/>
          <w:color w:val="1B4F8A"/>
          <w:spacing w:val="50"/>
          <w:sz w:val="16"/>
          <w:szCs w:val="16"/>
        </w:rPr>
        <w:t xml:space="preserve">SECTION 4</w:t>
      </w:r>
    </w:p>
    <w:p>
      <w:pPr>
        <w:pStyle w:val="Heading1"/>
      </w:pPr>
      <w:r>
        <w:rPr>
          <w:rFonts w:ascii="Arial" w:cs="Arial" w:eastAsia="Arial" w:hAnsi="Arial"/>
        </w:rPr>
        <w:t xml:space="preserve">Structure</w:t>
      </w:r>
    </w:p>
    <w:p>
      <w:pPr>
        <w:spacing w:before="0" w:after="180"/>
        <w:jc w:val="left"/>
      </w:pPr>
      <w:r>
        <w:rPr>
          <w:rFonts w:ascii="Arial" w:cs="Arial" w:eastAsia="Arial" w:hAnsi="Arial"/>
          <w:b w:val="false"/>
          <w:bCs w:val="false"/>
          <w:i w:val="false"/>
          <w:iCs w:val="false"/>
          <w:color w:val="555555"/>
          <w:sz w:val="22"/>
          <w:szCs w:val="22"/>
        </w:rPr>
        <w:t xml:space="preserve">An AI-GECO file is a single JSON object with three top-level blocks:</w:t>
      </w:r>
    </w:p>
    <w:p>
      <w:pPr>
        <w:spacing w:before="80" w:after="0"/>
      </w:pPr>
    </w:p>
    <w:p>
      <w:pPr>
        <w:pBdr>
          <w:top w:val="single" w:color="CCCCCC" w:sz="2"/>
          <w:bottom w:val="none" w:color="FFFFFF" w:sz="0"/>
          <w:left w:val="single" w:color="CCCCCC" w:sz="2"/>
          <w:right w:val="single" w:color="CCCCCC" w:sz="2"/>
        </w:pBdr>
        <w:shd w:fill="F6F6F6" w:val="clear"/>
        <w:spacing w:before="100" w:after="0"/>
        <w:ind w:left="360"/>
      </w:pPr>
      <w:r>
        <w:rPr>
          <w:rFonts w:ascii="Courier New" w:cs="Courier New" w:eastAsia="Courier New" w:hAnsi="Courier New"/>
          <w:color w:val="2C2C2C"/>
          <w:sz w:val="18"/>
          <w:szCs w:val="18"/>
        </w:rPr>
        <w:t xml:space="preserve">{</w:t>
      </w:r>
    </w:p>
    <w:p>
      <w:pPr>
        <w:pBdr>
          <w:top w:val="none" w:color="FFFFFF" w:sz="0"/>
          <w:left w:val="single" w:color="CCCCCC" w:sz="2"/>
          <w:right w:val="single" w:color="CCCCCC" w:sz="2"/>
        </w:pBdr>
        <w:shd w:fill="F6F6F6" w:val="clear"/>
        <w:spacing w:before="0" w:after="0"/>
        <w:ind w:left="360"/>
      </w:pPr>
      <w:r>
        <w:rPr>
          <w:rFonts w:ascii="Courier New" w:cs="Courier New" w:eastAsia="Courier New" w:hAnsi="Courier New"/>
          <w:color w:val="2C2C2C"/>
          <w:sz w:val="18"/>
          <w:szCs w:val="18"/>
        </w:rPr>
        <w:t xml:space="preserve">  "_meta":    { ... },   // Required. Metadata and self-activating instruction.</w:t>
      </w:r>
    </w:p>
    <w:p>
      <w:pPr>
        <w:pBdr>
          <w:top w:val="none" w:color="FFFFFF" w:sz="0"/>
          <w:left w:val="single" w:color="CCCCCC" w:sz="2"/>
          <w:right w:val="single" w:color="CCCCCC" w:sz="2"/>
        </w:pBdr>
        <w:shd w:fill="F6F6F6" w:val="clear"/>
        <w:spacing w:before="0" w:after="0"/>
        <w:ind w:left="360"/>
      </w:pPr>
      <w:r>
        <w:rPr>
          <w:rFonts w:ascii="Courier New" w:cs="Courier New" w:eastAsia="Courier New" w:hAnsi="Courier New"/>
          <w:color w:val="2C2C2C"/>
          <w:sz w:val="18"/>
          <w:szCs w:val="18"/>
        </w:rPr>
        <w:t xml:space="preserve">  "core":     { ... },   // Required. Universal entity context.</w:t>
      </w:r>
    </w:p>
    <w:p>
      <w:pPr>
        <w:pBdr>
          <w:top w:val="none" w:color="FFFFFF" w:sz="0"/>
          <w:left w:val="single" w:color="CCCCCC" w:sz="2"/>
          <w:right w:val="single" w:color="CCCCCC" w:sz="2"/>
        </w:pBdr>
        <w:shd w:fill="F6F6F6" w:val="clear"/>
        <w:spacing w:before="0" w:after="0"/>
        <w:ind w:left="360"/>
      </w:pPr>
      <w:r>
        <w:rPr>
          <w:rFonts w:ascii="Courier New" w:cs="Courier New" w:eastAsia="Courier New" w:hAnsi="Courier New"/>
          <w:color w:val="2C2C2C"/>
          <w:sz w:val="18"/>
          <w:szCs w:val="18"/>
        </w:rPr>
        <w:t xml:space="preserve">  "extended": { ... }    // Optional. Entity-type-specific context modules.</w:t>
      </w:r>
    </w:p>
    <w:p>
      <w:pPr>
        <w:pBdr>
          <w:top w:val="none" w:color="FFFFFF" w:sz="0"/>
          <w:bottom w:val="single" w:color="CCCCCC" w:sz="2"/>
          <w:left w:val="single" w:color="CCCCCC" w:sz="2"/>
          <w:right w:val="single" w:color="CCCCCC" w:sz="2"/>
        </w:pBdr>
        <w:shd w:fill="F6F6F6" w:val="clear"/>
        <w:spacing w:before="0" w:after="100"/>
        <w:ind w:left="360"/>
      </w:pPr>
      <w:r>
        <w:rPr>
          <w:rFonts w:ascii="Courier New" w:cs="Courier New" w:eastAsia="Courier New" w:hAnsi="Courier New"/>
          <w:color w:val="2C2C2C"/>
          <w:sz w:val="18"/>
          <w:szCs w:val="18"/>
        </w:rPr>
        <w:t xml:space="preserve">}</w:t>
      </w:r>
    </w:p>
    <w:p>
      <w:pPr>
        <w:spacing w:before="200" w:after="0"/>
      </w:pPr>
    </w:p>
    <w:p>
      <w:pPr>
        <w:pStyle w:val="Heading2"/>
      </w:pPr>
      <w:r>
        <w:rPr>
          <w:rFonts w:ascii="Arial" w:cs="Arial" w:eastAsia="Arial" w:hAnsi="Arial"/>
        </w:rPr>
        <w:t xml:space="preserve">4.1  The _meta block</w:t>
      </w:r>
    </w:p>
    <w:p>
      <w:pPr>
        <w:spacing w:before="0" w:after="180"/>
        <w:jc w:val="left"/>
      </w:pPr>
      <w:r>
        <w:rPr>
          <w:rFonts w:ascii="Arial" w:cs="Arial" w:eastAsia="Arial" w:hAnsi="Arial"/>
          <w:b w:val="false"/>
          <w:bCs w:val="false"/>
          <w:i w:val="false"/>
          <w:iCs w:val="false"/>
          <w:color w:val="555555"/>
          <w:sz w:val="22"/>
          <w:szCs w:val="22"/>
        </w:rPr>
        <w:t xml:space="preserve">The </w:t>
      </w:r>
      <w:r>
        <w:rPr>
          <w:rFonts w:ascii="Courier New" w:cs="Courier New" w:eastAsia="Courier New" w:hAnsi="Courier New"/>
          <w:b w:val="false"/>
          <w:bCs w:val="false"/>
          <w:color w:val="1B4F8A"/>
          <w:sz w:val="20"/>
          <w:szCs w:val="20"/>
        </w:rPr>
        <w:t xml:space="preserve">_meta</w:t>
      </w:r>
      <w:r>
        <w:rPr>
          <w:rFonts w:ascii="Arial" w:cs="Arial" w:eastAsia="Arial" w:hAnsi="Arial"/>
          <w:b w:val="false"/>
          <w:bCs w:val="false"/>
          <w:i w:val="false"/>
          <w:iCs w:val="false"/>
          <w:color w:val="555555"/>
          <w:sz w:val="22"/>
          <w:szCs w:val="22"/>
        </w:rPr>
        <w:t xml:space="preserve"> block must appear first. It contains administrative metadata and the instruction key that activates the file. The </w:t>
      </w:r>
      <w:r>
        <w:rPr>
          <w:rFonts w:ascii="Courier New" w:cs="Courier New" w:eastAsia="Courier New" w:hAnsi="Courier New"/>
          <w:b w:val="false"/>
          <w:bCs w:val="false"/>
          <w:color w:val="1B4F8A"/>
          <w:sz w:val="20"/>
          <w:szCs w:val="20"/>
        </w:rPr>
        <w:t xml:space="preserve">instruction</w:t>
      </w:r>
      <w:r>
        <w:rPr>
          <w:rFonts w:ascii="Arial" w:cs="Arial" w:eastAsia="Arial" w:hAnsi="Arial"/>
          <w:b w:val="false"/>
          <w:bCs w:val="false"/>
          <w:i w:val="false"/>
          <w:iCs w:val="false"/>
          <w:color w:val="555555"/>
          <w:sz w:val="22"/>
          <w:szCs w:val="22"/>
        </w:rPr>
        <w:t xml:space="preserve"> field is the most important field in any AI-GECO instance — it tells the model how to treat everything that follows.</w:t>
      </w:r>
    </w:p>
    <w:p>
      <w:pPr>
        <w:spacing w:before="80" w:after="0"/>
      </w:pPr>
    </w:p>
    <w:p>
      <w:pPr>
        <w:pBdr>
          <w:top w:val="single" w:color="CCCCCC" w:sz="2"/>
          <w:bottom w:val="none" w:color="FFFFFF" w:sz="0"/>
          <w:left w:val="single" w:color="CCCCCC" w:sz="2"/>
          <w:right w:val="single" w:color="CCCCCC" w:sz="2"/>
        </w:pBdr>
        <w:shd w:fill="F6F6F6" w:val="clear"/>
        <w:spacing w:before="100" w:after="0"/>
        <w:ind w:left="360"/>
      </w:pPr>
      <w:r>
        <w:rPr>
          <w:rFonts w:ascii="Courier New" w:cs="Courier New" w:eastAsia="Courier New" w:hAnsi="Courier New"/>
          <w:color w:val="2C2C2C"/>
          <w:sz w:val="18"/>
          <w:szCs w:val="18"/>
        </w:rPr>
        <w:t xml:space="preserve">"_meta": {</w:t>
      </w:r>
    </w:p>
    <w:p>
      <w:pPr>
        <w:pBdr>
          <w:top w:val="none" w:color="FFFFFF" w:sz="0"/>
          <w:left w:val="single" w:color="CCCCCC" w:sz="2"/>
          <w:right w:val="single" w:color="CCCCCC" w:sz="2"/>
        </w:pBdr>
        <w:shd w:fill="F6F6F6" w:val="clear"/>
        <w:spacing w:before="0" w:after="0"/>
        <w:ind w:left="360"/>
      </w:pPr>
      <w:r>
        <w:rPr>
          <w:rFonts w:ascii="Courier New" w:cs="Courier New" w:eastAsia="Courier New" w:hAnsi="Courier New"/>
          <w:color w:val="2C2C2C"/>
          <w:sz w:val="18"/>
          <w:szCs w:val="18"/>
        </w:rPr>
        <w:t xml:space="preserve">  "standard":      "AI-GECO",</w:t>
      </w:r>
    </w:p>
    <w:p>
      <w:pPr>
        <w:pBdr>
          <w:top w:val="none" w:color="FFFFFF" w:sz="0"/>
          <w:left w:val="single" w:color="CCCCCC" w:sz="2"/>
          <w:right w:val="single" w:color="CCCCCC" w:sz="2"/>
        </w:pBdr>
        <w:shd w:fill="F6F6F6" w:val="clear"/>
        <w:spacing w:before="0" w:after="0"/>
        <w:ind w:left="360"/>
      </w:pPr>
      <w:r>
        <w:rPr>
          <w:rFonts w:ascii="Courier New" w:cs="Courier New" w:eastAsia="Courier New" w:hAnsi="Courier New"/>
          <w:color w:val="2C2C2C"/>
          <w:sz w:val="18"/>
          <w:szCs w:val="18"/>
        </w:rPr>
        <w:t xml:space="preserve">  "version":       "1.0",</w:t>
      </w:r>
    </w:p>
    <w:p>
      <w:pPr>
        <w:pBdr>
          <w:top w:val="none" w:color="FFFFFF" w:sz="0"/>
          <w:left w:val="single" w:color="CCCCCC" w:sz="2"/>
          <w:right w:val="single" w:color="CCCCCC" w:sz="2"/>
        </w:pBdr>
        <w:shd w:fill="F6F6F6" w:val="clear"/>
        <w:spacing w:before="0" w:after="0"/>
        <w:ind w:left="360"/>
      </w:pPr>
      <w:r>
        <w:rPr>
          <w:rFonts w:ascii="Courier New" w:cs="Courier New" w:eastAsia="Courier New" w:hAnsi="Courier New"/>
          <w:color w:val="2C2C2C"/>
          <w:sz w:val="18"/>
          <w:szCs w:val="18"/>
        </w:rPr>
        <w:t xml:space="preserve">  "instruction":   "This file is an Grounded Entity Context Object (ECD). It is a</w:t>
      </w:r>
    </w:p>
    <w:p>
      <w:pPr>
        <w:pBdr>
          <w:top w:val="none" w:color="FFFFFF" w:sz="0"/>
          <w:left w:val="single" w:color="CCCCCC" w:sz="2"/>
          <w:right w:val="single" w:color="CCCCCC" w:sz="2"/>
        </w:pBdr>
        <w:shd w:fill="F6F6F6" w:val="clear"/>
        <w:spacing w:before="0" w:after="0"/>
        <w:ind w:left="360"/>
      </w:pPr>
      <w:r>
        <w:rPr>
          <w:rFonts w:ascii="Courier New" w:cs="Courier New" w:eastAsia="Courier New" w:hAnsi="Courier New"/>
          <w:color w:val="2C2C2C"/>
          <w:sz w:val="18"/>
          <w:szCs w:val="18"/>
        </w:rPr>
        <w:t xml:space="preserve">                    portable, model-agnostic context standard. Treat all values</w:t>
      </w:r>
    </w:p>
    <w:p>
      <w:pPr>
        <w:pBdr>
          <w:top w:val="none" w:color="FFFFFF" w:sz="0"/>
          <w:left w:val="single" w:color="CCCCCC" w:sz="2"/>
          <w:right w:val="single" w:color="CCCCCC" w:sz="2"/>
        </w:pBdr>
        <w:shd w:fill="F6F6F6" w:val="clear"/>
        <w:spacing w:before="0" w:after="0"/>
        <w:ind w:left="360"/>
      </w:pPr>
      <w:r>
        <w:rPr>
          <w:rFonts w:ascii="Courier New" w:cs="Courier New" w:eastAsia="Courier New" w:hAnsi="Courier New"/>
          <w:color w:val="2C2C2C"/>
          <w:sz w:val="18"/>
          <w:szCs w:val="18"/>
        </w:rPr>
        <w:t xml:space="preserve">                    as authoritative context about the described entity. Apply</w:t>
      </w:r>
    </w:p>
    <w:p>
      <w:pPr>
        <w:pBdr>
          <w:top w:val="none" w:color="FFFFFF" w:sz="0"/>
          <w:left w:val="single" w:color="CCCCCC" w:sz="2"/>
          <w:right w:val="single" w:color="CCCCCC" w:sz="2"/>
        </w:pBdr>
        <w:shd w:fill="F6F6F6" w:val="clear"/>
        <w:spacing w:before="0" w:after="0"/>
        <w:ind w:left="360"/>
      </w:pPr>
      <w:r>
        <w:rPr>
          <w:rFonts w:ascii="Courier New" w:cs="Courier New" w:eastAsia="Courier New" w:hAnsi="Courier New"/>
          <w:color w:val="2C2C2C"/>
          <w:sz w:val="18"/>
          <w:szCs w:val="18"/>
        </w:rPr>
        <w:t xml:space="preserve">                    this context to every response in this session or project.</w:t>
      </w:r>
    </w:p>
    <w:p>
      <w:pPr>
        <w:pBdr>
          <w:top w:val="none" w:color="FFFFFF" w:sz="0"/>
          <w:left w:val="single" w:color="CCCCCC" w:sz="2"/>
          <w:right w:val="single" w:color="CCCCCC" w:sz="2"/>
        </w:pBdr>
        <w:shd w:fill="F6F6F6" w:val="clear"/>
        <w:spacing w:before="0" w:after="0"/>
        <w:ind w:left="360"/>
      </w:pPr>
      <w:r>
        <w:rPr>
          <w:rFonts w:ascii="Courier New" w:cs="Courier New" w:eastAsia="Courier New" w:hAnsi="Courier New"/>
          <w:color w:val="2C2C2C"/>
          <w:sz w:val="18"/>
          <w:szCs w:val="18"/>
        </w:rPr>
        <w:t xml:space="preserve">                    Do not ask the user to re-explain information already present</w:t>
      </w:r>
    </w:p>
    <w:p>
      <w:pPr>
        <w:pBdr>
          <w:top w:val="none" w:color="FFFFFF" w:sz="0"/>
          <w:left w:val="single" w:color="CCCCCC" w:sz="2"/>
          <w:right w:val="single" w:color="CCCCCC" w:sz="2"/>
        </w:pBdr>
        <w:shd w:fill="F6F6F6" w:val="clear"/>
        <w:spacing w:before="0" w:after="0"/>
        <w:ind w:left="360"/>
      </w:pPr>
      <w:r>
        <w:rPr>
          <w:rFonts w:ascii="Courier New" w:cs="Courier New" w:eastAsia="Courier New" w:hAnsi="Courier New"/>
          <w:color w:val="2C2C2C"/>
          <w:sz w:val="18"/>
          <w:szCs w:val="18"/>
        </w:rPr>
        <w:t xml:space="preserve">                    here. If user input conflicts with values in this file, flag</w:t>
      </w:r>
    </w:p>
    <w:p>
      <w:pPr>
        <w:pBdr>
          <w:top w:val="none" w:color="FFFFFF" w:sz="0"/>
          <w:left w:val="single" w:color="CCCCCC" w:sz="2"/>
          <w:right w:val="single" w:color="CCCCCC" w:sz="2"/>
        </w:pBdr>
        <w:shd w:fill="F6F6F6" w:val="clear"/>
        <w:spacing w:before="0" w:after="0"/>
        <w:ind w:left="360"/>
      </w:pPr>
      <w:r>
        <w:rPr>
          <w:rFonts w:ascii="Courier New" w:cs="Courier New" w:eastAsia="Courier New" w:hAnsi="Courier New"/>
          <w:color w:val="2C2C2C"/>
          <w:sz w:val="18"/>
          <w:szCs w:val="18"/>
        </w:rPr>
        <w:t xml:space="preserve">                    the discrepancy rather than silently overriding. Apply core</w:t>
      </w:r>
    </w:p>
    <w:p>
      <w:pPr>
        <w:pBdr>
          <w:top w:val="none" w:color="FFFFFF" w:sz="0"/>
          <w:left w:val="single" w:color="CCCCCC" w:sz="2"/>
          <w:right w:val="single" w:color="CCCCCC" w:sz="2"/>
        </w:pBdr>
        <w:shd w:fill="F6F6F6" w:val="clear"/>
        <w:spacing w:before="0" w:after="0"/>
        <w:ind w:left="360"/>
      </w:pPr>
      <w:r>
        <w:rPr>
          <w:rFonts w:ascii="Courier New" w:cs="Courier New" w:eastAsia="Courier New" w:hAnsi="Courier New"/>
          <w:color w:val="2C2C2C"/>
          <w:sz w:val="18"/>
          <w:szCs w:val="18"/>
        </w:rPr>
        <w:t xml:space="preserve">                    values universally; apply extended module values only when</w:t>
      </w:r>
    </w:p>
    <w:p>
      <w:pPr>
        <w:pBdr>
          <w:top w:val="none" w:color="FFFFFF" w:sz="0"/>
          <w:left w:val="single" w:color="CCCCCC" w:sz="2"/>
          <w:right w:val="single" w:color="CCCCCC" w:sz="2"/>
        </w:pBdr>
        <w:shd w:fill="F6F6F6" w:val="clear"/>
        <w:spacing w:before="0" w:after="0"/>
        <w:ind w:left="360"/>
      </w:pPr>
      <w:r>
        <w:rPr>
          <w:rFonts w:ascii="Courier New" w:cs="Courier New" w:eastAsia="Courier New" w:hAnsi="Courier New"/>
          <w:color w:val="2C2C2C"/>
          <w:sz w:val="18"/>
          <w:szCs w:val="18"/>
        </w:rPr>
        <w:t xml:space="preserve">                    the relevant domain is referenced. The entity_type field</w:t>
      </w:r>
    </w:p>
    <w:p>
      <w:pPr>
        <w:pBdr>
          <w:top w:val="none" w:color="FFFFFF" w:sz="0"/>
          <w:left w:val="single" w:color="CCCCCC" w:sz="2"/>
          <w:right w:val="single" w:color="CCCCCC" w:sz="2"/>
        </w:pBdr>
        <w:shd w:fill="F6F6F6" w:val="clear"/>
        <w:spacing w:before="0" w:after="0"/>
        <w:ind w:left="360"/>
      </w:pPr>
      <w:r>
        <w:rPr>
          <w:rFonts w:ascii="Courier New" w:cs="Courier New" w:eastAsia="Courier New" w:hAnsi="Courier New"/>
          <w:color w:val="2C2C2C"/>
          <w:sz w:val="18"/>
          <w:szCs w:val="18"/>
        </w:rPr>
        <w:t xml:space="preserve">                    declares what kind of entity is described — use it to</w:t>
      </w:r>
    </w:p>
    <w:p>
      <w:pPr>
        <w:pBdr>
          <w:top w:val="none" w:color="FFFFFF" w:sz="0"/>
          <w:left w:val="single" w:color="CCCCCC" w:sz="2"/>
          <w:right w:val="single" w:color="CCCCCC" w:sz="2"/>
        </w:pBdr>
        <w:shd w:fill="F6F6F6" w:val="clear"/>
        <w:spacing w:before="0" w:after="0"/>
        <w:ind w:left="360"/>
      </w:pPr>
      <w:r>
        <w:rPr>
          <w:rFonts w:ascii="Courier New" w:cs="Courier New" w:eastAsia="Courier New" w:hAnsi="Courier New"/>
          <w:color w:val="2C2C2C"/>
          <w:sz w:val="18"/>
          <w:szCs w:val="18"/>
        </w:rPr>
        <w:t xml:space="preserve">                    interpret all other fields appropriately.",</w:t>
      </w:r>
    </w:p>
    <w:p>
      <w:pPr>
        <w:pBdr>
          <w:top w:val="none" w:color="FFFFFF" w:sz="0"/>
          <w:left w:val="single" w:color="CCCCCC" w:sz="2"/>
          <w:right w:val="single" w:color="CCCCCC" w:sz="2"/>
        </w:pBdr>
        <w:shd w:fill="F6F6F6" w:val="clear"/>
        <w:spacing w:before="0" w:after="0"/>
        <w:ind w:left="360"/>
      </w:pPr>
      <w:r>
        <w:rPr>
          <w:rFonts w:ascii="Courier New" w:cs="Courier New" w:eastAsia="Courier New" w:hAnsi="Courier New"/>
          <w:color w:val="2C2C2C"/>
          <w:sz w:val="18"/>
          <w:szCs w:val="18"/>
        </w:rPr>
        <w:t xml:space="preserve">  "compatibility": "Claude Projects, ChatGPT GPTs, Gemini Gems, Copilot Agents,</w:t>
      </w:r>
    </w:p>
    <w:p>
      <w:pPr>
        <w:pBdr>
          <w:top w:val="none" w:color="FFFFFF" w:sz="0"/>
          <w:left w:val="single" w:color="CCCCCC" w:sz="2"/>
          <w:right w:val="single" w:color="CCCCCC" w:sz="2"/>
        </w:pBdr>
        <w:shd w:fill="F6F6F6" w:val="clear"/>
        <w:spacing w:before="0" w:after="0"/>
        <w:ind w:left="360"/>
      </w:pPr>
      <w:r>
        <w:rPr>
          <w:rFonts w:ascii="Courier New" w:cs="Courier New" w:eastAsia="Courier New" w:hAnsi="Courier New"/>
          <w:color w:val="2C2C2C"/>
          <w:sz w:val="18"/>
          <w:szCs w:val="18"/>
        </w:rPr>
        <w:t xml:space="preserve">                    or any AI platform supporting file-based or persistent</w:t>
      </w:r>
    </w:p>
    <w:p>
      <w:pPr>
        <w:pBdr>
          <w:top w:val="none" w:color="FFFFFF" w:sz="0"/>
          <w:left w:val="single" w:color="CCCCCC" w:sz="2"/>
          <w:right w:val="single" w:color="CCCCCC" w:sz="2"/>
        </w:pBdr>
        <w:shd w:fill="F6F6F6" w:val="clear"/>
        <w:spacing w:before="0" w:after="0"/>
        <w:ind w:left="360"/>
      </w:pPr>
      <w:r>
        <w:rPr>
          <w:rFonts w:ascii="Courier New" w:cs="Courier New" w:eastAsia="Courier New" w:hAnsi="Courier New"/>
          <w:color w:val="2C2C2C"/>
          <w:sz w:val="18"/>
          <w:szCs w:val="18"/>
        </w:rPr>
        <w:t xml:space="preserve">                    context injection",</w:t>
      </w:r>
    </w:p>
    <w:p>
      <w:pPr>
        <w:pBdr>
          <w:top w:val="none" w:color="FFFFFF" w:sz="0"/>
          <w:left w:val="single" w:color="CCCCCC" w:sz="2"/>
          <w:right w:val="single" w:color="CCCCCC" w:sz="2"/>
        </w:pBdr>
        <w:shd w:fill="F6F6F6" w:val="clear"/>
        <w:spacing w:before="0" w:after="0"/>
        <w:ind w:left="360"/>
      </w:pPr>
      <w:r>
        <w:rPr>
          <w:rFonts w:ascii="Courier New" w:cs="Courier New" w:eastAsia="Courier New" w:hAnsi="Courier New"/>
          <w:color w:val="2C2C2C"/>
          <w:sz w:val="18"/>
          <w:szCs w:val="18"/>
        </w:rPr>
        <w:t xml:space="preserve">  "created":       "YYYY-MM-DD",</w:t>
      </w:r>
    </w:p>
    <w:p>
      <w:pPr>
        <w:pBdr>
          <w:top w:val="none" w:color="FFFFFF" w:sz="0"/>
          <w:left w:val="single" w:color="CCCCCC" w:sz="2"/>
          <w:right w:val="single" w:color="CCCCCC" w:sz="2"/>
        </w:pBdr>
        <w:shd w:fill="F6F6F6" w:val="clear"/>
        <w:spacing w:before="0" w:after="0"/>
        <w:ind w:left="360"/>
      </w:pPr>
      <w:r>
        <w:rPr>
          <w:rFonts w:ascii="Courier New" w:cs="Courier New" w:eastAsia="Courier New" w:hAnsi="Courier New"/>
          <w:color w:val="2C2C2C"/>
          <w:sz w:val="18"/>
          <w:szCs w:val="18"/>
        </w:rPr>
        <w:t xml:space="preserve">  "updated":       "YYYY-MM-DD",</w:t>
      </w:r>
    </w:p>
    <w:p>
      <w:pPr>
        <w:pBdr>
          <w:top w:val="none" w:color="FFFFFF" w:sz="0"/>
          <w:left w:val="single" w:color="CCCCCC" w:sz="2"/>
          <w:right w:val="single" w:color="CCCCCC" w:sz="2"/>
        </w:pBdr>
        <w:shd w:fill="F6F6F6" w:val="clear"/>
        <w:spacing w:before="0" w:after="0"/>
        <w:ind w:left="360"/>
      </w:pPr>
      <w:r>
        <w:rPr>
          <w:rFonts w:ascii="Courier New" w:cs="Courier New" w:eastAsia="Courier New" w:hAnsi="Courier New"/>
          <w:color w:val="2C2C2C"/>
          <w:sz w:val="18"/>
          <w:szCs w:val="18"/>
        </w:rPr>
        <w:t xml:space="preserve">  "maintained_by": "Name, role, or system"</w:t>
      </w:r>
    </w:p>
    <w:p>
      <w:pPr>
        <w:pBdr>
          <w:top w:val="none" w:color="FFFFFF" w:sz="0"/>
          <w:bottom w:val="single" w:color="CCCCCC" w:sz="2"/>
          <w:left w:val="single" w:color="CCCCCC" w:sz="2"/>
          <w:right w:val="single" w:color="CCCCCC" w:sz="2"/>
        </w:pBdr>
        <w:shd w:fill="F6F6F6" w:val="clear"/>
        <w:spacing w:before="0" w:after="100"/>
        <w:ind w:left="360"/>
      </w:pPr>
      <w:r>
        <w:rPr>
          <w:rFonts w:ascii="Courier New" w:cs="Courier New" w:eastAsia="Courier New" w:hAnsi="Courier New"/>
          <w:color w:val="2C2C2C"/>
          <w:sz w:val="18"/>
          <w:szCs w:val="18"/>
        </w:rPr>
        <w:t xml:space="preserve">}</w:t>
      </w:r>
    </w:p>
    <w:p>
      <w:pPr>
        <w:spacing w:before="160" w:after="0"/>
      </w:pPr>
    </w:p>
    <w:p>
      <w:pPr>
        <w:pBdr>
          <w:top w:val="none" w:color="FFFFFF" w:sz="0"/>
          <w:left w:val="single" w:color="7A4F00" w:sz="16" w:space="10"/>
          <w:right w:val="none" w:color="FFFFFF" w:sz="0"/>
        </w:pBdr>
        <w:shd w:fill="FDF3DC" w:val="clear"/>
        <w:spacing w:before="80" w:after="80"/>
        <w:ind w:left="360" w:right="240"/>
      </w:pPr>
      <w:r>
        <w:rPr>
          <w:rFonts w:ascii="Arial" w:cs="Arial" w:eastAsia="Arial" w:hAnsi="Arial"/>
          <w:i/>
          <w:iCs/>
          <w:color w:val="2C2C2C"/>
          <w:sz w:val="22"/>
          <w:szCs w:val="22"/>
        </w:rPr>
        <w:t xml:space="preserve">Do not modify the instruction text. It is calibrated for accurate interpretation by frontier AI models. Extensions may be appended — but the canonical text must appear in full.</w:t>
      </w:r>
    </w:p>
    <w:p>
      <w:pPr>
        <w:spacing w:before="200" w:after="0"/>
      </w:pPr>
    </w:p>
    <w:p>
      <w:pPr>
        <w:pStyle w:val="Heading2"/>
      </w:pPr>
      <w:r>
        <w:rPr>
          <w:rFonts w:ascii="Arial" w:cs="Arial" w:eastAsia="Arial" w:hAnsi="Arial"/>
        </w:rPr>
        <w:t xml:space="preserve">4.2  The core block</w:t>
      </w:r>
    </w:p>
    <w:p>
      <w:pPr>
        <w:spacing w:before="0" w:after="180"/>
        <w:jc w:val="left"/>
      </w:pPr>
      <w:r>
        <w:rPr>
          <w:rFonts w:ascii="Arial" w:cs="Arial" w:eastAsia="Arial" w:hAnsi="Arial"/>
          <w:b w:val="false"/>
          <w:bCs w:val="false"/>
          <w:i w:val="false"/>
          <w:iCs w:val="false"/>
          <w:color w:val="555555"/>
          <w:sz w:val="22"/>
          <w:szCs w:val="22"/>
        </w:rPr>
        <w:t xml:space="preserve">The </w:t>
      </w:r>
      <w:r>
        <w:rPr>
          <w:rFonts w:ascii="Courier New" w:cs="Courier New" w:eastAsia="Courier New" w:hAnsi="Courier New"/>
          <w:b w:val="false"/>
          <w:bCs w:val="false"/>
          <w:color w:val="1B4F8A"/>
          <w:sz w:val="20"/>
          <w:szCs w:val="20"/>
        </w:rPr>
        <w:t xml:space="preserve">core</w:t>
      </w:r>
      <w:r>
        <w:rPr>
          <w:rFonts w:ascii="Arial" w:cs="Arial" w:eastAsia="Arial" w:hAnsi="Arial"/>
          <w:b w:val="false"/>
          <w:bCs w:val="false"/>
          <w:i w:val="false"/>
          <w:iCs w:val="false"/>
          <w:color w:val="555555"/>
          <w:sz w:val="22"/>
          <w:szCs w:val="22"/>
        </w:rPr>
        <w:t xml:space="preserve"> block is required in every AI-GECO instance. It contains fields that apply to any entity type. All core fields are treated by the model as universally applicable.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4200"/>
      </w:tblGrid>
      <w:tr>
        <w:trPr>
          <w:tblHeader/>
        </w:trPr>
        <w:tc>
          <w:tcPr>
            <w:tcW w:type="dxa" w:w="2000"/>
            <w:tcBorders>
              <w:top w:val="single" w:color="1B4F8A" w:sz="1"/>
              <w:left w:val="single" w:color="1B4F8A" w:sz="1"/>
              <w:bottom w:val="single" w:color="1B4F8A" w:sz="1"/>
              <w:right w:val="single" w:color="1B4F8A" w:sz="1"/>
            </w:tcBorders>
            <w:shd w:fill="1B4F8A" w:val="clear"/>
            <w:tcMar>
              <w:top w:type="dxa" w:w="80"/>
              <w:left w:type="dxa" w:w="140"/>
              <w:bottom w:type="dxa" w:w="80"/>
              <w:right w:type="dxa" w:w="140"/>
            </w:tcMar>
          </w:tcPr>
          <w:p>
            <w:r>
              <w:rPr>
                <w:rFonts w:ascii="Arial" w:cs="Arial" w:eastAsia="Arial" w:hAnsi="Arial"/>
                <w:b/>
                <w:bCs/>
                <w:color w:val="FFFFFF"/>
                <w:sz w:val="19"/>
                <w:szCs w:val="19"/>
              </w:rPr>
              <w:t xml:space="preserve">Field</w:t>
            </w:r>
          </w:p>
        </w:tc>
        <w:tc>
          <w:tcPr>
            <w:tcW w:type="dxa" w:w="3160"/>
            <w:tcBorders>
              <w:top w:val="single" w:color="1B4F8A" w:sz="1"/>
              <w:left w:val="single" w:color="1B4F8A" w:sz="1"/>
              <w:bottom w:val="single" w:color="1B4F8A" w:sz="1"/>
              <w:right w:val="single" w:color="1B4F8A" w:sz="1"/>
            </w:tcBorders>
            <w:shd w:fill="1B4F8A" w:val="clear"/>
            <w:tcMar>
              <w:top w:type="dxa" w:w="80"/>
              <w:left w:type="dxa" w:w="140"/>
              <w:bottom w:type="dxa" w:w="80"/>
              <w:right w:type="dxa" w:w="140"/>
            </w:tcMar>
          </w:tcPr>
          <w:p>
            <w:r>
              <w:rPr>
                <w:rFonts w:ascii="Arial" w:cs="Arial" w:eastAsia="Arial" w:hAnsi="Arial"/>
                <w:b/>
                <w:bCs/>
                <w:color w:val="FFFFFF"/>
                <w:sz w:val="19"/>
                <w:szCs w:val="19"/>
              </w:rPr>
              <w:t xml:space="preserve">Example value</w:t>
            </w:r>
          </w:p>
        </w:tc>
        <w:tc>
          <w:tcPr>
            <w:tcW w:type="dxa" w:w="4200"/>
            <w:tcBorders>
              <w:top w:val="single" w:color="1B4F8A" w:sz="1"/>
              <w:left w:val="single" w:color="1B4F8A" w:sz="1"/>
              <w:bottom w:val="single" w:color="1B4F8A" w:sz="1"/>
              <w:right w:val="single" w:color="1B4F8A" w:sz="1"/>
            </w:tcBorders>
            <w:shd w:fill="1B4F8A" w:val="clear"/>
            <w:tcMar>
              <w:top w:type="dxa" w:w="80"/>
              <w:left w:type="dxa" w:w="140"/>
              <w:bottom w:type="dxa" w:w="80"/>
              <w:right w:type="dxa" w:w="140"/>
            </w:tcMar>
          </w:tcPr>
          <w:p>
            <w:r>
              <w:rPr>
                <w:rFonts w:ascii="Arial" w:cs="Arial" w:eastAsia="Arial" w:hAnsi="Arial"/>
                <w:b/>
                <w:bCs/>
                <w:color w:val="FFFFFF"/>
                <w:sz w:val="19"/>
                <w:szCs w:val="19"/>
              </w:rPr>
              <w:t xml:space="preserve">Purpose</w:t>
            </w:r>
          </w:p>
        </w:tc>
      </w:tr>
      <w:tr>
        <w:tc>
          <w:tcPr>
            <w:tcW w:type="dxa" w:w="2000"/>
            <w:tcBorders>
              <w:top w:val="single" w:color="E0E0E0" w:sz="1"/>
              <w:left w:val="single" w:color="E0E0E0" w:sz="1"/>
              <w:bottom w:val="single" w:color="E0E0E0" w:sz="1"/>
              <w:right w:val="single" w:color="E0E0E0" w:sz="1"/>
            </w:tcBorders>
            <w:shd w:fill="F4F4F4" w:val="clear"/>
            <w:tcMar>
              <w:top w:type="dxa" w:w="80"/>
              <w:left w:type="dxa" w:w="140"/>
              <w:bottom w:type="dxa" w:w="80"/>
              <w:right w:type="dxa" w:w="140"/>
            </w:tcMar>
          </w:tcPr>
          <w:p>
            <w:r>
              <w:rPr>
                <w:rFonts w:ascii="Courier New" w:cs="Courier New" w:eastAsia="Courier New" w:hAnsi="Courier New"/>
                <w:b w:val="false"/>
                <w:bCs w:val="false"/>
                <w:color w:val="1B4F8A"/>
                <w:sz w:val="18"/>
                <w:szCs w:val="18"/>
              </w:rPr>
              <w:t xml:space="preserve">entity_type</w:t>
            </w:r>
          </w:p>
        </w:tc>
        <w:tc>
          <w:tcPr>
            <w:tcW w:type="dxa" w:w="3160"/>
            <w:tcBorders>
              <w:top w:val="single" w:color="E0E0E0" w:sz="1"/>
              <w:left w:val="single" w:color="E0E0E0" w:sz="1"/>
              <w:bottom w:val="single" w:color="E0E0E0" w:sz="1"/>
              <w:right w:val="single" w:color="E0E0E0" w:sz="1"/>
            </w:tcBorders>
            <w:shd w:fill="F4F4F4" w:val="clear"/>
            <w:tcMar>
              <w:top w:type="dxa" w:w="80"/>
              <w:left w:type="dxa" w:w="140"/>
              <w:bottom w:type="dxa" w:w="80"/>
              <w:right w:type="dxa" w:w="140"/>
            </w:tcMar>
          </w:tcPr>
          <w:p>
            <w:r>
              <w:rPr>
                <w:rFonts w:ascii="Arial" w:cs="Arial" w:eastAsia="Arial" w:hAnsi="Arial"/>
                <w:b w:val="false"/>
                <w:bCs w:val="false"/>
                <w:color w:val="888888"/>
                <w:sz w:val="18"/>
                <w:szCs w:val="18"/>
              </w:rPr>
              <w:t xml:space="preserve">person</w:t>
            </w:r>
          </w:p>
        </w:tc>
        <w:tc>
          <w:tcPr>
            <w:tcW w:type="dxa" w:w="4200"/>
            <w:tcBorders>
              <w:top w:val="single" w:color="E0E0E0" w:sz="1"/>
              <w:left w:val="single" w:color="E0E0E0" w:sz="1"/>
              <w:bottom w:val="single" w:color="E0E0E0" w:sz="1"/>
              <w:right w:val="single" w:color="E0E0E0" w:sz="1"/>
            </w:tcBorders>
            <w:shd w:fill="F4F4F4" w:val="clear"/>
            <w:tcMar>
              <w:top w:type="dxa" w:w="80"/>
              <w:left w:type="dxa" w:w="140"/>
              <w:bottom w:type="dxa" w:w="80"/>
              <w:right w:type="dxa" w:w="140"/>
            </w:tcMar>
          </w:tcPr>
          <w:p>
            <w:r>
              <w:rPr>
                <w:rFonts w:ascii="Arial" w:cs="Arial" w:eastAsia="Arial" w:hAnsi="Arial"/>
                <w:b w:val="false"/>
                <w:bCs w:val="false"/>
                <w:color w:val="555555"/>
                <w:sz w:val="19"/>
                <w:szCs w:val="19"/>
              </w:rPr>
              <w:t xml:space="preserve">Declares the entity category. Orients the model and signals which extended module is primary.</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Courier New" w:cs="Courier New" w:eastAsia="Courier New" w:hAnsi="Courier New"/>
                <w:b w:val="false"/>
                <w:bCs w:val="false"/>
                <w:color w:val="1B4F8A"/>
                <w:sz w:val="18"/>
                <w:szCs w:val="18"/>
              </w:rPr>
              <w:t xml:space="preserve">name</w:t>
            </w:r>
          </w:p>
        </w:tc>
        <w:tc>
          <w:tcPr>
            <w:tcW w:type="dxa" w:w="31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Arial" w:cs="Arial" w:eastAsia="Arial" w:hAnsi="Arial"/>
                <w:b w:val="false"/>
                <w:bCs w:val="false"/>
                <w:color w:val="888888"/>
                <w:sz w:val="18"/>
                <w:szCs w:val="18"/>
              </w:rPr>
              <w:t xml:space="preserve">Marcus Delray</w:t>
            </w:r>
          </w:p>
        </w:tc>
        <w:tc>
          <w:tcPr>
            <w:tcW w:type="dxa" w:w="42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Arial" w:cs="Arial" w:eastAsia="Arial" w:hAnsi="Arial"/>
                <w:b w:val="false"/>
                <w:bCs w:val="false"/>
                <w:color w:val="555555"/>
                <w:sz w:val="19"/>
                <w:szCs w:val="19"/>
              </w:rPr>
              <w:t xml:space="preserve">Primary name or identifier. The model uses this as the default reference.</w:t>
            </w:r>
          </w:p>
        </w:tc>
      </w:tr>
      <w:tr>
        <w:tc>
          <w:tcPr>
            <w:tcW w:type="dxa" w:w="2000"/>
            <w:tcBorders>
              <w:top w:val="single" w:color="E0E0E0" w:sz="1"/>
              <w:left w:val="single" w:color="E0E0E0" w:sz="1"/>
              <w:bottom w:val="single" w:color="E0E0E0" w:sz="1"/>
              <w:right w:val="single" w:color="E0E0E0" w:sz="1"/>
            </w:tcBorders>
            <w:shd w:fill="F4F4F4" w:val="clear"/>
            <w:tcMar>
              <w:top w:type="dxa" w:w="80"/>
              <w:left w:type="dxa" w:w="140"/>
              <w:bottom w:type="dxa" w:w="80"/>
              <w:right w:type="dxa" w:w="140"/>
            </w:tcMar>
          </w:tcPr>
          <w:p>
            <w:r>
              <w:rPr>
                <w:rFonts w:ascii="Courier New" w:cs="Courier New" w:eastAsia="Courier New" w:hAnsi="Courier New"/>
                <w:b w:val="false"/>
                <w:bCs w:val="false"/>
                <w:color w:val="1B4F8A"/>
                <w:sz w:val="18"/>
                <w:szCs w:val="18"/>
              </w:rPr>
              <w:t xml:space="preserve">aliases</w:t>
            </w:r>
          </w:p>
        </w:tc>
        <w:tc>
          <w:tcPr>
            <w:tcW w:type="dxa" w:w="3160"/>
            <w:tcBorders>
              <w:top w:val="single" w:color="E0E0E0" w:sz="1"/>
              <w:left w:val="single" w:color="E0E0E0" w:sz="1"/>
              <w:bottom w:val="single" w:color="E0E0E0" w:sz="1"/>
              <w:right w:val="single" w:color="E0E0E0" w:sz="1"/>
            </w:tcBorders>
            <w:shd w:fill="F4F4F4" w:val="clear"/>
            <w:tcMar>
              <w:top w:type="dxa" w:w="80"/>
              <w:left w:type="dxa" w:w="140"/>
              <w:bottom w:type="dxa" w:w="80"/>
              <w:right w:type="dxa" w:w="140"/>
            </w:tcMar>
          </w:tcPr>
          <w:p>
            <w:r>
              <w:rPr>
                <w:rFonts w:ascii="Arial" w:cs="Arial" w:eastAsia="Arial" w:hAnsi="Arial"/>
                <w:b w:val="false"/>
                <w:bCs w:val="false"/>
                <w:color w:val="888888"/>
                <w:sz w:val="18"/>
                <w:szCs w:val="18"/>
              </w:rPr>
              <w:t xml:space="preserve">Marc, MD</w:t>
            </w:r>
          </w:p>
        </w:tc>
        <w:tc>
          <w:tcPr>
            <w:tcW w:type="dxa" w:w="4200"/>
            <w:tcBorders>
              <w:top w:val="single" w:color="E0E0E0" w:sz="1"/>
              <w:left w:val="single" w:color="E0E0E0" w:sz="1"/>
              <w:bottom w:val="single" w:color="E0E0E0" w:sz="1"/>
              <w:right w:val="single" w:color="E0E0E0" w:sz="1"/>
            </w:tcBorders>
            <w:shd w:fill="F4F4F4" w:val="clear"/>
            <w:tcMar>
              <w:top w:type="dxa" w:w="80"/>
              <w:left w:type="dxa" w:w="140"/>
              <w:bottom w:type="dxa" w:w="80"/>
              <w:right w:type="dxa" w:w="140"/>
            </w:tcMar>
          </w:tcPr>
          <w:p>
            <w:r>
              <w:rPr>
                <w:rFonts w:ascii="Arial" w:cs="Arial" w:eastAsia="Arial" w:hAnsi="Arial"/>
                <w:b w:val="false"/>
                <w:bCs w:val="false"/>
                <w:color w:val="555555"/>
                <w:sz w:val="19"/>
                <w:szCs w:val="19"/>
              </w:rPr>
              <w:t xml:space="preserve">Other names the entity is known by. Prevents identity confusion across name variants.</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Courier New" w:cs="Courier New" w:eastAsia="Courier New" w:hAnsi="Courier New"/>
                <w:b w:val="false"/>
                <w:bCs w:val="false"/>
                <w:color w:val="1B4F8A"/>
                <w:sz w:val="18"/>
                <w:szCs w:val="18"/>
              </w:rPr>
              <w:t xml:space="preserve">description</w:t>
            </w:r>
          </w:p>
        </w:tc>
        <w:tc>
          <w:tcPr>
            <w:tcW w:type="dxa" w:w="31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Arial" w:cs="Arial" w:eastAsia="Arial" w:hAnsi="Arial"/>
                <w:b w:val="false"/>
                <w:bCs w:val="false"/>
                <w:color w:val="888888"/>
                <w:sz w:val="18"/>
                <w:szCs w:val="18"/>
              </w:rPr>
              <w:t xml:space="preserve">2–3 sentence factual summary</w:t>
            </w:r>
          </w:p>
        </w:tc>
        <w:tc>
          <w:tcPr>
            <w:tcW w:type="dxa" w:w="42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Arial" w:cs="Arial" w:eastAsia="Arial" w:hAnsi="Arial"/>
                <w:b w:val="false"/>
                <w:bCs w:val="false"/>
                <w:color w:val="555555"/>
                <w:sz w:val="19"/>
                <w:szCs w:val="19"/>
              </w:rPr>
              <w:t xml:space="preserve">Plain-language summary written for AI comprehension. Most important grounding field after entity_type.</w:t>
            </w:r>
          </w:p>
        </w:tc>
      </w:tr>
      <w:tr>
        <w:tc>
          <w:tcPr>
            <w:tcW w:type="dxa" w:w="2000"/>
            <w:tcBorders>
              <w:top w:val="single" w:color="E0E0E0" w:sz="1"/>
              <w:left w:val="single" w:color="E0E0E0" w:sz="1"/>
              <w:bottom w:val="single" w:color="E0E0E0" w:sz="1"/>
              <w:right w:val="single" w:color="E0E0E0" w:sz="1"/>
            </w:tcBorders>
            <w:shd w:fill="F4F4F4" w:val="clear"/>
            <w:tcMar>
              <w:top w:type="dxa" w:w="80"/>
              <w:left w:type="dxa" w:w="140"/>
              <w:bottom w:type="dxa" w:w="80"/>
              <w:right w:type="dxa" w:w="140"/>
            </w:tcMar>
          </w:tcPr>
          <w:p>
            <w:r>
              <w:rPr>
                <w:rFonts w:ascii="Courier New" w:cs="Courier New" w:eastAsia="Courier New" w:hAnsi="Courier New"/>
                <w:b w:val="false"/>
                <w:bCs w:val="false"/>
                <w:color w:val="1B4F8A"/>
                <w:sz w:val="18"/>
                <w:szCs w:val="18"/>
              </w:rPr>
              <w:t xml:space="preserve">status</w:t>
            </w:r>
          </w:p>
        </w:tc>
        <w:tc>
          <w:tcPr>
            <w:tcW w:type="dxa" w:w="3160"/>
            <w:tcBorders>
              <w:top w:val="single" w:color="E0E0E0" w:sz="1"/>
              <w:left w:val="single" w:color="E0E0E0" w:sz="1"/>
              <w:bottom w:val="single" w:color="E0E0E0" w:sz="1"/>
              <w:right w:val="single" w:color="E0E0E0" w:sz="1"/>
            </w:tcBorders>
            <w:shd w:fill="F4F4F4" w:val="clear"/>
            <w:tcMar>
              <w:top w:type="dxa" w:w="80"/>
              <w:left w:type="dxa" w:w="140"/>
              <w:bottom w:type="dxa" w:w="80"/>
              <w:right w:type="dxa" w:w="140"/>
            </w:tcMar>
          </w:tcPr>
          <w:p>
            <w:r>
              <w:rPr>
                <w:rFonts w:ascii="Arial" w:cs="Arial" w:eastAsia="Arial" w:hAnsi="Arial"/>
                <w:b w:val="false"/>
                <w:bCs w:val="false"/>
                <w:color w:val="888888"/>
                <w:sz w:val="18"/>
                <w:szCs w:val="18"/>
              </w:rPr>
              <w:t xml:space="preserve">active</w:t>
            </w:r>
          </w:p>
        </w:tc>
        <w:tc>
          <w:tcPr>
            <w:tcW w:type="dxa" w:w="4200"/>
            <w:tcBorders>
              <w:top w:val="single" w:color="E0E0E0" w:sz="1"/>
              <w:left w:val="single" w:color="E0E0E0" w:sz="1"/>
              <w:bottom w:val="single" w:color="E0E0E0" w:sz="1"/>
              <w:right w:val="single" w:color="E0E0E0" w:sz="1"/>
            </w:tcBorders>
            <w:shd w:fill="F4F4F4" w:val="clear"/>
            <w:tcMar>
              <w:top w:type="dxa" w:w="80"/>
              <w:left w:type="dxa" w:w="140"/>
              <w:bottom w:type="dxa" w:w="80"/>
              <w:right w:type="dxa" w:w="140"/>
            </w:tcMar>
          </w:tcPr>
          <w:p>
            <w:r>
              <w:rPr>
                <w:rFonts w:ascii="Arial" w:cs="Arial" w:eastAsia="Arial" w:hAnsi="Arial"/>
                <w:b w:val="false"/>
                <w:bCs w:val="false"/>
                <w:color w:val="555555"/>
                <w:sz w:val="19"/>
                <w:szCs w:val="19"/>
              </w:rPr>
              <w:t xml:space="preserve">Current state — active, inactive, deceased, discontinued, archived, etc.</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Courier New" w:cs="Courier New" w:eastAsia="Courier New" w:hAnsi="Courier New"/>
                <w:b w:val="false"/>
                <w:bCs w:val="false"/>
                <w:color w:val="1B4F8A"/>
                <w:sz w:val="18"/>
                <w:szCs w:val="18"/>
              </w:rPr>
              <w:t xml:space="preserve">origin</w:t>
            </w:r>
          </w:p>
        </w:tc>
        <w:tc>
          <w:tcPr>
            <w:tcW w:type="dxa" w:w="31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Arial" w:cs="Arial" w:eastAsia="Arial" w:hAnsi="Arial"/>
                <w:b w:val="false"/>
                <w:bCs w:val="false"/>
                <w:color w:val="888888"/>
                <w:sz w:val="18"/>
                <w:szCs w:val="18"/>
              </w:rPr>
              <w:t xml:space="preserve">Detroit, MI, USA</w:t>
            </w:r>
          </w:p>
        </w:tc>
        <w:tc>
          <w:tcPr>
            <w:tcW w:type="dxa" w:w="42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Arial" w:cs="Arial" w:eastAsia="Arial" w:hAnsi="Arial"/>
                <w:b w:val="false"/>
                <w:bCs w:val="false"/>
                <w:color w:val="555555"/>
                <w:sz w:val="19"/>
                <w:szCs w:val="19"/>
              </w:rPr>
              <w:t xml:space="preserve">Where or how the entity came to exist. Grounds provenance questions.</w:t>
            </w:r>
          </w:p>
        </w:tc>
      </w:tr>
      <w:tr>
        <w:tc>
          <w:tcPr>
            <w:tcW w:type="dxa" w:w="2000"/>
            <w:tcBorders>
              <w:top w:val="single" w:color="E0E0E0" w:sz="1"/>
              <w:left w:val="single" w:color="E0E0E0" w:sz="1"/>
              <w:bottom w:val="single" w:color="E0E0E0" w:sz="1"/>
              <w:right w:val="single" w:color="E0E0E0" w:sz="1"/>
            </w:tcBorders>
            <w:shd w:fill="F4F4F4" w:val="clear"/>
            <w:tcMar>
              <w:top w:type="dxa" w:w="80"/>
              <w:left w:type="dxa" w:w="140"/>
              <w:bottom w:type="dxa" w:w="80"/>
              <w:right w:type="dxa" w:w="140"/>
            </w:tcMar>
          </w:tcPr>
          <w:p>
            <w:r>
              <w:rPr>
                <w:rFonts w:ascii="Courier New" w:cs="Courier New" w:eastAsia="Courier New" w:hAnsi="Courier New"/>
                <w:b w:val="false"/>
                <w:bCs w:val="false"/>
                <w:color w:val="1B4F8A"/>
                <w:sz w:val="18"/>
                <w:szCs w:val="18"/>
              </w:rPr>
              <w:t xml:space="preserve">origin_date</w:t>
            </w:r>
          </w:p>
        </w:tc>
        <w:tc>
          <w:tcPr>
            <w:tcW w:type="dxa" w:w="3160"/>
            <w:tcBorders>
              <w:top w:val="single" w:color="E0E0E0" w:sz="1"/>
              <w:left w:val="single" w:color="E0E0E0" w:sz="1"/>
              <w:bottom w:val="single" w:color="E0E0E0" w:sz="1"/>
              <w:right w:val="single" w:color="E0E0E0" w:sz="1"/>
            </w:tcBorders>
            <w:shd w:fill="F4F4F4" w:val="clear"/>
            <w:tcMar>
              <w:top w:type="dxa" w:w="80"/>
              <w:left w:type="dxa" w:w="140"/>
              <w:bottom w:type="dxa" w:w="80"/>
              <w:right w:type="dxa" w:w="140"/>
            </w:tcMar>
          </w:tcPr>
          <w:p>
            <w:r>
              <w:rPr>
                <w:rFonts w:ascii="Arial" w:cs="Arial" w:eastAsia="Arial" w:hAnsi="Arial"/>
                <w:b w:val="false"/>
                <w:bCs w:val="false"/>
                <w:color w:val="888888"/>
                <w:sz w:val="18"/>
                <w:szCs w:val="18"/>
              </w:rPr>
              <w:t xml:space="preserve">1983-07-14</w:t>
            </w:r>
          </w:p>
        </w:tc>
        <w:tc>
          <w:tcPr>
            <w:tcW w:type="dxa" w:w="4200"/>
            <w:tcBorders>
              <w:top w:val="single" w:color="E0E0E0" w:sz="1"/>
              <w:left w:val="single" w:color="E0E0E0" w:sz="1"/>
              <w:bottom w:val="single" w:color="E0E0E0" w:sz="1"/>
              <w:right w:val="single" w:color="E0E0E0" w:sz="1"/>
            </w:tcBorders>
            <w:shd w:fill="F4F4F4" w:val="clear"/>
            <w:tcMar>
              <w:top w:type="dxa" w:w="80"/>
              <w:left w:type="dxa" w:w="140"/>
              <w:bottom w:type="dxa" w:w="80"/>
              <w:right w:type="dxa" w:w="140"/>
            </w:tcMar>
          </w:tcPr>
          <w:p>
            <w:r>
              <w:rPr>
                <w:rFonts w:ascii="Arial" w:cs="Arial" w:eastAsia="Arial" w:hAnsi="Arial"/>
                <w:b w:val="false"/>
                <w:bCs w:val="false"/>
                <w:color w:val="555555"/>
                <w:sz w:val="19"/>
                <w:szCs w:val="19"/>
              </w:rPr>
              <w:t xml:space="preserve">Birth date, founding date, manufacture date, or publication date. ISO 8601 format.</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Courier New" w:cs="Courier New" w:eastAsia="Courier New" w:hAnsi="Courier New"/>
                <w:b w:val="false"/>
                <w:bCs w:val="false"/>
                <w:color w:val="1B4F8A"/>
                <w:sz w:val="18"/>
                <w:szCs w:val="18"/>
              </w:rPr>
              <w:t xml:space="preserve">identifiers</w:t>
            </w:r>
          </w:p>
        </w:tc>
        <w:tc>
          <w:tcPr>
            <w:tcW w:type="dxa" w:w="31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Arial" w:cs="Arial" w:eastAsia="Arial" w:hAnsi="Arial"/>
                <w:b w:val="false"/>
                <w:bCs w:val="false"/>
                <w:color w:val="888888"/>
                <w:sz w:val="18"/>
                <w:szCs w:val="18"/>
              </w:rPr>
              <w:t xml:space="preserve">EIN: 47-XXXXXX, UPC: 007...</w:t>
            </w:r>
          </w:p>
        </w:tc>
        <w:tc>
          <w:tcPr>
            <w:tcW w:type="dxa" w:w="42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Arial" w:cs="Arial" w:eastAsia="Arial" w:hAnsi="Arial"/>
                <w:b w:val="false"/>
                <w:bCs w:val="false"/>
                <w:color w:val="555555"/>
                <w:sz w:val="19"/>
                <w:szCs w:val="19"/>
              </w:rPr>
              <w:t xml:space="preserve">Formal identifiers. Prevents the model from guessing or fabricating ID numbers.</w:t>
            </w:r>
          </w:p>
        </w:tc>
      </w:tr>
      <w:tr>
        <w:tc>
          <w:tcPr>
            <w:tcW w:type="dxa" w:w="2000"/>
            <w:tcBorders>
              <w:top w:val="single" w:color="E0E0E0" w:sz="1"/>
              <w:left w:val="single" w:color="E0E0E0" w:sz="1"/>
              <w:bottom w:val="single" w:color="E0E0E0" w:sz="1"/>
              <w:right w:val="single" w:color="E0E0E0" w:sz="1"/>
            </w:tcBorders>
            <w:shd w:fill="F4F4F4" w:val="clear"/>
            <w:tcMar>
              <w:top w:type="dxa" w:w="80"/>
              <w:left w:type="dxa" w:w="140"/>
              <w:bottom w:type="dxa" w:w="80"/>
              <w:right w:type="dxa" w:w="140"/>
            </w:tcMar>
          </w:tcPr>
          <w:p>
            <w:r>
              <w:rPr>
                <w:rFonts w:ascii="Courier New" w:cs="Courier New" w:eastAsia="Courier New" w:hAnsi="Courier New"/>
                <w:b w:val="false"/>
                <w:bCs w:val="false"/>
                <w:color w:val="1B4F8A"/>
                <w:sz w:val="18"/>
                <w:szCs w:val="18"/>
              </w:rPr>
              <w:t xml:space="preserve">tags</w:t>
            </w:r>
          </w:p>
        </w:tc>
        <w:tc>
          <w:tcPr>
            <w:tcW w:type="dxa" w:w="3160"/>
            <w:tcBorders>
              <w:top w:val="single" w:color="E0E0E0" w:sz="1"/>
              <w:left w:val="single" w:color="E0E0E0" w:sz="1"/>
              <w:bottom w:val="single" w:color="E0E0E0" w:sz="1"/>
              <w:right w:val="single" w:color="E0E0E0" w:sz="1"/>
            </w:tcBorders>
            <w:shd w:fill="F4F4F4" w:val="clear"/>
            <w:tcMar>
              <w:top w:type="dxa" w:w="80"/>
              <w:left w:type="dxa" w:w="140"/>
              <w:bottom w:type="dxa" w:w="80"/>
              <w:right w:type="dxa" w:w="140"/>
            </w:tcMar>
          </w:tcPr>
          <w:p>
            <w:r>
              <w:rPr>
                <w:rFonts w:ascii="Arial" w:cs="Arial" w:eastAsia="Arial" w:hAnsi="Arial"/>
                <w:b w:val="false"/>
                <w:bCs w:val="false"/>
                <w:color w:val="888888"/>
                <w:sz w:val="18"/>
                <w:szCs w:val="18"/>
              </w:rPr>
              <w:t xml:space="preserve">consultant, operations, B2B</w:t>
            </w:r>
          </w:p>
        </w:tc>
        <w:tc>
          <w:tcPr>
            <w:tcW w:type="dxa" w:w="4200"/>
            <w:tcBorders>
              <w:top w:val="single" w:color="E0E0E0" w:sz="1"/>
              <w:left w:val="single" w:color="E0E0E0" w:sz="1"/>
              <w:bottom w:val="single" w:color="E0E0E0" w:sz="1"/>
              <w:right w:val="single" w:color="E0E0E0" w:sz="1"/>
            </w:tcBorders>
            <w:shd w:fill="F4F4F4" w:val="clear"/>
            <w:tcMar>
              <w:top w:type="dxa" w:w="80"/>
              <w:left w:type="dxa" w:w="140"/>
              <w:bottom w:type="dxa" w:w="80"/>
              <w:right w:type="dxa" w:w="140"/>
            </w:tcMar>
          </w:tcPr>
          <w:p>
            <w:r>
              <w:rPr>
                <w:rFonts w:ascii="Arial" w:cs="Arial" w:eastAsia="Arial" w:hAnsi="Arial"/>
                <w:b w:val="false"/>
                <w:bCs w:val="false"/>
                <w:color w:val="555555"/>
                <w:sz w:val="19"/>
                <w:szCs w:val="19"/>
              </w:rPr>
              <w:t xml:space="preserve">Freeform classification keywords. Aids retrieval and categorization.</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Courier New" w:cs="Courier New" w:eastAsia="Courier New" w:hAnsi="Courier New"/>
                <w:b w:val="false"/>
                <w:bCs w:val="false"/>
                <w:color w:val="1B4F8A"/>
                <w:sz w:val="18"/>
                <w:szCs w:val="18"/>
              </w:rPr>
              <w:t xml:space="preserve">related_entities</w:t>
            </w:r>
          </w:p>
        </w:tc>
        <w:tc>
          <w:tcPr>
            <w:tcW w:type="dxa" w:w="31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Arial" w:cs="Arial" w:eastAsia="Arial" w:hAnsi="Arial"/>
                <w:b w:val="false"/>
                <w:bCs w:val="false"/>
                <w:color w:val="888888"/>
                <w:sz w:val="18"/>
                <w:szCs w:val="18"/>
              </w:rPr>
              <w:t xml:space="preserve">owner: Yvonne Delray</w:t>
            </w:r>
          </w:p>
        </w:tc>
        <w:tc>
          <w:tcPr>
            <w:tcW w:type="dxa" w:w="42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Arial" w:cs="Arial" w:eastAsia="Arial" w:hAnsi="Arial"/>
                <w:b w:val="false"/>
                <w:bCs w:val="false"/>
                <w:color w:val="555555"/>
                <w:sz w:val="19"/>
                <w:szCs w:val="19"/>
              </w:rPr>
              <w:t xml:space="preserve">Named relationships to other entities. Grounds relational queries.</w:t>
            </w:r>
          </w:p>
        </w:tc>
      </w:tr>
      <w:tr>
        <w:tc>
          <w:tcPr>
            <w:tcW w:type="dxa" w:w="2000"/>
            <w:tcBorders>
              <w:top w:val="single" w:color="E0E0E0" w:sz="1"/>
              <w:left w:val="single" w:color="E0E0E0" w:sz="1"/>
              <w:bottom w:val="single" w:color="E0E0E0" w:sz="1"/>
              <w:right w:val="single" w:color="E0E0E0" w:sz="1"/>
            </w:tcBorders>
            <w:shd w:fill="F4F4F4" w:val="clear"/>
            <w:tcMar>
              <w:top w:type="dxa" w:w="80"/>
              <w:left w:type="dxa" w:w="140"/>
              <w:bottom w:type="dxa" w:w="80"/>
              <w:right w:type="dxa" w:w="140"/>
            </w:tcMar>
          </w:tcPr>
          <w:p>
            <w:r>
              <w:rPr>
                <w:rFonts w:ascii="Courier New" w:cs="Courier New" w:eastAsia="Courier New" w:hAnsi="Courier New"/>
                <w:b w:val="false"/>
                <w:bCs w:val="false"/>
                <w:color w:val="1B4F8A"/>
                <w:sz w:val="18"/>
                <w:szCs w:val="18"/>
              </w:rPr>
              <w:t xml:space="preserve">eco_refs</w:t>
            </w:r>
          </w:p>
        </w:tc>
        <w:tc>
          <w:tcPr>
            <w:tcW w:type="dxa" w:w="3160"/>
            <w:tcBorders>
              <w:top w:val="single" w:color="E0E0E0" w:sz="1"/>
              <w:left w:val="single" w:color="E0E0E0" w:sz="1"/>
              <w:bottom w:val="single" w:color="E0E0E0" w:sz="1"/>
              <w:right w:val="single" w:color="E0E0E0" w:sz="1"/>
            </w:tcBorders>
            <w:shd w:fill="F4F4F4" w:val="clear"/>
            <w:tcMar>
              <w:top w:type="dxa" w:w="80"/>
              <w:left w:type="dxa" w:w="140"/>
              <w:bottom w:type="dxa" w:w="80"/>
              <w:right w:type="dxa" w:w="140"/>
            </w:tcMar>
          </w:tcPr>
          <w:p>
            <w:r>
              <w:rPr>
                <w:rFonts w:ascii="Arial" w:cs="Arial" w:eastAsia="Arial" w:hAnsi="Arial"/>
                <w:b w:val="false"/>
                <w:bCs w:val="false"/>
                <w:color w:val="888888"/>
                <w:sz w:val="18"/>
                <w:szCs w:val="18"/>
              </w:rPr>
              <w:t xml:space="preserve">owner.aigeco.json</w:t>
            </w:r>
          </w:p>
        </w:tc>
        <w:tc>
          <w:tcPr>
            <w:tcW w:type="dxa" w:w="4200"/>
            <w:tcBorders>
              <w:top w:val="single" w:color="E0E0E0" w:sz="1"/>
              <w:left w:val="single" w:color="E0E0E0" w:sz="1"/>
              <w:bottom w:val="single" w:color="E0E0E0" w:sz="1"/>
              <w:right w:val="single" w:color="E0E0E0" w:sz="1"/>
            </w:tcBorders>
            <w:shd w:fill="F4F4F4" w:val="clear"/>
            <w:tcMar>
              <w:top w:type="dxa" w:w="80"/>
              <w:left w:type="dxa" w:w="140"/>
              <w:bottom w:type="dxa" w:w="80"/>
              <w:right w:type="dxa" w:w="140"/>
            </w:tcMar>
          </w:tcPr>
          <w:p>
            <w:r>
              <w:rPr>
                <w:rFonts w:ascii="Arial" w:cs="Arial" w:eastAsia="Arial" w:hAnsi="Arial"/>
                <w:b w:val="false"/>
                <w:bCs w:val="false"/>
                <w:color w:val="555555"/>
                <w:sz w:val="19"/>
                <w:szCs w:val="19"/>
              </w:rPr>
              <w:t xml:space="preserve">Paths or URIs to related AI-GECO files. Enables navigation of entity networks.</w:t>
            </w:r>
          </w:p>
        </w:tc>
      </w:tr>
    </w:tbl>
    <w:p>
      <w:pPr>
        <w:spacing w:before="240" w:after="0"/>
      </w:pPr>
    </w:p>
    <w:p>
      <w:pPr>
        <w:pStyle w:val="Heading2"/>
      </w:pPr>
      <w:r>
        <w:rPr>
          <w:rFonts w:ascii="Arial" w:cs="Arial" w:eastAsia="Arial" w:hAnsi="Arial"/>
        </w:rPr>
        <w:t xml:space="preserve">4.3  The extended block</w:t>
      </w:r>
    </w:p>
    <w:p>
      <w:pPr>
        <w:spacing w:before="0" w:after="180"/>
        <w:jc w:val="left"/>
      </w:pPr>
      <w:r>
        <w:rPr>
          <w:rFonts w:ascii="Arial" w:cs="Arial" w:eastAsia="Arial" w:hAnsi="Arial"/>
          <w:b w:val="false"/>
          <w:bCs w:val="false"/>
          <w:i w:val="false"/>
          <w:iCs w:val="false"/>
          <w:color w:val="555555"/>
          <w:sz w:val="22"/>
          <w:szCs w:val="22"/>
        </w:rPr>
        <w:t xml:space="preserve">The </w:t>
      </w:r>
      <w:r>
        <w:rPr>
          <w:rFonts w:ascii="Courier New" w:cs="Courier New" w:eastAsia="Courier New" w:hAnsi="Courier New"/>
          <w:b w:val="false"/>
          <w:bCs w:val="false"/>
          <w:color w:val="1B4F8A"/>
          <w:sz w:val="20"/>
          <w:szCs w:val="20"/>
        </w:rPr>
        <w:t xml:space="preserve">extended</w:t>
      </w:r>
      <w:r>
        <w:rPr>
          <w:rFonts w:ascii="Arial" w:cs="Arial" w:eastAsia="Arial" w:hAnsi="Arial"/>
          <w:b w:val="false"/>
          <w:bCs w:val="false"/>
          <w:i w:val="false"/>
          <w:iCs w:val="false"/>
          <w:color w:val="555555"/>
          <w:sz w:val="22"/>
          <w:szCs w:val="22"/>
        </w:rPr>
        <w:t xml:space="preserve"> block is optional. It contains entity-type-specific modules, each scoped to a declared </w:t>
      </w:r>
      <w:r>
        <w:rPr>
          <w:rFonts w:ascii="Courier New" w:cs="Courier New" w:eastAsia="Courier New" w:hAnsi="Courier New"/>
          <w:b w:val="false"/>
          <w:bCs w:val="false"/>
          <w:color w:val="1B4F8A"/>
          <w:sz w:val="20"/>
          <w:szCs w:val="20"/>
        </w:rPr>
        <w:t xml:space="preserve">entity_type</w:t>
      </w:r>
      <w:r>
        <w:rPr>
          <w:rFonts w:ascii="Arial" w:cs="Arial" w:eastAsia="Arial" w:hAnsi="Arial"/>
          <w:b w:val="false"/>
          <w:bCs w:val="false"/>
          <w:i w:val="false"/>
          <w:iCs w:val="false"/>
          <w:color w:val="555555"/>
          <w:sz w:val="22"/>
          <w:szCs w:val="22"/>
        </w:rPr>
        <w:t xml:space="preserve">. The model applies an extended module only when the relevant domain arises in conversation.</w:t>
      </w:r>
    </w:p>
    <w:p>
      <w:pPr>
        <w:spacing w:before="0" w:after="180"/>
        <w:jc w:val="left"/>
      </w:pPr>
      <w:r>
        <w:rPr>
          <w:rFonts w:ascii="Arial" w:cs="Arial" w:eastAsia="Arial" w:hAnsi="Arial"/>
          <w:b w:val="false"/>
          <w:bCs w:val="false"/>
          <w:i w:val="false"/>
          <w:iCs w:val="false"/>
          <w:color w:val="555555"/>
          <w:sz w:val="22"/>
          <w:szCs w:val="22"/>
        </w:rPr>
        <w:t xml:space="preserve">The </w:t>
      </w:r>
      <w:r>
        <w:rPr>
          <w:rFonts w:ascii="Courier New" w:cs="Courier New" w:eastAsia="Courier New" w:hAnsi="Courier New"/>
          <w:b w:val="false"/>
          <w:bCs w:val="false"/>
          <w:color w:val="1B4F8A"/>
          <w:sz w:val="20"/>
          <w:szCs w:val="20"/>
        </w:rPr>
        <w:t xml:space="preserve">_suggested_for</w:t>
      </w:r>
      <w:r>
        <w:rPr>
          <w:rFonts w:ascii="Arial" w:cs="Arial" w:eastAsia="Arial" w:hAnsi="Arial"/>
          <w:b w:val="false"/>
          <w:bCs w:val="false"/>
          <w:i w:val="false"/>
          <w:iCs w:val="false"/>
          <w:color w:val="555555"/>
          <w:sz w:val="22"/>
          <w:szCs w:val="22"/>
        </w:rPr>
        <w:t xml:space="preserve"> field in each module is informational — it signals the intended entity type but does not prevent use with other types. Unused modules should be omitted from the file entirely rather than left empty.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1B4F8A" w:sz="1"/>
              <w:left w:val="single" w:color="1B4F8A" w:sz="1"/>
              <w:bottom w:val="single" w:color="1B4F8A" w:sz="1"/>
              <w:right w:val="single" w:color="1B4F8A" w:sz="1"/>
            </w:tcBorders>
            <w:shd w:fill="1B4F8A" w:val="clear"/>
            <w:tcMar>
              <w:top w:type="dxa" w:w="80"/>
              <w:left w:type="dxa" w:w="140"/>
              <w:bottom w:type="dxa" w:w="80"/>
              <w:right w:type="dxa" w:w="140"/>
            </w:tcMar>
          </w:tcPr>
          <w:p>
            <w:r>
              <w:rPr>
                <w:rFonts w:ascii="Arial" w:cs="Arial" w:eastAsia="Arial" w:hAnsi="Arial"/>
                <w:b/>
                <w:bCs/>
                <w:color w:val="FFFFFF"/>
                <w:sz w:val="19"/>
                <w:szCs w:val="19"/>
              </w:rPr>
              <w:t xml:space="preserve">Module</w:t>
            </w:r>
          </w:p>
        </w:tc>
        <w:tc>
          <w:tcPr>
            <w:tcW w:type="dxa" w:w="1600"/>
            <w:tcBorders>
              <w:top w:val="single" w:color="1B4F8A" w:sz="1"/>
              <w:left w:val="single" w:color="1B4F8A" w:sz="1"/>
              <w:bottom w:val="single" w:color="1B4F8A" w:sz="1"/>
              <w:right w:val="single" w:color="1B4F8A" w:sz="1"/>
            </w:tcBorders>
            <w:shd w:fill="1B4F8A" w:val="clear"/>
            <w:tcMar>
              <w:top w:type="dxa" w:w="80"/>
              <w:left w:type="dxa" w:w="140"/>
              <w:bottom w:type="dxa" w:w="80"/>
              <w:right w:type="dxa" w:w="140"/>
            </w:tcMar>
          </w:tcPr>
          <w:p>
            <w:r>
              <w:rPr>
                <w:rFonts w:ascii="Arial" w:cs="Arial" w:eastAsia="Arial" w:hAnsi="Arial"/>
                <w:b/>
                <w:bCs/>
                <w:color w:val="FFFFFF"/>
                <w:sz w:val="19"/>
                <w:szCs w:val="19"/>
              </w:rPr>
              <w:t xml:space="preserve">Suggested for</w:t>
            </w:r>
          </w:p>
        </w:tc>
        <w:tc>
          <w:tcPr>
            <w:tcW w:type="dxa" w:w="5760"/>
            <w:tcBorders>
              <w:top w:val="single" w:color="1B4F8A" w:sz="1"/>
              <w:left w:val="single" w:color="1B4F8A" w:sz="1"/>
              <w:bottom w:val="single" w:color="1B4F8A" w:sz="1"/>
              <w:right w:val="single" w:color="1B4F8A" w:sz="1"/>
            </w:tcBorders>
            <w:shd w:fill="1B4F8A" w:val="clear"/>
            <w:tcMar>
              <w:top w:type="dxa" w:w="80"/>
              <w:left w:type="dxa" w:w="140"/>
              <w:bottom w:type="dxa" w:w="80"/>
              <w:right w:type="dxa" w:w="140"/>
            </w:tcMar>
          </w:tcPr>
          <w:p>
            <w:r>
              <w:rPr>
                <w:rFonts w:ascii="Arial" w:cs="Arial" w:eastAsia="Arial" w:hAnsi="Arial"/>
                <w:b/>
                <w:bCs/>
                <w:color w:val="FFFFFF"/>
                <w:sz w:val="19"/>
                <w:szCs w:val="19"/>
              </w:rPr>
              <w:t xml:space="preserve">Contains</w:t>
            </w:r>
          </w:p>
        </w:tc>
      </w:tr>
      <w:tr>
        <w:tc>
          <w:tcPr>
            <w:tcW w:type="dxa" w:w="2000"/>
            <w:tcBorders>
              <w:top w:val="single" w:color="E0E0E0" w:sz="1"/>
              <w:left w:val="single" w:color="E0E0E0" w:sz="1"/>
              <w:bottom w:val="single" w:color="E0E0E0" w:sz="1"/>
              <w:right w:val="single" w:color="E0E0E0" w:sz="1"/>
            </w:tcBorders>
            <w:shd w:fill="F4F4F4" w:val="clear"/>
            <w:tcMar>
              <w:top w:type="dxa" w:w="80"/>
              <w:left w:type="dxa" w:w="140"/>
              <w:bottom w:type="dxa" w:w="80"/>
              <w:right w:type="dxa" w:w="140"/>
            </w:tcMar>
          </w:tcPr>
          <w:p>
            <w:r>
              <w:rPr>
                <w:rFonts w:ascii="Courier New" w:cs="Courier New" w:eastAsia="Courier New" w:hAnsi="Courier New"/>
                <w:b w:val="false"/>
                <w:bCs w:val="false"/>
                <w:color w:val="1B4F8A"/>
                <w:sz w:val="18"/>
                <w:szCs w:val="18"/>
              </w:rPr>
              <w:t xml:space="preserve">person</w:t>
            </w:r>
          </w:p>
        </w:tc>
        <w:tc>
          <w:tcPr>
            <w:tcW w:type="dxa" w:w="1600"/>
            <w:tcBorders>
              <w:top w:val="single" w:color="E0E0E0" w:sz="1"/>
              <w:left w:val="single" w:color="E0E0E0" w:sz="1"/>
              <w:bottom w:val="single" w:color="E0E0E0" w:sz="1"/>
              <w:right w:val="single" w:color="E0E0E0" w:sz="1"/>
            </w:tcBorders>
            <w:shd w:fill="F4F4F4" w:val="clear"/>
            <w:tcMar>
              <w:top w:type="dxa" w:w="80"/>
              <w:left w:type="dxa" w:w="140"/>
              <w:bottom w:type="dxa" w:w="80"/>
              <w:right w:type="dxa" w:w="140"/>
            </w:tcMar>
          </w:tcPr>
          <w:p>
            <w:r>
              <w:rPr>
                <w:rFonts w:ascii="Arial" w:cs="Arial" w:eastAsia="Arial" w:hAnsi="Arial"/>
                <w:b w:val="false"/>
                <w:bCs w:val="false"/>
                <w:color w:val="888888"/>
                <w:sz w:val="18"/>
                <w:szCs w:val="18"/>
              </w:rPr>
              <w:t xml:space="preserve">person</w:t>
            </w:r>
          </w:p>
        </w:tc>
        <w:tc>
          <w:tcPr>
            <w:tcW w:type="dxa" w:w="5760"/>
            <w:tcBorders>
              <w:top w:val="single" w:color="E0E0E0" w:sz="1"/>
              <w:left w:val="single" w:color="E0E0E0" w:sz="1"/>
              <w:bottom w:val="single" w:color="E0E0E0" w:sz="1"/>
              <w:right w:val="single" w:color="E0E0E0" w:sz="1"/>
            </w:tcBorders>
            <w:shd w:fill="F4F4F4" w:val="clear"/>
            <w:tcMar>
              <w:top w:type="dxa" w:w="80"/>
              <w:left w:type="dxa" w:w="140"/>
              <w:bottom w:type="dxa" w:w="80"/>
              <w:right w:type="dxa" w:w="140"/>
            </w:tcMar>
          </w:tcPr>
          <w:p>
            <w:r>
              <w:rPr>
                <w:rFonts w:ascii="Arial" w:cs="Arial" w:eastAsia="Arial" w:hAnsi="Arial"/>
                <w:b w:val="false"/>
                <w:bCs w:val="false"/>
                <w:color w:val="555555"/>
                <w:sz w:val="19"/>
                <w:szCs w:val="19"/>
              </w:rPr>
              <w:t xml:space="preserve">Legal name, pronouns, DOB, nationality, languages, occupation, employer, education, skills, contact, location, AI guidance preferences</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Courier New" w:cs="Courier New" w:eastAsia="Courier New" w:hAnsi="Courier New"/>
                <w:b w:val="false"/>
                <w:bCs w:val="false"/>
                <w:color w:val="1B4F8A"/>
                <w:sz w:val="18"/>
                <w:szCs w:val="18"/>
              </w:rPr>
              <w:t xml:space="preserve">animal</w:t>
            </w:r>
          </w:p>
        </w:tc>
        <w:tc>
          <w:tcPr>
            <w:tcW w:type="dxa" w:w="16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Arial" w:cs="Arial" w:eastAsia="Arial" w:hAnsi="Arial"/>
                <w:b w:val="false"/>
                <w:bCs w:val="false"/>
                <w:color w:val="888888"/>
                <w:sz w:val="18"/>
                <w:szCs w:val="18"/>
              </w:rPr>
              <w:t xml:space="preserve">animal</w:t>
            </w:r>
          </w:p>
        </w:tc>
        <w:tc>
          <w:tcPr>
            <w:tcW w:type="dxa" w:w="57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Arial" w:cs="Arial" w:eastAsia="Arial" w:hAnsi="Arial"/>
                <w:b w:val="false"/>
                <w:bCs w:val="false"/>
                <w:color w:val="555555"/>
                <w:sz w:val="19"/>
                <w:szCs w:val="19"/>
              </w:rPr>
              <w:t xml:space="preserve">Species, breed, sex, DOB, markings, microchip ID, owner, veterinarian, vaccinations, medical conditions, medications, diet, temperament, training, registration</w:t>
            </w:r>
          </w:p>
        </w:tc>
      </w:tr>
      <w:tr>
        <w:tc>
          <w:tcPr>
            <w:tcW w:type="dxa" w:w="2000"/>
            <w:tcBorders>
              <w:top w:val="single" w:color="E0E0E0" w:sz="1"/>
              <w:left w:val="single" w:color="E0E0E0" w:sz="1"/>
              <w:bottom w:val="single" w:color="E0E0E0" w:sz="1"/>
              <w:right w:val="single" w:color="E0E0E0" w:sz="1"/>
            </w:tcBorders>
            <w:shd w:fill="F4F4F4" w:val="clear"/>
            <w:tcMar>
              <w:top w:type="dxa" w:w="80"/>
              <w:left w:type="dxa" w:w="140"/>
              <w:bottom w:type="dxa" w:w="80"/>
              <w:right w:type="dxa" w:w="140"/>
            </w:tcMar>
          </w:tcPr>
          <w:p>
            <w:r>
              <w:rPr>
                <w:rFonts w:ascii="Courier New" w:cs="Courier New" w:eastAsia="Courier New" w:hAnsi="Courier New"/>
                <w:b w:val="false"/>
                <w:bCs w:val="false"/>
                <w:color w:val="1B4F8A"/>
                <w:sz w:val="18"/>
                <w:szCs w:val="18"/>
              </w:rPr>
              <w:t xml:space="preserve">product</w:t>
            </w:r>
          </w:p>
        </w:tc>
        <w:tc>
          <w:tcPr>
            <w:tcW w:type="dxa" w:w="1600"/>
            <w:tcBorders>
              <w:top w:val="single" w:color="E0E0E0" w:sz="1"/>
              <w:left w:val="single" w:color="E0E0E0" w:sz="1"/>
              <w:bottom w:val="single" w:color="E0E0E0" w:sz="1"/>
              <w:right w:val="single" w:color="E0E0E0" w:sz="1"/>
            </w:tcBorders>
            <w:shd w:fill="F4F4F4" w:val="clear"/>
            <w:tcMar>
              <w:top w:type="dxa" w:w="80"/>
              <w:left w:type="dxa" w:w="140"/>
              <w:bottom w:type="dxa" w:w="80"/>
              <w:right w:type="dxa" w:w="140"/>
            </w:tcMar>
          </w:tcPr>
          <w:p>
            <w:r>
              <w:rPr>
                <w:rFonts w:ascii="Arial" w:cs="Arial" w:eastAsia="Arial" w:hAnsi="Arial"/>
                <w:b w:val="false"/>
                <w:bCs w:val="false"/>
                <w:color w:val="888888"/>
                <w:sz w:val="18"/>
                <w:szCs w:val="18"/>
              </w:rPr>
              <w:t xml:space="preserve">product</w:t>
            </w:r>
          </w:p>
        </w:tc>
        <w:tc>
          <w:tcPr>
            <w:tcW w:type="dxa" w:w="5760"/>
            <w:tcBorders>
              <w:top w:val="single" w:color="E0E0E0" w:sz="1"/>
              <w:left w:val="single" w:color="E0E0E0" w:sz="1"/>
              <w:bottom w:val="single" w:color="E0E0E0" w:sz="1"/>
              <w:right w:val="single" w:color="E0E0E0" w:sz="1"/>
            </w:tcBorders>
            <w:shd w:fill="F4F4F4" w:val="clear"/>
            <w:tcMar>
              <w:top w:type="dxa" w:w="80"/>
              <w:left w:type="dxa" w:w="140"/>
              <w:bottom w:type="dxa" w:w="80"/>
              <w:right w:type="dxa" w:w="140"/>
            </w:tcMar>
          </w:tcPr>
          <w:p>
            <w:r>
              <w:rPr>
                <w:rFonts w:ascii="Arial" w:cs="Arial" w:eastAsia="Arial" w:hAnsi="Arial"/>
                <w:b w:val="false"/>
                <w:bCs w:val="false"/>
                <w:color w:val="555555"/>
                <w:sz w:val="19"/>
                <w:szCs w:val="19"/>
              </w:rPr>
              <w:t xml:space="preserve">Manufacturer, brand, model, SKU, UPC, category, dimensions, weight, materials, origin, dates, certifications, regulatory status, intended use, warnings, storage, nutritional info, allergens, price, supplier</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Courier New" w:cs="Courier New" w:eastAsia="Courier New" w:hAnsi="Courier New"/>
                <w:b w:val="false"/>
                <w:bCs w:val="false"/>
                <w:color w:val="1B4F8A"/>
                <w:sz w:val="18"/>
                <w:szCs w:val="18"/>
              </w:rPr>
              <w:t xml:space="preserve">organization</w:t>
            </w:r>
          </w:p>
        </w:tc>
        <w:tc>
          <w:tcPr>
            <w:tcW w:type="dxa" w:w="16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Arial" w:cs="Arial" w:eastAsia="Arial" w:hAnsi="Arial"/>
                <w:b w:val="false"/>
                <w:bCs w:val="false"/>
                <w:color w:val="888888"/>
                <w:sz w:val="18"/>
                <w:szCs w:val="18"/>
              </w:rPr>
              <w:t xml:space="preserve">organization</w:t>
            </w:r>
          </w:p>
        </w:tc>
        <w:tc>
          <w:tcPr>
            <w:tcW w:type="dxa" w:w="57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Arial" w:cs="Arial" w:eastAsia="Arial" w:hAnsi="Arial"/>
                <w:b w:val="false"/>
                <w:bCs w:val="false"/>
                <w:color w:val="555555"/>
                <w:sz w:val="19"/>
                <w:szCs w:val="19"/>
              </w:rPr>
              <w:t xml:space="preserve">Legal name, entity type, industry, location, founding, headcount, structure, key roles, departments, business model, customers, regions, mission, values, priorities, systems, compliance, AI guidance</w:t>
            </w:r>
          </w:p>
        </w:tc>
      </w:tr>
      <w:tr>
        <w:tc>
          <w:tcPr>
            <w:tcW w:type="dxa" w:w="2000"/>
            <w:tcBorders>
              <w:top w:val="single" w:color="E0E0E0" w:sz="1"/>
              <w:left w:val="single" w:color="E0E0E0" w:sz="1"/>
              <w:bottom w:val="single" w:color="E0E0E0" w:sz="1"/>
              <w:right w:val="single" w:color="E0E0E0" w:sz="1"/>
            </w:tcBorders>
            <w:shd w:fill="F4F4F4" w:val="clear"/>
            <w:tcMar>
              <w:top w:type="dxa" w:w="80"/>
              <w:left w:type="dxa" w:w="140"/>
              <w:bottom w:type="dxa" w:w="80"/>
              <w:right w:type="dxa" w:w="140"/>
            </w:tcMar>
          </w:tcPr>
          <w:p>
            <w:r>
              <w:rPr>
                <w:rFonts w:ascii="Courier New" w:cs="Courier New" w:eastAsia="Courier New" w:hAnsi="Courier New"/>
                <w:b w:val="false"/>
                <w:bCs w:val="false"/>
                <w:color w:val="1B4F8A"/>
                <w:sz w:val="18"/>
                <w:szCs w:val="18"/>
              </w:rPr>
              <w:t xml:space="preserve">place</w:t>
            </w:r>
          </w:p>
        </w:tc>
        <w:tc>
          <w:tcPr>
            <w:tcW w:type="dxa" w:w="1600"/>
            <w:tcBorders>
              <w:top w:val="single" w:color="E0E0E0" w:sz="1"/>
              <w:left w:val="single" w:color="E0E0E0" w:sz="1"/>
              <w:bottom w:val="single" w:color="E0E0E0" w:sz="1"/>
              <w:right w:val="single" w:color="E0E0E0" w:sz="1"/>
            </w:tcBorders>
            <w:shd w:fill="F4F4F4" w:val="clear"/>
            <w:tcMar>
              <w:top w:type="dxa" w:w="80"/>
              <w:left w:type="dxa" w:w="140"/>
              <w:bottom w:type="dxa" w:w="80"/>
              <w:right w:type="dxa" w:w="140"/>
            </w:tcMar>
          </w:tcPr>
          <w:p>
            <w:r>
              <w:rPr>
                <w:rFonts w:ascii="Arial" w:cs="Arial" w:eastAsia="Arial" w:hAnsi="Arial"/>
                <w:b w:val="false"/>
                <w:bCs w:val="false"/>
                <w:color w:val="888888"/>
                <w:sz w:val="18"/>
                <w:szCs w:val="18"/>
              </w:rPr>
              <w:t xml:space="preserve">place</w:t>
            </w:r>
          </w:p>
        </w:tc>
        <w:tc>
          <w:tcPr>
            <w:tcW w:type="dxa" w:w="5760"/>
            <w:tcBorders>
              <w:top w:val="single" w:color="E0E0E0" w:sz="1"/>
              <w:left w:val="single" w:color="E0E0E0" w:sz="1"/>
              <w:bottom w:val="single" w:color="E0E0E0" w:sz="1"/>
              <w:right w:val="single" w:color="E0E0E0" w:sz="1"/>
            </w:tcBorders>
            <w:shd w:fill="F4F4F4" w:val="clear"/>
            <w:tcMar>
              <w:top w:type="dxa" w:w="80"/>
              <w:left w:type="dxa" w:w="140"/>
              <w:bottom w:type="dxa" w:w="80"/>
              <w:right w:type="dxa" w:w="140"/>
            </w:tcMar>
          </w:tcPr>
          <w:p>
            <w:r>
              <w:rPr>
                <w:rFonts w:ascii="Arial" w:cs="Arial" w:eastAsia="Arial" w:hAnsi="Arial"/>
                <w:b w:val="false"/>
                <w:bCs w:val="false"/>
                <w:color w:val="555555"/>
                <w:sz w:val="19"/>
                <w:szCs w:val="19"/>
              </w:rPr>
              <w:t xml:space="preserve">Place type, address, coordinates, jurisdiction, timezone, area, owner, operator, capacity, access, hours, established date, notable features, zoning, historical significance</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Courier New" w:cs="Courier New" w:eastAsia="Courier New" w:hAnsi="Courier New"/>
                <w:b w:val="false"/>
                <w:bCs w:val="false"/>
                <w:color w:val="1B4F8A"/>
                <w:sz w:val="18"/>
                <w:szCs w:val="18"/>
              </w:rPr>
              <w:t xml:space="preserve">creative_work</w:t>
            </w:r>
          </w:p>
        </w:tc>
        <w:tc>
          <w:tcPr>
            <w:tcW w:type="dxa" w:w="16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Arial" w:cs="Arial" w:eastAsia="Arial" w:hAnsi="Arial"/>
                <w:b w:val="false"/>
                <w:bCs w:val="false"/>
                <w:color w:val="888888"/>
                <w:sz w:val="18"/>
                <w:szCs w:val="18"/>
              </w:rPr>
              <w:t xml:space="preserve">creative_work</w:t>
            </w:r>
          </w:p>
        </w:tc>
        <w:tc>
          <w:tcPr>
            <w:tcW w:type="dxa" w:w="57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Arial" w:cs="Arial" w:eastAsia="Arial" w:hAnsi="Arial"/>
                <w:b w:val="false"/>
                <w:bCs w:val="false"/>
                <w:color w:val="555555"/>
                <w:sz w:val="19"/>
                <w:szCs w:val="19"/>
              </w:rPr>
              <w:t xml:space="preserve">Work type, creator, contributors, publisher, publication date, edition, language, genre, format, identifier, synopsis, audience, content rating, awards, copyright, license</w:t>
            </w:r>
          </w:p>
        </w:tc>
      </w:tr>
      <w:tr>
        <w:tc>
          <w:tcPr>
            <w:tcW w:type="dxa" w:w="2000"/>
            <w:tcBorders>
              <w:top w:val="single" w:color="E0E0E0" w:sz="1"/>
              <w:left w:val="single" w:color="E0E0E0" w:sz="1"/>
              <w:bottom w:val="single" w:color="E0E0E0" w:sz="1"/>
              <w:right w:val="single" w:color="E0E0E0" w:sz="1"/>
            </w:tcBorders>
            <w:shd w:fill="F4F4F4" w:val="clear"/>
            <w:tcMar>
              <w:top w:type="dxa" w:w="80"/>
              <w:left w:type="dxa" w:w="140"/>
              <w:bottom w:type="dxa" w:w="80"/>
              <w:right w:type="dxa" w:w="140"/>
            </w:tcMar>
          </w:tcPr>
          <w:p>
            <w:r>
              <w:rPr>
                <w:rFonts w:ascii="Courier New" w:cs="Courier New" w:eastAsia="Courier New" w:hAnsi="Courier New"/>
                <w:b w:val="false"/>
                <w:bCs w:val="false"/>
                <w:color w:val="1B4F8A"/>
                <w:sz w:val="18"/>
                <w:szCs w:val="18"/>
              </w:rPr>
              <w:t xml:space="preserve">other</w:t>
            </w:r>
          </w:p>
        </w:tc>
        <w:tc>
          <w:tcPr>
            <w:tcW w:type="dxa" w:w="1600"/>
            <w:tcBorders>
              <w:top w:val="single" w:color="E0E0E0" w:sz="1"/>
              <w:left w:val="single" w:color="E0E0E0" w:sz="1"/>
              <w:bottom w:val="single" w:color="E0E0E0" w:sz="1"/>
              <w:right w:val="single" w:color="E0E0E0" w:sz="1"/>
            </w:tcBorders>
            <w:shd w:fill="F4F4F4" w:val="clear"/>
            <w:tcMar>
              <w:top w:type="dxa" w:w="80"/>
              <w:left w:type="dxa" w:w="140"/>
              <w:bottom w:type="dxa" w:w="80"/>
              <w:right w:type="dxa" w:w="140"/>
            </w:tcMar>
          </w:tcPr>
          <w:p>
            <w:r>
              <w:rPr>
                <w:rFonts w:ascii="Arial" w:cs="Arial" w:eastAsia="Arial" w:hAnsi="Arial"/>
                <w:b w:val="false"/>
                <w:bCs w:val="false"/>
                <w:color w:val="888888"/>
                <w:sz w:val="18"/>
                <w:szCs w:val="18"/>
              </w:rPr>
              <w:t xml:space="preserve">other</w:t>
            </w:r>
          </w:p>
        </w:tc>
        <w:tc>
          <w:tcPr>
            <w:tcW w:type="dxa" w:w="5760"/>
            <w:tcBorders>
              <w:top w:val="single" w:color="E0E0E0" w:sz="1"/>
              <w:left w:val="single" w:color="E0E0E0" w:sz="1"/>
              <w:bottom w:val="single" w:color="E0E0E0" w:sz="1"/>
              <w:right w:val="single" w:color="E0E0E0" w:sz="1"/>
            </w:tcBorders>
            <w:shd w:fill="F4F4F4" w:val="clear"/>
            <w:tcMar>
              <w:top w:type="dxa" w:w="80"/>
              <w:left w:type="dxa" w:w="140"/>
              <w:bottom w:type="dxa" w:w="80"/>
              <w:right w:type="dxa" w:w="140"/>
            </w:tcMar>
          </w:tcPr>
          <w:p>
            <w:r>
              <w:rPr>
                <w:rFonts w:ascii="Arial" w:cs="Arial" w:eastAsia="Arial" w:hAnsi="Arial"/>
                <w:b w:val="false"/>
                <w:bCs w:val="false"/>
                <w:color w:val="555555"/>
                <w:sz w:val="19"/>
                <w:szCs w:val="19"/>
              </w:rPr>
              <w:t xml:space="preserve">No predefined fields. Use x_[namespace]_[fieldname] convention for custom fields.</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Courier New" w:cs="Courier New" w:eastAsia="Courier New" w:hAnsi="Courier New"/>
                <w:b w:val="false"/>
                <w:bCs w:val="false"/>
                <w:color w:val="1B4F8A"/>
                <w:sz w:val="18"/>
                <w:szCs w:val="18"/>
              </w:rPr>
              <w:t xml:space="preserve">context_index</w:t>
            </w:r>
          </w:p>
        </w:tc>
        <w:tc>
          <w:tcPr>
            <w:tcW w:type="dxa" w:w="16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Arial" w:cs="Arial" w:eastAsia="Arial" w:hAnsi="Arial"/>
                <w:b w:val="false"/>
                <w:bCs w:val="false"/>
                <w:color w:val="888888"/>
                <w:sz w:val="18"/>
                <w:szCs w:val="18"/>
              </w:rPr>
              <w:t xml:space="preserve">all types</w:t>
            </w:r>
          </w:p>
        </w:tc>
        <w:tc>
          <w:tcPr>
            <w:tcW w:type="dxa" w:w="57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Arial" w:cs="Arial" w:eastAsia="Arial" w:hAnsi="Arial"/>
                <w:b w:val="false"/>
                <w:bCs w:val="false"/>
                <w:color w:val="555555"/>
                <w:sz w:val="19"/>
                <w:szCs w:val="19"/>
              </w:rPr>
              <w:t xml:space="preserve">Glossary of entity-specific terms, known ambiguities (terms that mean something specific here vs. common usage), and custom identifiers</w:t>
            </w:r>
          </w:p>
        </w:tc>
      </w:tr>
    </w:tbl>
    <w:p>
      <w:pPr>
        <w:spacing w:before="480" w:after="60"/>
      </w:pPr>
      <w:r>
        <w:rPr>
          <w:rFonts w:ascii="Arial" w:cs="Arial" w:eastAsia="Arial" w:hAnsi="Arial"/>
          <w:b/>
          <w:bCs/>
          <w:color w:val="1B4F8A"/>
          <w:spacing w:val="50"/>
          <w:sz w:val="16"/>
          <w:szCs w:val="16"/>
        </w:rPr>
        <w:t xml:space="preserve">SECTION 5</w:t>
      </w:r>
    </w:p>
    <w:p>
      <w:pPr>
        <w:pStyle w:val="Heading1"/>
      </w:pPr>
      <w:r>
        <w:rPr>
          <w:rFonts w:ascii="Arial" w:cs="Arial" w:eastAsia="Arial" w:hAnsi="Arial"/>
        </w:rPr>
        <w:t xml:space="preserve">The Instruction Key</w:t>
      </w:r>
    </w:p>
    <w:p>
      <w:pPr>
        <w:spacing w:before="0" w:after="180"/>
        <w:jc w:val="left"/>
      </w:pPr>
      <w:r>
        <w:rPr>
          <w:rFonts w:ascii="Arial" w:cs="Arial" w:eastAsia="Arial" w:hAnsi="Arial"/>
          <w:b w:val="false"/>
          <w:bCs w:val="false"/>
          <w:i w:val="false"/>
          <w:iCs w:val="false"/>
          <w:color w:val="555555"/>
          <w:sz w:val="22"/>
          <w:szCs w:val="22"/>
        </w:rPr>
        <w:t xml:space="preserve">The </w:t>
      </w:r>
      <w:r>
        <w:rPr>
          <w:rFonts w:ascii="Courier New" w:cs="Courier New" w:eastAsia="Courier New" w:hAnsi="Courier New"/>
          <w:b w:val="false"/>
          <w:bCs w:val="false"/>
          <w:color w:val="1B4F8A"/>
          <w:sz w:val="20"/>
          <w:szCs w:val="20"/>
        </w:rPr>
        <w:t xml:space="preserve">_meta.instruction</w:t>
      </w:r>
      <w:r>
        <w:rPr>
          <w:rFonts w:ascii="Arial" w:cs="Arial" w:eastAsia="Arial" w:hAnsi="Arial"/>
          <w:b w:val="false"/>
          <w:bCs w:val="false"/>
          <w:i w:val="false"/>
          <w:iCs w:val="false"/>
          <w:color w:val="555555"/>
          <w:sz w:val="22"/>
          <w:szCs w:val="22"/>
        </w:rPr>
        <w:t xml:space="preserve"> field is what makes an AI-GECO file self-activating. Without it, an uploaded file is passive reference material — a model may or may not consult it depending on the query. With it, the file carries its own behavioral directive: treat these values as ground truth, apply them universally, and do not seek re-confirmation of facts already declared.</w:t>
      </w:r>
    </w:p>
    <w:p>
      <w:pPr>
        <w:spacing w:before="0" w:after="180"/>
        <w:jc w:val="left"/>
      </w:pPr>
      <w:r>
        <w:rPr>
          <w:rFonts w:ascii="Arial" w:cs="Arial" w:eastAsia="Arial" w:hAnsi="Arial"/>
          <w:b w:val="false"/>
          <w:bCs w:val="false"/>
          <w:i w:val="false"/>
          <w:iCs w:val="false"/>
          <w:color w:val="555555"/>
          <w:sz w:val="22"/>
          <w:szCs w:val="22"/>
        </w:rPr>
        <w:t xml:space="preserve">This is the mechanism by which ECD reduces hallucination. The model is not asked to consider the file — it is instructed to anchor on it. The distinction matters. A model that considers context may still generate elaborations, embellishments, or contradictory inferences. A model that anchors on declared facts treats fabrication of those facts as an error to avoid.</w:t>
      </w:r>
    </w:p>
    <w:p>
      <w:pPr>
        <w:pStyle w:val="Heading2"/>
      </w:pPr>
      <w:r>
        <w:rPr>
          <w:rFonts w:ascii="Arial" w:cs="Arial" w:eastAsia="Arial" w:hAnsi="Arial"/>
        </w:rPr>
        <w:t xml:space="preserve">5.1  What the instruction does</w:t>
      </w:r>
    </w:p>
    <w:p>
      <w:pPr>
        <w:spacing w:before="60" w:after="0"/>
      </w:pPr>
    </w:p>
    <w:p>
      <w:pPr>
        <w:pStyle w:val="ListParagraph"/>
        <w:numPr>
          <w:ilvl w:val="0"/>
          <w:numId w:val="2"/>
        </w:numPr>
        <w:spacing w:before="40" w:after="60"/>
      </w:pPr>
      <w:r>
        <w:rPr>
          <w:rFonts w:ascii="Arial" w:cs="Arial" w:eastAsia="Arial" w:hAnsi="Arial"/>
          <w:b/>
          <w:bCs/>
          <w:i w:val="false"/>
          <w:iCs w:val="false"/>
          <w:color w:val="555555"/>
          <w:sz w:val="22"/>
          <w:szCs w:val="22"/>
        </w:rPr>
        <w:t xml:space="preserve">Declares the file type</w:t>
      </w:r>
      <w:r>
        <w:rPr>
          <w:rFonts w:ascii="Arial" w:cs="Arial" w:eastAsia="Arial" w:hAnsi="Arial"/>
          <w:b w:val="false"/>
          <w:bCs w:val="false"/>
          <w:i w:val="false"/>
          <w:iCs w:val="false"/>
          <w:color w:val="555555"/>
          <w:sz w:val="22"/>
          <w:szCs w:val="22"/>
        </w:rPr>
        <w:t xml:space="preserve"> — identifies this as an AI-GECO so the model applies appropriate interpretation.</w:t>
      </w:r>
    </w:p>
    <w:p>
      <w:pPr>
        <w:pStyle w:val="ListParagraph"/>
        <w:numPr>
          <w:ilvl w:val="0"/>
          <w:numId w:val="2"/>
        </w:numPr>
        <w:spacing w:before="40" w:after="60"/>
      </w:pPr>
      <w:r>
        <w:rPr>
          <w:rFonts w:ascii="Arial" w:cs="Arial" w:eastAsia="Arial" w:hAnsi="Arial"/>
          <w:b/>
          <w:bCs/>
          <w:i w:val="false"/>
          <w:iCs w:val="false"/>
          <w:color w:val="555555"/>
          <w:sz w:val="22"/>
          <w:szCs w:val="22"/>
        </w:rPr>
        <w:t xml:space="preserve">Establishes authority</w:t>
      </w:r>
      <w:r>
        <w:rPr>
          <w:rFonts w:ascii="Arial" w:cs="Arial" w:eastAsia="Arial" w:hAnsi="Arial"/>
          <w:b w:val="false"/>
          <w:bCs w:val="false"/>
          <w:i w:val="false"/>
          <w:iCs w:val="false"/>
          <w:color w:val="555555"/>
          <w:sz w:val="22"/>
          <w:szCs w:val="22"/>
        </w:rPr>
        <w:t xml:space="preserve"> — instructs the model to treat values as authoritative, not as claims to verify.</w:t>
      </w:r>
    </w:p>
    <w:p>
      <w:pPr>
        <w:pStyle w:val="ListParagraph"/>
        <w:numPr>
          <w:ilvl w:val="0"/>
          <w:numId w:val="2"/>
        </w:numPr>
        <w:spacing w:before="40" w:after="60"/>
      </w:pPr>
      <w:r>
        <w:rPr>
          <w:rFonts w:ascii="Arial" w:cs="Arial" w:eastAsia="Arial" w:hAnsi="Arial"/>
          <w:b/>
          <w:bCs/>
          <w:i w:val="false"/>
          <w:iCs w:val="false"/>
          <w:color w:val="555555"/>
          <w:sz w:val="22"/>
          <w:szCs w:val="22"/>
        </w:rPr>
        <w:t xml:space="preserve">Scopes application</w:t>
      </w:r>
      <w:r>
        <w:rPr>
          <w:rFonts w:ascii="Arial" w:cs="Arial" w:eastAsia="Arial" w:hAnsi="Arial"/>
          <w:b w:val="false"/>
          <w:bCs w:val="false"/>
          <w:i w:val="false"/>
          <w:iCs w:val="false"/>
          <w:color w:val="555555"/>
          <w:sz w:val="22"/>
          <w:szCs w:val="22"/>
        </w:rPr>
        <w:t xml:space="preserve"> — core values apply universally; extended values apply when their domain is relevant.</w:t>
      </w:r>
    </w:p>
    <w:p>
      <w:pPr>
        <w:pStyle w:val="ListParagraph"/>
        <w:numPr>
          <w:ilvl w:val="0"/>
          <w:numId w:val="2"/>
        </w:numPr>
        <w:spacing w:before="40" w:after="60"/>
      </w:pPr>
      <w:r>
        <w:rPr>
          <w:rFonts w:ascii="Arial" w:cs="Arial" w:eastAsia="Arial" w:hAnsi="Arial"/>
          <w:b/>
          <w:bCs/>
          <w:i w:val="false"/>
          <w:iCs w:val="false"/>
          <w:color w:val="555555"/>
          <w:sz w:val="22"/>
          <w:szCs w:val="22"/>
        </w:rPr>
        <w:t xml:space="preserve">Prevents redundant questioning</w:t>
      </w:r>
      <w:r>
        <w:rPr>
          <w:rFonts w:ascii="Arial" w:cs="Arial" w:eastAsia="Arial" w:hAnsi="Arial"/>
          <w:b w:val="false"/>
          <w:bCs w:val="false"/>
          <w:i w:val="false"/>
          <w:iCs w:val="false"/>
          <w:color w:val="555555"/>
          <w:sz w:val="22"/>
          <w:szCs w:val="22"/>
        </w:rPr>
        <w:t xml:space="preserve"> — the model does not ask the user to re-explain information already declared.</w:t>
      </w:r>
    </w:p>
    <w:p>
      <w:pPr>
        <w:pStyle w:val="ListParagraph"/>
        <w:numPr>
          <w:ilvl w:val="0"/>
          <w:numId w:val="2"/>
        </w:numPr>
        <w:spacing w:before="40" w:after="60"/>
      </w:pPr>
      <w:r>
        <w:rPr>
          <w:rFonts w:ascii="Arial" w:cs="Arial" w:eastAsia="Arial" w:hAnsi="Arial"/>
          <w:b/>
          <w:bCs/>
          <w:i w:val="false"/>
          <w:iCs w:val="false"/>
          <w:color w:val="555555"/>
          <w:sz w:val="22"/>
          <w:szCs w:val="22"/>
        </w:rPr>
        <w:t xml:space="preserve">Establishes conflict handling</w:t>
      </w:r>
      <w:r>
        <w:rPr>
          <w:rFonts w:ascii="Arial" w:cs="Arial" w:eastAsia="Arial" w:hAnsi="Arial"/>
          <w:b w:val="false"/>
          <w:bCs w:val="false"/>
          <w:i w:val="false"/>
          <w:iCs w:val="false"/>
          <w:color w:val="555555"/>
          <w:sz w:val="22"/>
          <w:szCs w:val="22"/>
        </w:rPr>
        <w:t xml:space="preserve"> — if user input contradicts a declared value, the model flags the discrepancy rather than silently overriding.</w:t>
      </w:r>
    </w:p>
    <w:p>
      <w:pPr>
        <w:pStyle w:val="ListParagraph"/>
        <w:numPr>
          <w:ilvl w:val="0"/>
          <w:numId w:val="2"/>
        </w:numPr>
        <w:spacing w:before="40" w:after="60"/>
      </w:pPr>
      <w:r>
        <w:rPr>
          <w:rFonts w:ascii="Arial" w:cs="Arial" w:eastAsia="Arial" w:hAnsi="Arial"/>
          <w:b/>
          <w:bCs/>
          <w:i w:val="false"/>
          <w:iCs w:val="false"/>
          <w:color w:val="555555"/>
          <w:sz w:val="22"/>
          <w:szCs w:val="22"/>
        </w:rPr>
        <w:t xml:space="preserve">Orients via entity type</w:t>
      </w:r>
      <w:r>
        <w:rPr>
          <w:rFonts w:ascii="Arial" w:cs="Arial" w:eastAsia="Arial" w:hAnsi="Arial"/>
          <w:b w:val="false"/>
          <w:bCs w:val="false"/>
          <w:i w:val="false"/>
          <w:iCs w:val="false"/>
          <w:color w:val="555555"/>
          <w:sz w:val="22"/>
          <w:szCs w:val="22"/>
        </w:rPr>
        <w:t xml:space="preserve"> — instructs the model to use the entity_type field to frame interpretation of all other fields.</w:t>
      </w:r>
    </w:p>
    <w:p>
      <w:pPr>
        <w:spacing w:before="120" w:after="0"/>
      </w:pPr>
    </w:p>
    <w:p>
      <w:pPr>
        <w:pStyle w:val="Heading2"/>
      </w:pPr>
      <w:r>
        <w:rPr>
          <w:rFonts w:ascii="Arial" w:cs="Arial" w:eastAsia="Arial" w:hAnsi="Arial"/>
        </w:rPr>
        <w:t xml:space="preserve">5.2  Canonical instruction text</w:t>
      </w:r>
    </w:p>
    <w:p>
      <w:pPr>
        <w:spacing w:before="0" w:after="180"/>
        <w:jc w:val="left"/>
      </w:pPr>
      <w:r>
        <w:rPr>
          <w:rFonts w:ascii="Arial" w:cs="Arial" w:eastAsia="Arial" w:hAnsi="Arial"/>
          <w:b w:val="false"/>
          <w:bCs w:val="false"/>
          <w:i w:val="false"/>
          <w:iCs w:val="false"/>
          <w:color w:val="555555"/>
          <w:sz w:val="22"/>
          <w:szCs w:val="22"/>
        </w:rPr>
        <w:t xml:space="preserve">The following is the canonical instruction text for AI-GECO v1.0. Use it verbatim. Extensions may be appended after the final period.</w:t>
      </w:r>
    </w:p>
    <w:p>
      <w:pPr>
        <w:spacing w:before="80" w:after="0"/>
      </w:pPr>
    </w:p>
    <w:p>
      <w:pPr>
        <w:pBdr>
          <w:top w:val="single" w:color="CCCCCC" w:sz="2"/>
          <w:bottom w:val="none" w:color="FFFFFF" w:sz="0"/>
          <w:left w:val="single" w:color="CCCCCC" w:sz="2"/>
          <w:right w:val="single" w:color="CCCCCC" w:sz="2"/>
        </w:pBdr>
        <w:shd w:fill="F6F6F6" w:val="clear"/>
        <w:spacing w:before="100" w:after="0"/>
        <w:ind w:left="360"/>
      </w:pPr>
      <w:r>
        <w:rPr>
          <w:rFonts w:ascii="Courier New" w:cs="Courier New" w:eastAsia="Courier New" w:hAnsi="Courier New"/>
          <w:color w:val="2C2C2C"/>
          <w:sz w:val="18"/>
          <w:szCs w:val="18"/>
        </w:rPr>
        <w:t xml:space="preserve">"instruction": "This file is an Grounded Entity Context Object (ECD). It is a portable,</w:t>
      </w:r>
    </w:p>
    <w:p>
      <w:pPr>
        <w:pBdr>
          <w:top w:val="none" w:color="FFFFFF" w:sz="0"/>
          <w:left w:val="single" w:color="CCCCCC" w:sz="2"/>
          <w:right w:val="single" w:color="CCCCCC" w:sz="2"/>
        </w:pBdr>
        <w:shd w:fill="F6F6F6" w:val="clear"/>
        <w:spacing w:before="0" w:after="0"/>
        <w:ind w:left="360"/>
      </w:pPr>
      <w:r>
        <w:rPr>
          <w:rFonts w:ascii="Courier New" w:cs="Courier New" w:eastAsia="Courier New" w:hAnsi="Courier New"/>
          <w:color w:val="2C2C2C"/>
          <w:sz w:val="18"/>
          <w:szCs w:val="18"/>
        </w:rPr>
        <w:t xml:space="preserve">  model-agnostic context standard. Treat all values as authoritative context</w:t>
      </w:r>
    </w:p>
    <w:p>
      <w:pPr>
        <w:pBdr>
          <w:top w:val="none" w:color="FFFFFF" w:sz="0"/>
          <w:left w:val="single" w:color="CCCCCC" w:sz="2"/>
          <w:right w:val="single" w:color="CCCCCC" w:sz="2"/>
        </w:pBdr>
        <w:shd w:fill="F6F6F6" w:val="clear"/>
        <w:spacing w:before="0" w:after="0"/>
        <w:ind w:left="360"/>
      </w:pPr>
      <w:r>
        <w:rPr>
          <w:rFonts w:ascii="Courier New" w:cs="Courier New" w:eastAsia="Courier New" w:hAnsi="Courier New"/>
          <w:color w:val="2C2C2C"/>
          <w:sz w:val="18"/>
          <w:szCs w:val="18"/>
        </w:rPr>
        <w:t xml:space="preserve">  about the described entity. Apply this context to every response in this</w:t>
      </w:r>
    </w:p>
    <w:p>
      <w:pPr>
        <w:pBdr>
          <w:top w:val="none" w:color="FFFFFF" w:sz="0"/>
          <w:left w:val="single" w:color="CCCCCC" w:sz="2"/>
          <w:right w:val="single" w:color="CCCCCC" w:sz="2"/>
        </w:pBdr>
        <w:shd w:fill="F6F6F6" w:val="clear"/>
        <w:spacing w:before="0" w:after="0"/>
        <w:ind w:left="360"/>
      </w:pPr>
      <w:r>
        <w:rPr>
          <w:rFonts w:ascii="Courier New" w:cs="Courier New" w:eastAsia="Courier New" w:hAnsi="Courier New"/>
          <w:color w:val="2C2C2C"/>
          <w:sz w:val="18"/>
          <w:szCs w:val="18"/>
        </w:rPr>
        <w:t xml:space="preserve">  session or project. Do not ask the user to re-explain information already</w:t>
      </w:r>
    </w:p>
    <w:p>
      <w:pPr>
        <w:pBdr>
          <w:top w:val="none" w:color="FFFFFF" w:sz="0"/>
          <w:left w:val="single" w:color="CCCCCC" w:sz="2"/>
          <w:right w:val="single" w:color="CCCCCC" w:sz="2"/>
        </w:pBdr>
        <w:shd w:fill="F6F6F6" w:val="clear"/>
        <w:spacing w:before="0" w:after="0"/>
        <w:ind w:left="360"/>
      </w:pPr>
      <w:r>
        <w:rPr>
          <w:rFonts w:ascii="Courier New" w:cs="Courier New" w:eastAsia="Courier New" w:hAnsi="Courier New"/>
          <w:color w:val="2C2C2C"/>
          <w:sz w:val="18"/>
          <w:szCs w:val="18"/>
        </w:rPr>
        <w:t xml:space="preserve">  present here. If user input conflicts with values in this file, flag the</w:t>
      </w:r>
    </w:p>
    <w:p>
      <w:pPr>
        <w:pBdr>
          <w:top w:val="none" w:color="FFFFFF" w:sz="0"/>
          <w:left w:val="single" w:color="CCCCCC" w:sz="2"/>
          <w:right w:val="single" w:color="CCCCCC" w:sz="2"/>
        </w:pBdr>
        <w:shd w:fill="F6F6F6" w:val="clear"/>
        <w:spacing w:before="0" w:after="0"/>
        <w:ind w:left="360"/>
      </w:pPr>
      <w:r>
        <w:rPr>
          <w:rFonts w:ascii="Courier New" w:cs="Courier New" w:eastAsia="Courier New" w:hAnsi="Courier New"/>
          <w:color w:val="2C2C2C"/>
          <w:sz w:val="18"/>
          <w:szCs w:val="18"/>
        </w:rPr>
        <w:t xml:space="preserve">  discrepancy rather than silently overriding. Apply core values universally;</w:t>
      </w:r>
    </w:p>
    <w:p>
      <w:pPr>
        <w:pBdr>
          <w:top w:val="none" w:color="FFFFFF" w:sz="0"/>
          <w:left w:val="single" w:color="CCCCCC" w:sz="2"/>
          <w:right w:val="single" w:color="CCCCCC" w:sz="2"/>
        </w:pBdr>
        <w:shd w:fill="F6F6F6" w:val="clear"/>
        <w:spacing w:before="0" w:after="0"/>
        <w:ind w:left="360"/>
      </w:pPr>
      <w:r>
        <w:rPr>
          <w:rFonts w:ascii="Courier New" w:cs="Courier New" w:eastAsia="Courier New" w:hAnsi="Courier New"/>
          <w:color w:val="2C2C2C"/>
          <w:sz w:val="18"/>
          <w:szCs w:val="18"/>
        </w:rPr>
        <w:t xml:space="preserve">  apply extended module values only when the relevant domain is referenced.</w:t>
      </w:r>
    </w:p>
    <w:p>
      <w:pPr>
        <w:pBdr>
          <w:top w:val="none" w:color="FFFFFF" w:sz="0"/>
          <w:left w:val="single" w:color="CCCCCC" w:sz="2"/>
          <w:right w:val="single" w:color="CCCCCC" w:sz="2"/>
        </w:pBdr>
        <w:shd w:fill="F6F6F6" w:val="clear"/>
        <w:spacing w:before="0" w:after="0"/>
        <w:ind w:left="360"/>
      </w:pPr>
      <w:r>
        <w:rPr>
          <w:rFonts w:ascii="Courier New" w:cs="Courier New" w:eastAsia="Courier New" w:hAnsi="Courier New"/>
          <w:color w:val="2C2C2C"/>
          <w:sz w:val="18"/>
          <w:szCs w:val="18"/>
        </w:rPr>
        <w:t xml:space="preserve">  The entity_type field declares what kind of entity is described — use it</w:t>
      </w:r>
    </w:p>
    <w:p>
      <w:pPr>
        <w:pBdr>
          <w:top w:val="none" w:color="FFFFFF" w:sz="0"/>
          <w:bottom w:val="single" w:color="CCCCCC" w:sz="2"/>
          <w:left w:val="single" w:color="CCCCCC" w:sz="2"/>
          <w:right w:val="single" w:color="CCCCCC" w:sz="2"/>
        </w:pBdr>
        <w:shd w:fill="F6F6F6" w:val="clear"/>
        <w:spacing w:before="0" w:after="100"/>
        <w:ind w:left="360"/>
      </w:pPr>
      <w:r>
        <w:rPr>
          <w:rFonts w:ascii="Courier New" w:cs="Courier New" w:eastAsia="Courier New" w:hAnsi="Courier New"/>
          <w:color w:val="2C2C2C"/>
          <w:sz w:val="18"/>
          <w:szCs w:val="18"/>
        </w:rPr>
        <w:t xml:space="preserve">  to interpret all other fields appropriately."</w:t>
      </w:r>
    </w:p>
    <w:p>
      <w:pPr>
        <w:spacing w:before="480" w:after="60"/>
      </w:pPr>
      <w:r>
        <w:rPr>
          <w:rFonts w:ascii="Arial" w:cs="Arial" w:eastAsia="Arial" w:hAnsi="Arial"/>
          <w:b/>
          <w:bCs/>
          <w:color w:val="1B4F8A"/>
          <w:spacing w:val="50"/>
          <w:sz w:val="16"/>
          <w:szCs w:val="16"/>
        </w:rPr>
        <w:t xml:space="preserve">SECTION 6</w:t>
      </w:r>
    </w:p>
    <w:p>
      <w:pPr>
        <w:pStyle w:val="Heading1"/>
      </w:pPr>
      <w:r>
        <w:rPr>
          <w:rFonts w:ascii="Arial" w:cs="Arial" w:eastAsia="Arial" w:hAnsi="Arial"/>
        </w:rPr>
        <w:t xml:space="preserve">Entity Types</w:t>
      </w:r>
    </w:p>
    <w:p>
      <w:pPr>
        <w:spacing w:before="0" w:after="180"/>
        <w:jc w:val="left"/>
      </w:pPr>
      <w:r>
        <w:rPr>
          <w:rFonts w:ascii="Arial" w:cs="Arial" w:eastAsia="Arial" w:hAnsi="Arial"/>
          <w:b w:val="false"/>
          <w:bCs w:val="false"/>
          <w:i w:val="false"/>
          <w:iCs w:val="false"/>
          <w:color w:val="555555"/>
          <w:sz w:val="22"/>
          <w:szCs w:val="22"/>
        </w:rPr>
        <w:t xml:space="preserve">The </w:t>
      </w:r>
      <w:r>
        <w:rPr>
          <w:rFonts w:ascii="Courier New" w:cs="Courier New" w:eastAsia="Courier New" w:hAnsi="Courier New"/>
          <w:b w:val="false"/>
          <w:bCs w:val="false"/>
          <w:color w:val="1B4F8A"/>
          <w:sz w:val="20"/>
          <w:szCs w:val="20"/>
        </w:rPr>
        <w:t xml:space="preserve">entity_type</w:t>
      </w:r>
      <w:r>
        <w:rPr>
          <w:rFonts w:ascii="Arial" w:cs="Arial" w:eastAsia="Arial" w:hAnsi="Arial"/>
          <w:b w:val="false"/>
          <w:bCs w:val="false"/>
          <w:i w:val="false"/>
          <w:iCs w:val="false"/>
          <w:color w:val="555555"/>
          <w:sz w:val="22"/>
          <w:szCs w:val="22"/>
        </w:rPr>
        <w:t xml:space="preserve"> field is declared in the core block and must be one of seven values. It performs two functions: it orients the model to the nature of the entity, and it signals which extended module contains the most relevant domain-specific context.</w:t>
      </w:r>
    </w:p>
    <w:p>
      <w:pPr>
        <w:spacing w:before="120" w:after="0"/>
      </w:pPr>
    </w:p>
    <w:p>
      <w:pPr>
        <w:pStyle w:val="Heading2"/>
      </w:pPr>
      <w:r>
        <w:rPr>
          <w:rFonts w:ascii="Arial" w:cs="Arial" w:eastAsia="Arial" w:hAnsi="Arial"/>
        </w:rPr>
        <w:t xml:space="preserve">6.1  person</w:t>
      </w:r>
    </w:p>
    <w:p>
      <w:pPr>
        <w:spacing w:before="0" w:after="180"/>
        <w:jc w:val="left"/>
      </w:pPr>
      <w:r>
        <w:rPr>
          <w:rFonts w:ascii="Arial" w:cs="Arial" w:eastAsia="Arial" w:hAnsi="Arial"/>
          <w:b w:val="false"/>
          <w:bCs w:val="false"/>
          <w:i w:val="false"/>
          <w:iCs w:val="false"/>
          <w:color w:val="555555"/>
          <w:sz w:val="22"/>
          <w:szCs w:val="22"/>
        </w:rPr>
        <w:t xml:space="preserve">Use for individual humans — living, historical, public, or private. The person extended module captures professional, biographical, and communication context. The ai_guidance sub-object within the person module allows the maintainer to specify preferred tone, topics to avoid, and known communication preferences — making ECD useful as a personal context layer for AI assistants operating on behalf of or in support of a specific individual.</w:t>
      </w:r>
    </w:p>
    <w:p>
      <w:pPr>
        <w:pStyle w:val="Heading2"/>
      </w:pPr>
      <w:r>
        <w:rPr>
          <w:rFonts w:ascii="Arial" w:cs="Arial" w:eastAsia="Arial" w:hAnsi="Arial"/>
        </w:rPr>
        <w:t xml:space="preserve">6.2  animal</w:t>
      </w:r>
    </w:p>
    <w:p>
      <w:pPr>
        <w:spacing w:before="0" w:after="180"/>
        <w:jc w:val="left"/>
      </w:pPr>
      <w:r>
        <w:rPr>
          <w:rFonts w:ascii="Arial" w:cs="Arial" w:eastAsia="Arial" w:hAnsi="Arial"/>
          <w:b w:val="false"/>
          <w:bCs w:val="false"/>
          <w:i w:val="false"/>
          <w:iCs w:val="false"/>
          <w:color w:val="555555"/>
          <w:sz w:val="22"/>
          <w:szCs w:val="22"/>
        </w:rPr>
        <w:t xml:space="preserve">Use for any animal — pets, livestock, therapy animals, working animals, or wildlife subjects. The animal extended module is designed to support veterinary, care, and registration contexts. Fields for vaccinations, medications, temperament, and training reflect the most common informational needs when an AI is asked to reason about an animal's care, history, or behavior.</w:t>
      </w:r>
    </w:p>
    <w:p>
      <w:pPr>
        <w:pStyle w:val="Heading2"/>
      </w:pPr>
      <w:r>
        <w:rPr>
          <w:rFonts w:ascii="Arial" w:cs="Arial" w:eastAsia="Arial" w:hAnsi="Arial"/>
        </w:rPr>
        <w:t xml:space="preserve">6.3  product</w:t>
      </w:r>
    </w:p>
    <w:p>
      <w:pPr>
        <w:spacing w:before="0" w:after="180"/>
        <w:jc w:val="left"/>
      </w:pPr>
      <w:r>
        <w:rPr>
          <w:rFonts w:ascii="Arial" w:cs="Arial" w:eastAsia="Arial" w:hAnsi="Arial"/>
          <w:b w:val="false"/>
          <w:bCs w:val="false"/>
          <w:i w:val="false"/>
          <w:iCs w:val="false"/>
          <w:color w:val="555555"/>
          <w:sz w:val="22"/>
          <w:szCs w:val="22"/>
        </w:rPr>
        <w:t xml:space="preserve">Use for physical goods and manufactured items of any kind — packaged food, electronics, apparel, pharmaceuticals, industrial components. The product extended module covers the full range of product identity fields, from UPC and SKU to nutritional information, allergens, certifications, and regulatory status. An ECD for a can of vegetables and an AI-GECO for a medical device use the same module with different fields populated.</w:t>
      </w:r>
    </w:p>
    <w:p>
      <w:pPr>
        <w:pStyle w:val="Heading2"/>
      </w:pPr>
      <w:r>
        <w:rPr>
          <w:rFonts w:ascii="Arial" w:cs="Arial" w:eastAsia="Arial" w:hAnsi="Arial"/>
        </w:rPr>
        <w:t xml:space="preserve">6.4  organization</w:t>
      </w:r>
    </w:p>
    <w:p>
      <w:pPr>
        <w:spacing w:before="0" w:after="180"/>
        <w:jc w:val="left"/>
      </w:pPr>
      <w:r>
        <w:rPr>
          <w:rFonts w:ascii="Arial" w:cs="Arial" w:eastAsia="Arial" w:hAnsi="Arial"/>
          <w:b w:val="false"/>
          <w:bCs w:val="false"/>
          <w:i w:val="false"/>
          <w:iCs w:val="false"/>
          <w:color w:val="555555"/>
          <w:sz w:val="22"/>
          <w:szCs w:val="22"/>
        </w:rPr>
        <w:t xml:space="preserve">Use for any organization — corporation, nonprofit, government agency, school, team, or club. The organization extended module carries the most fields of any module, reflecting the complexity of organizational context. It includes structure, operations, mission, systems, compliance, and a full ai_guidance sub-object equivalent to the one formerly defined in AI-OCO.</w:t>
      </w:r>
    </w:p>
    <w:p>
      <w:pPr>
        <w:pStyle w:val="Heading2"/>
      </w:pPr>
      <w:r>
        <w:rPr>
          <w:rFonts w:ascii="Arial" w:cs="Arial" w:eastAsia="Arial" w:hAnsi="Arial"/>
        </w:rPr>
        <w:t xml:space="preserve">6.5  place</w:t>
      </w:r>
    </w:p>
    <w:p>
      <w:pPr>
        <w:spacing w:before="0" w:after="180"/>
        <w:jc w:val="left"/>
      </w:pPr>
      <w:r>
        <w:rPr>
          <w:rFonts w:ascii="Arial" w:cs="Arial" w:eastAsia="Arial" w:hAnsi="Arial"/>
          <w:b w:val="false"/>
          <w:bCs w:val="false"/>
          <w:i w:val="false"/>
          <w:iCs w:val="false"/>
          <w:color w:val="555555"/>
          <w:sz w:val="22"/>
          <w:szCs w:val="22"/>
        </w:rPr>
        <w:t xml:space="preserve">Use for any location — a property, venue, city, region, landmark, or facility. The place module captures physical, jurisdictional, operational, and historical context. It is useful when an AI is asked to reason about a specific location's characteristics, ownership, access, or history.</w:t>
      </w:r>
    </w:p>
    <w:p>
      <w:pPr>
        <w:pStyle w:val="Heading2"/>
      </w:pPr>
      <w:r>
        <w:rPr>
          <w:rFonts w:ascii="Arial" w:cs="Arial" w:eastAsia="Arial" w:hAnsi="Arial"/>
        </w:rPr>
        <w:t xml:space="preserve">6.6  creative_work</w:t>
      </w:r>
    </w:p>
    <w:p>
      <w:pPr>
        <w:spacing w:before="0" w:after="180"/>
        <w:jc w:val="left"/>
      </w:pPr>
      <w:r>
        <w:rPr>
          <w:rFonts w:ascii="Arial" w:cs="Arial" w:eastAsia="Arial" w:hAnsi="Arial"/>
          <w:b w:val="false"/>
          <w:bCs w:val="false"/>
          <w:i w:val="false"/>
          <w:iCs w:val="false"/>
          <w:color w:val="555555"/>
          <w:sz w:val="22"/>
          <w:szCs w:val="22"/>
        </w:rPr>
        <w:t xml:space="preserve">Use for works of authorship — books, films, albums, artworks, software, podcasts, articles. The creative_work module captures authorship, publication, format, content, and rights information. It is particularly useful for AI assistants operating in research, publishing, or media contexts.</w:t>
      </w:r>
    </w:p>
    <w:p>
      <w:pPr>
        <w:pStyle w:val="Heading2"/>
      </w:pPr>
      <w:r>
        <w:rPr>
          <w:rFonts w:ascii="Arial" w:cs="Arial" w:eastAsia="Arial" w:hAnsi="Arial"/>
        </w:rPr>
        <w:t xml:space="preserve">6.7  other</w:t>
      </w:r>
    </w:p>
    <w:p>
      <w:pPr>
        <w:spacing w:before="0" w:after="180"/>
        <w:jc w:val="left"/>
      </w:pPr>
      <w:r>
        <w:rPr>
          <w:rFonts w:ascii="Arial" w:cs="Arial" w:eastAsia="Arial" w:hAnsi="Arial"/>
          <w:b w:val="false"/>
          <w:bCs w:val="false"/>
          <w:i w:val="false"/>
          <w:iCs w:val="false"/>
          <w:color w:val="555555"/>
          <w:sz w:val="22"/>
          <w:szCs w:val="22"/>
        </w:rPr>
        <w:t xml:space="preserve">Use for any entity that does not fit the above types — vehicles, legal instruments, events, concepts. The </w:t>
      </w:r>
      <w:r>
        <w:rPr>
          <w:rFonts w:ascii="Courier New" w:cs="Courier New" w:eastAsia="Courier New" w:hAnsi="Courier New"/>
          <w:b w:val="false"/>
          <w:bCs w:val="false"/>
          <w:color w:val="1B4F8A"/>
          <w:sz w:val="20"/>
          <w:szCs w:val="20"/>
        </w:rPr>
        <w:t xml:space="preserve">other</w:t>
      </w:r>
      <w:r>
        <w:rPr>
          <w:rFonts w:ascii="Arial" w:cs="Arial" w:eastAsia="Arial" w:hAnsi="Arial"/>
          <w:b w:val="false"/>
          <w:bCs w:val="false"/>
          <w:i w:val="false"/>
          <w:iCs w:val="false"/>
          <w:color w:val="555555"/>
          <w:sz w:val="22"/>
          <w:szCs w:val="22"/>
        </w:rPr>
        <w:t xml:space="preserve"> module defines no predefined fields. Custom fields should use the </w:t>
      </w:r>
      <w:r>
        <w:rPr>
          <w:rFonts w:ascii="Courier New" w:cs="Courier New" w:eastAsia="Courier New" w:hAnsi="Courier New"/>
          <w:b w:val="false"/>
          <w:bCs w:val="false"/>
          <w:color w:val="1B4F8A"/>
          <w:sz w:val="20"/>
          <w:szCs w:val="20"/>
        </w:rPr>
        <w:t xml:space="preserve">x_[namespace]_[fieldname]</w:t>
      </w:r>
      <w:r>
        <w:rPr>
          <w:rFonts w:ascii="Arial" w:cs="Arial" w:eastAsia="Arial" w:hAnsi="Arial"/>
          <w:b w:val="false"/>
          <w:bCs w:val="false"/>
          <w:i w:val="false"/>
          <w:iCs w:val="false"/>
          <w:color w:val="555555"/>
          <w:sz w:val="22"/>
          <w:szCs w:val="22"/>
        </w:rPr>
        <w:t xml:space="preserve"> convention to avoid conflicts with future specification versions.</w:t>
      </w:r>
    </w:p>
    <w:p>
      <w:pPr>
        <w:spacing w:before="480" w:after="60"/>
      </w:pPr>
      <w:r>
        <w:rPr>
          <w:rFonts w:ascii="Arial" w:cs="Arial" w:eastAsia="Arial" w:hAnsi="Arial"/>
          <w:b/>
          <w:bCs/>
          <w:color w:val="1B4F8A"/>
          <w:spacing w:val="50"/>
          <w:sz w:val="16"/>
          <w:szCs w:val="16"/>
        </w:rPr>
        <w:t xml:space="preserve">SECTION 7</w:t>
      </w:r>
    </w:p>
    <w:p>
      <w:pPr>
        <w:pStyle w:val="Heading1"/>
      </w:pPr>
      <w:r>
        <w:rPr>
          <w:rFonts w:ascii="Arial" w:cs="Arial" w:eastAsia="Arial" w:hAnsi="Arial"/>
        </w:rPr>
        <w:t xml:space="preserve">Multi-Entity Networks</w:t>
      </w:r>
    </w:p>
    <w:p>
      <w:pPr>
        <w:spacing w:before="0" w:after="180"/>
        <w:jc w:val="left"/>
      </w:pPr>
      <w:r>
        <w:rPr>
          <w:rFonts w:ascii="Arial" w:cs="Arial" w:eastAsia="Arial" w:hAnsi="Arial"/>
          <w:b w:val="false"/>
          <w:bCs w:val="false"/>
          <w:i w:val="false"/>
          <w:iCs w:val="false"/>
          <w:color w:val="555555"/>
          <w:sz w:val="22"/>
          <w:szCs w:val="22"/>
        </w:rPr>
        <w:t xml:space="preserve">Each AI-GECO file describes exactly one entity. Related entities are referenced, not embedded. The </w:t>
      </w:r>
      <w:r>
        <w:rPr>
          <w:rFonts w:ascii="Courier New" w:cs="Courier New" w:eastAsia="Courier New" w:hAnsi="Courier New"/>
          <w:b w:val="false"/>
          <w:bCs w:val="false"/>
          <w:color w:val="1B4F8A"/>
          <w:sz w:val="20"/>
          <w:szCs w:val="20"/>
        </w:rPr>
        <w:t xml:space="preserve">core.related_entities</w:t>
      </w:r>
      <w:r>
        <w:rPr>
          <w:rFonts w:ascii="Arial" w:cs="Arial" w:eastAsia="Arial" w:hAnsi="Arial"/>
          <w:b w:val="false"/>
          <w:bCs w:val="false"/>
          <w:i w:val="false"/>
          <w:iCs w:val="false"/>
          <w:color w:val="555555"/>
          <w:sz w:val="22"/>
          <w:szCs w:val="22"/>
        </w:rPr>
        <w:t xml:space="preserve"> field names relationships in plain language. The </w:t>
      </w:r>
      <w:r>
        <w:rPr>
          <w:rFonts w:ascii="Courier New" w:cs="Courier New" w:eastAsia="Courier New" w:hAnsi="Courier New"/>
          <w:b w:val="false"/>
          <w:bCs w:val="false"/>
          <w:color w:val="1B4F8A"/>
          <w:sz w:val="20"/>
          <w:szCs w:val="20"/>
        </w:rPr>
        <w:t xml:space="preserve">core.eco_refs</w:t>
      </w:r>
      <w:r>
        <w:rPr>
          <w:rFonts w:ascii="Arial" w:cs="Arial" w:eastAsia="Arial" w:hAnsi="Arial"/>
          <w:b w:val="false"/>
          <w:bCs w:val="false"/>
          <w:i w:val="false"/>
          <w:iCs w:val="false"/>
          <w:color w:val="555555"/>
          <w:sz w:val="22"/>
          <w:szCs w:val="22"/>
        </w:rPr>
        <w:t xml:space="preserve"> field provides paths or URIs to related AI-GECO files.</w:t>
      </w:r>
    </w:p>
    <w:p>
      <w:pPr>
        <w:spacing w:before="80" w:after="0"/>
      </w:pPr>
    </w:p>
    <w:p>
      <w:pPr>
        <w:pBdr>
          <w:top w:val="single" w:color="CCCCCC" w:sz="2"/>
          <w:bottom w:val="none" w:color="FFFFFF" w:sz="0"/>
          <w:left w:val="single" w:color="CCCCCC" w:sz="2"/>
          <w:right w:val="single" w:color="CCCCCC" w:sz="2"/>
        </w:pBdr>
        <w:shd w:fill="F6F6F6" w:val="clear"/>
        <w:spacing w:before="100" w:after="0"/>
        <w:ind w:left="360"/>
      </w:pPr>
      <w:r>
        <w:rPr>
          <w:rFonts w:ascii="Courier New" w:cs="Courier New" w:eastAsia="Courier New" w:hAnsi="Courier New"/>
          <w:color w:val="2C2C2C"/>
          <w:sz w:val="18"/>
          <w:szCs w:val="18"/>
        </w:rPr>
        <w:t xml:space="preserve">"related_entities": "owner: Yvonne Delray, veterinarian: Dr. Sandra Osei",</w:t>
      </w:r>
    </w:p>
    <w:p>
      <w:pPr>
        <w:pBdr>
          <w:top w:val="none" w:color="FFFFFF" w:sz="0"/>
          <w:bottom w:val="single" w:color="CCCCCC" w:sz="2"/>
          <w:left w:val="single" w:color="CCCCCC" w:sz="2"/>
          <w:right w:val="single" w:color="CCCCCC" w:sz="2"/>
        </w:pBdr>
        <w:shd w:fill="F6F6F6" w:val="clear"/>
        <w:spacing w:before="0" w:after="100"/>
        <w:ind w:left="360"/>
      </w:pPr>
      <w:r>
        <w:rPr>
          <w:rFonts w:ascii="Courier New" w:cs="Courier New" w:eastAsia="Courier New" w:hAnsi="Courier New"/>
          <w:color w:val="2C2C2C"/>
          <w:sz w:val="18"/>
          <w:szCs w:val="18"/>
        </w:rPr>
        <w:t xml:space="preserve">"eco_refs": "yvonne-delray.aigeco.json, lakeview-animal-hospital.aigeco.json"</w:t>
      </w:r>
    </w:p>
    <w:p>
      <w:pPr>
        <w:spacing w:before="160" w:after="0"/>
      </w:pPr>
    </w:p>
    <w:p>
      <w:pPr>
        <w:spacing w:before="0" w:after="180"/>
        <w:jc w:val="left"/>
      </w:pPr>
      <w:r>
        <w:rPr>
          <w:rFonts w:ascii="Arial" w:cs="Arial" w:eastAsia="Arial" w:hAnsi="Arial"/>
          <w:b w:val="false"/>
          <w:bCs w:val="false"/>
          <w:i w:val="false"/>
          <w:iCs w:val="false"/>
          <w:color w:val="555555"/>
          <w:sz w:val="22"/>
          <w:szCs w:val="22"/>
        </w:rPr>
        <w:t xml:space="preserve">This pattern allows a network of entities to be navigated by the model without any single file needing to contain everything. A query about the owner of a pet can be answered from the pet's ECD; a follow-up about the owner's employer can be answered by loading the owner's ECD. Each file remains focused, compact, and independently maintainable.</w:t>
      </w:r>
    </w:p>
    <w:p>
      <w:pPr>
        <w:spacing w:before="0" w:after="180"/>
        <w:jc w:val="left"/>
      </w:pPr>
      <w:r>
        <w:rPr>
          <w:rFonts w:ascii="Arial" w:cs="Arial" w:eastAsia="Arial" w:hAnsi="Arial"/>
          <w:b w:val="false"/>
          <w:bCs w:val="false"/>
          <w:i w:val="false"/>
          <w:iCs w:val="false"/>
          <w:color w:val="555555"/>
          <w:sz w:val="22"/>
          <w:szCs w:val="22"/>
        </w:rPr>
        <w:t xml:space="preserve">For organizations with subsidiaries or a parent company, each entity has its own AI-GECO file. The parent references children via eco_refs; children reference the parent. A model operating in the context of a subsidiary AI-GECO is aware of the parent relationship without needing the full parent ECD in the same session.</w:t>
      </w:r>
    </w:p>
    <w:p>
      <w:pPr>
        <w:spacing w:before="480" w:after="60"/>
      </w:pPr>
      <w:r>
        <w:rPr>
          <w:rFonts w:ascii="Arial" w:cs="Arial" w:eastAsia="Arial" w:hAnsi="Arial"/>
          <w:b/>
          <w:bCs/>
          <w:color w:val="1B4F8A"/>
          <w:spacing w:val="50"/>
          <w:sz w:val="16"/>
          <w:szCs w:val="16"/>
        </w:rPr>
        <w:t xml:space="preserve">SECTION 8</w:t>
      </w:r>
    </w:p>
    <w:p>
      <w:pPr>
        <w:pStyle w:val="Heading1"/>
      </w:pPr>
      <w:r>
        <w:rPr>
          <w:rFonts w:ascii="Arial" w:cs="Arial" w:eastAsia="Arial" w:hAnsi="Arial"/>
        </w:rPr>
        <w:t xml:space="preserve">Implementation Guide</w:t>
      </w:r>
    </w:p>
    <w:p>
      <w:pPr>
        <w:pStyle w:val="Heading2"/>
      </w:pPr>
      <w:r>
        <w:rPr>
          <w:rFonts w:ascii="Arial" w:cs="Arial" w:eastAsia="Arial" w:hAnsi="Arial"/>
        </w:rPr>
        <w:t xml:space="preserve">8.1  Creating an AI-GECO file</w:t>
      </w:r>
    </w:p>
    <w:p>
      <w:pPr>
        <w:spacing w:before="60" w:after="0"/>
      </w:pPr>
    </w:p>
    <w:p>
      <w:pPr>
        <w:pStyle w:val="ListParagraph"/>
        <w:numPr>
          <w:ilvl w:val="0"/>
          <w:numId w:val="3"/>
        </w:numPr>
        <w:spacing w:before="40" w:after="60"/>
      </w:pPr>
      <w:r>
        <w:rPr>
          <w:rFonts w:ascii="Arial" w:cs="Arial" w:eastAsia="Arial" w:hAnsi="Arial"/>
          <w:b w:val="false"/>
          <w:bCs w:val="false"/>
          <w:i w:val="false"/>
          <w:iCs w:val="false"/>
          <w:color w:val="555555"/>
          <w:sz w:val="22"/>
          <w:szCs w:val="22"/>
        </w:rPr>
        <w:t xml:space="preserve">Start with the blank schema (</w:t>
      </w:r>
      <w:r>
        <w:rPr>
          <w:rFonts w:ascii="Arial" w:cs="Arial" w:eastAsia="Arial" w:hAnsi="Arial"/>
          <w:b/>
          <w:bCs/>
          <w:i w:val="false"/>
          <w:iCs w:val="false"/>
          <w:color w:val="555555"/>
          <w:sz w:val="22"/>
          <w:szCs w:val="22"/>
        </w:rPr>
        <w:t xml:space="preserve">ai-geco_schema_v1.json</w:t>
      </w:r>
      <w:r>
        <w:rPr>
          <w:rFonts w:ascii="Arial" w:cs="Arial" w:eastAsia="Arial" w:hAnsi="Arial"/>
          <w:b w:val="false"/>
          <w:bCs w:val="false"/>
          <w:i w:val="false"/>
          <w:iCs w:val="false"/>
          <w:color w:val="555555"/>
          <w:sz w:val="22"/>
          <w:szCs w:val="22"/>
        </w:rPr>
        <w:t xml:space="preserve">). Do not modify the canonical instruction text in _meta.instruction.</w:t>
      </w:r>
    </w:p>
    <w:p>
      <w:pPr>
        <w:pStyle w:val="ListParagraph"/>
        <w:numPr>
          <w:ilvl w:val="0"/>
          <w:numId w:val="3"/>
        </w:numPr>
        <w:spacing w:before="40" w:after="60"/>
      </w:pPr>
      <w:r>
        <w:rPr>
          <w:rFonts w:ascii="Arial" w:cs="Arial" w:eastAsia="Arial" w:hAnsi="Arial"/>
          <w:b w:val="false"/>
          <w:bCs w:val="false"/>
          <w:i w:val="false"/>
          <w:iCs w:val="false"/>
          <w:color w:val="555555"/>
          <w:sz w:val="22"/>
          <w:szCs w:val="22"/>
        </w:rPr>
        <w:t xml:space="preserve">Set </w:t>
      </w:r>
      <w:r>
        <w:rPr>
          <w:rFonts w:ascii="Courier New" w:cs="Courier New" w:eastAsia="Courier New" w:hAnsi="Courier New"/>
          <w:b w:val="false"/>
          <w:bCs w:val="false"/>
          <w:color w:val="1B4F8A"/>
          <w:sz w:val="20"/>
          <w:szCs w:val="20"/>
        </w:rPr>
        <w:t xml:space="preserve">entity_type</w:t>
      </w:r>
      <w:r>
        <w:rPr>
          <w:rFonts w:ascii="Arial" w:cs="Arial" w:eastAsia="Arial" w:hAnsi="Arial"/>
          <w:b w:val="false"/>
          <w:bCs w:val="false"/>
          <w:i w:val="false"/>
          <w:iCs w:val="false"/>
          <w:color w:val="555555"/>
          <w:sz w:val="22"/>
          <w:szCs w:val="22"/>
        </w:rPr>
        <w:t xml:space="preserve"> first. This decision shapes which extended module to populate.</w:t>
      </w:r>
    </w:p>
    <w:p>
      <w:pPr>
        <w:pStyle w:val="ListParagraph"/>
        <w:numPr>
          <w:ilvl w:val="0"/>
          <w:numId w:val="3"/>
        </w:numPr>
        <w:spacing w:before="40" w:after="60"/>
      </w:pPr>
      <w:r>
        <w:rPr>
          <w:rFonts w:ascii="Arial" w:cs="Arial" w:eastAsia="Arial" w:hAnsi="Arial"/>
          <w:b w:val="false"/>
          <w:bCs w:val="false"/>
          <w:i w:val="false"/>
          <w:iCs w:val="false"/>
          <w:color w:val="555555"/>
          <w:sz w:val="22"/>
          <w:szCs w:val="22"/>
        </w:rPr>
        <w:t xml:space="preserve">Populate all </w:t>
      </w:r>
      <w:r>
        <w:rPr>
          <w:rFonts w:ascii="Courier New" w:cs="Courier New" w:eastAsia="Courier New" w:hAnsi="Courier New"/>
          <w:b w:val="false"/>
          <w:bCs w:val="false"/>
          <w:color w:val="1B4F8A"/>
          <w:sz w:val="20"/>
          <w:szCs w:val="20"/>
        </w:rPr>
        <w:t xml:space="preserve">core</w:t>
      </w:r>
      <w:r>
        <w:rPr>
          <w:rFonts w:ascii="Arial" w:cs="Arial" w:eastAsia="Arial" w:hAnsi="Arial"/>
          <w:b w:val="false"/>
          <w:bCs w:val="false"/>
          <w:i w:val="false"/>
          <w:iCs w:val="false"/>
          <w:color w:val="555555"/>
          <w:sz w:val="22"/>
          <w:szCs w:val="22"/>
        </w:rPr>
        <w:t xml:space="preserve"> fields. The </w:t>
      </w:r>
      <w:r>
        <w:rPr>
          <w:rFonts w:ascii="Courier New" w:cs="Courier New" w:eastAsia="Courier New" w:hAnsi="Courier New"/>
          <w:b w:val="false"/>
          <w:bCs w:val="false"/>
          <w:color w:val="1B4F8A"/>
          <w:sz w:val="20"/>
          <w:szCs w:val="20"/>
        </w:rPr>
        <w:t xml:space="preserve">description</w:t>
      </w:r>
      <w:r>
        <w:rPr>
          <w:rFonts w:ascii="Arial" w:cs="Arial" w:eastAsia="Arial" w:hAnsi="Arial"/>
          <w:b w:val="false"/>
          <w:bCs w:val="false"/>
          <w:i w:val="false"/>
          <w:iCs w:val="false"/>
          <w:color w:val="555555"/>
          <w:sz w:val="22"/>
          <w:szCs w:val="22"/>
        </w:rPr>
        <w:t xml:space="preserve"> field requires the most care — write it for AI comprehension, not for human readers. Be precise and factual.</w:t>
      </w:r>
    </w:p>
    <w:p>
      <w:pPr>
        <w:pStyle w:val="ListParagraph"/>
        <w:numPr>
          <w:ilvl w:val="0"/>
          <w:numId w:val="3"/>
        </w:numPr>
        <w:spacing w:before="40" w:after="60"/>
      </w:pPr>
      <w:r>
        <w:rPr>
          <w:rFonts w:ascii="Arial" w:cs="Arial" w:eastAsia="Arial" w:hAnsi="Arial"/>
          <w:b w:val="false"/>
          <w:bCs w:val="false"/>
          <w:i w:val="false"/>
          <w:iCs w:val="false"/>
          <w:color w:val="555555"/>
          <w:sz w:val="22"/>
          <w:szCs w:val="22"/>
        </w:rPr>
        <w:t xml:space="preserve">Add extended fields only where they serve a grounding purpose. If a field would not reduce hallucination risk, omit it.</w:t>
      </w:r>
    </w:p>
    <w:p>
      <w:pPr>
        <w:pStyle w:val="ListParagraph"/>
        <w:numPr>
          <w:ilvl w:val="0"/>
          <w:numId w:val="3"/>
        </w:numPr>
        <w:spacing w:before="40" w:after="60"/>
      </w:pPr>
      <w:r>
        <w:rPr>
          <w:rFonts w:ascii="Arial" w:cs="Arial" w:eastAsia="Arial" w:hAnsi="Arial"/>
          <w:b w:val="false"/>
          <w:bCs w:val="false"/>
          <w:i w:val="false"/>
          <w:iCs w:val="false"/>
          <w:color w:val="555555"/>
          <w:sz w:val="22"/>
          <w:szCs w:val="22"/>
        </w:rPr>
        <w:t xml:space="preserve">Leave unused extended modules out of the file entirely — do not include them with empty or placeholder values.</w:t>
      </w:r>
    </w:p>
    <w:p>
      <w:pPr>
        <w:pStyle w:val="ListParagraph"/>
        <w:numPr>
          <w:ilvl w:val="0"/>
          <w:numId w:val="3"/>
        </w:numPr>
        <w:spacing w:before="40" w:after="60"/>
      </w:pPr>
      <w:r>
        <w:rPr>
          <w:rFonts w:ascii="Arial" w:cs="Arial" w:eastAsia="Arial" w:hAnsi="Arial"/>
          <w:b w:val="false"/>
          <w:bCs w:val="false"/>
          <w:i w:val="false"/>
          <w:iCs w:val="false"/>
          <w:color w:val="555555"/>
          <w:sz w:val="22"/>
          <w:szCs w:val="22"/>
        </w:rPr>
        <w:t xml:space="preserve">Validate the file as valid JSON before uploading.</w:t>
      </w:r>
    </w:p>
    <w:p>
      <w:pPr>
        <w:pStyle w:val="ListParagraph"/>
        <w:numPr>
          <w:ilvl w:val="0"/>
          <w:numId w:val="3"/>
        </w:numPr>
        <w:spacing w:before="40" w:after="60"/>
      </w:pPr>
      <w:r>
        <w:rPr>
          <w:rFonts w:ascii="Arial" w:cs="Arial" w:eastAsia="Arial" w:hAnsi="Arial"/>
          <w:b w:val="false"/>
          <w:bCs w:val="false"/>
          <w:i w:val="false"/>
          <w:iCs w:val="false"/>
          <w:color w:val="555555"/>
          <w:sz w:val="22"/>
          <w:szCs w:val="22"/>
        </w:rPr>
        <w:t xml:space="preserve">Update </w:t>
      </w:r>
      <w:r>
        <w:rPr>
          <w:rFonts w:ascii="Courier New" w:cs="Courier New" w:eastAsia="Courier New" w:hAnsi="Courier New"/>
          <w:b w:val="false"/>
          <w:bCs w:val="false"/>
          <w:color w:val="1B4F8A"/>
          <w:sz w:val="20"/>
          <w:szCs w:val="20"/>
        </w:rPr>
        <w:t xml:space="preserve">_meta.updated</w:t>
      </w:r>
      <w:r>
        <w:rPr>
          <w:rFonts w:ascii="Arial" w:cs="Arial" w:eastAsia="Arial" w:hAnsi="Arial"/>
          <w:b w:val="false"/>
          <w:bCs w:val="false"/>
          <w:i w:val="false"/>
          <w:iCs w:val="false"/>
          <w:color w:val="555555"/>
          <w:sz w:val="22"/>
          <w:szCs w:val="22"/>
        </w:rPr>
        <w:t xml:space="preserve"> every time any value changes.</w:t>
      </w:r>
    </w:p>
    <w:p>
      <w:pPr>
        <w:spacing w:before="200" w:after="0"/>
      </w:pPr>
    </w:p>
    <w:p>
      <w:pPr>
        <w:pStyle w:val="Heading2"/>
      </w:pPr>
      <w:r>
        <w:rPr>
          <w:rFonts w:ascii="Arial" w:cs="Arial" w:eastAsia="Arial" w:hAnsi="Arial"/>
        </w:rPr>
        <w:t xml:space="preserve">8.2  Platform upload instructions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B4F8A" w:sz="1"/>
              <w:left w:val="single" w:color="1B4F8A" w:sz="1"/>
              <w:bottom w:val="single" w:color="1B4F8A" w:sz="1"/>
              <w:right w:val="single" w:color="1B4F8A" w:sz="1"/>
            </w:tcBorders>
            <w:shd w:fill="1B4F8A" w:val="clear"/>
            <w:tcMar>
              <w:top w:type="dxa" w:w="80"/>
              <w:left w:type="dxa" w:w="140"/>
              <w:bottom w:type="dxa" w:w="80"/>
              <w:right w:type="dxa" w:w="140"/>
            </w:tcMar>
          </w:tcPr>
          <w:p>
            <w:r>
              <w:rPr>
                <w:rFonts w:ascii="Arial" w:cs="Arial" w:eastAsia="Arial" w:hAnsi="Arial"/>
                <w:b/>
                <w:bCs/>
                <w:color w:val="FFFFFF"/>
                <w:sz w:val="19"/>
                <w:szCs w:val="19"/>
              </w:rPr>
              <w:t xml:space="preserve">Platform</w:t>
            </w:r>
          </w:p>
        </w:tc>
        <w:tc>
          <w:tcPr>
            <w:tcW w:type="dxa" w:w="7160"/>
            <w:tcBorders>
              <w:top w:val="single" w:color="1B4F8A" w:sz="1"/>
              <w:left w:val="single" w:color="1B4F8A" w:sz="1"/>
              <w:bottom w:val="single" w:color="1B4F8A" w:sz="1"/>
              <w:right w:val="single" w:color="1B4F8A" w:sz="1"/>
            </w:tcBorders>
            <w:shd w:fill="1B4F8A" w:val="clear"/>
            <w:tcMar>
              <w:top w:type="dxa" w:w="80"/>
              <w:left w:type="dxa" w:w="140"/>
              <w:bottom w:type="dxa" w:w="80"/>
              <w:right w:type="dxa" w:w="140"/>
            </w:tcMar>
          </w:tcPr>
          <w:p>
            <w:r>
              <w:rPr>
                <w:rFonts w:ascii="Arial" w:cs="Arial" w:eastAsia="Arial" w:hAnsi="Arial"/>
                <w:b/>
                <w:bCs/>
                <w:color w:val="FFFFFF"/>
                <w:sz w:val="19"/>
                <w:szCs w:val="19"/>
              </w:rPr>
              <w:t xml:space="preserve">How to attach an AI-GECO file</w:t>
            </w:r>
          </w:p>
        </w:tc>
      </w:tr>
      <w:tr>
        <w:tc>
          <w:tcPr>
            <w:tcW w:type="dxa" w:w="2200"/>
            <w:tcBorders>
              <w:top w:val="single" w:color="E0E0E0" w:sz="1"/>
              <w:left w:val="single" w:color="E0E0E0" w:sz="1"/>
              <w:bottom w:val="single" w:color="E0E0E0" w:sz="1"/>
              <w:right w:val="single" w:color="E0E0E0" w:sz="1"/>
            </w:tcBorders>
            <w:shd w:fill="F4F4F4" w:val="clear"/>
            <w:tcMar>
              <w:top w:type="dxa" w:w="80"/>
              <w:left w:type="dxa" w:w="140"/>
              <w:bottom w:type="dxa" w:w="80"/>
              <w:right w:type="dxa" w:w="140"/>
            </w:tcMar>
          </w:tcPr>
          <w:p>
            <w:r>
              <w:rPr>
                <w:rFonts w:ascii="Arial" w:cs="Arial" w:eastAsia="Arial" w:hAnsi="Arial"/>
                <w:b/>
                <w:bCs/>
                <w:color w:val="555555"/>
                <w:sz w:val="19"/>
                <w:szCs w:val="19"/>
              </w:rPr>
              <w:t xml:space="preserve">Claude (Anthropic)</w:t>
            </w:r>
          </w:p>
        </w:tc>
        <w:tc>
          <w:tcPr>
            <w:tcW w:type="dxa" w:w="7160"/>
            <w:tcBorders>
              <w:top w:val="single" w:color="E0E0E0" w:sz="1"/>
              <w:left w:val="single" w:color="E0E0E0" w:sz="1"/>
              <w:bottom w:val="single" w:color="E0E0E0" w:sz="1"/>
              <w:right w:val="single" w:color="E0E0E0" w:sz="1"/>
            </w:tcBorders>
            <w:shd w:fill="F4F4F4" w:val="clear"/>
            <w:tcMar>
              <w:top w:type="dxa" w:w="80"/>
              <w:left w:type="dxa" w:w="140"/>
              <w:bottom w:type="dxa" w:w="80"/>
              <w:right w:type="dxa" w:w="140"/>
            </w:tcMar>
          </w:tcPr>
          <w:p>
            <w:r>
              <w:rPr>
                <w:rFonts w:ascii="Arial" w:cs="Arial" w:eastAsia="Arial" w:hAnsi="Arial"/>
                <w:b w:val="false"/>
                <w:bCs w:val="false"/>
                <w:color w:val="555555"/>
                <w:sz w:val="19"/>
                <w:szCs w:val="19"/>
              </w:rPr>
              <w:t xml:space="preserve">Create a Project → open Project settings → upload the AI-GECO .json file as a project file. Available in all conversations within that project.</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Arial" w:cs="Arial" w:eastAsia="Arial" w:hAnsi="Arial"/>
                <w:b/>
                <w:bCs/>
                <w:color w:val="555555"/>
                <w:sz w:val="19"/>
                <w:szCs w:val="19"/>
              </w:rPr>
              <w:t xml:space="preserve">ChatGPT (OpenAI)</w:t>
            </w:r>
          </w:p>
        </w:tc>
        <w:tc>
          <w:tcPr>
            <w:tcW w:type="dxa" w:w="71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Arial" w:cs="Arial" w:eastAsia="Arial" w:hAnsi="Arial"/>
                <w:b w:val="false"/>
                <w:bCs w:val="false"/>
                <w:color w:val="555555"/>
                <w:sz w:val="19"/>
                <w:szCs w:val="19"/>
              </w:rPr>
              <w:t xml:space="preserve">Create a Custom GPT → Configure tab → upload the AI-GECO .json file under Knowledge. Referenced in all GPT conversations.</w:t>
            </w:r>
          </w:p>
        </w:tc>
      </w:tr>
      <w:tr>
        <w:tc>
          <w:tcPr>
            <w:tcW w:type="dxa" w:w="2200"/>
            <w:tcBorders>
              <w:top w:val="single" w:color="E0E0E0" w:sz="1"/>
              <w:left w:val="single" w:color="E0E0E0" w:sz="1"/>
              <w:bottom w:val="single" w:color="E0E0E0" w:sz="1"/>
              <w:right w:val="single" w:color="E0E0E0" w:sz="1"/>
            </w:tcBorders>
            <w:shd w:fill="F4F4F4" w:val="clear"/>
            <w:tcMar>
              <w:top w:type="dxa" w:w="80"/>
              <w:left w:type="dxa" w:w="140"/>
              <w:bottom w:type="dxa" w:w="80"/>
              <w:right w:type="dxa" w:w="140"/>
            </w:tcMar>
          </w:tcPr>
          <w:p>
            <w:r>
              <w:rPr>
                <w:rFonts w:ascii="Arial" w:cs="Arial" w:eastAsia="Arial" w:hAnsi="Arial"/>
                <w:b/>
                <w:bCs/>
                <w:color w:val="555555"/>
                <w:sz w:val="19"/>
                <w:szCs w:val="19"/>
              </w:rPr>
              <w:t xml:space="preserve">Gemini (Google)</w:t>
            </w:r>
          </w:p>
        </w:tc>
        <w:tc>
          <w:tcPr>
            <w:tcW w:type="dxa" w:w="7160"/>
            <w:tcBorders>
              <w:top w:val="single" w:color="E0E0E0" w:sz="1"/>
              <w:left w:val="single" w:color="E0E0E0" w:sz="1"/>
              <w:bottom w:val="single" w:color="E0E0E0" w:sz="1"/>
              <w:right w:val="single" w:color="E0E0E0" w:sz="1"/>
            </w:tcBorders>
            <w:shd w:fill="F4F4F4" w:val="clear"/>
            <w:tcMar>
              <w:top w:type="dxa" w:w="80"/>
              <w:left w:type="dxa" w:w="140"/>
              <w:bottom w:type="dxa" w:w="80"/>
              <w:right w:type="dxa" w:w="140"/>
            </w:tcMar>
          </w:tcPr>
          <w:p>
            <w:r>
              <w:rPr>
                <w:rFonts w:ascii="Arial" w:cs="Arial" w:eastAsia="Arial" w:hAnsi="Arial"/>
                <w:b w:val="false"/>
                <w:bCs w:val="false"/>
                <w:color w:val="555555"/>
                <w:sz w:val="19"/>
                <w:szCs w:val="19"/>
              </w:rPr>
              <w:t xml:space="preserve">Create a Gem → in Gem configuration, add the AI-GECO .json file as a reference document.</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Arial" w:cs="Arial" w:eastAsia="Arial" w:hAnsi="Arial"/>
                <w:b/>
                <w:bCs/>
                <w:color w:val="555555"/>
                <w:sz w:val="19"/>
                <w:szCs w:val="19"/>
              </w:rPr>
              <w:t xml:space="preserve">Copilot (Microsoft)</w:t>
            </w:r>
          </w:p>
        </w:tc>
        <w:tc>
          <w:tcPr>
            <w:tcW w:type="dxa" w:w="71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Arial" w:cs="Arial" w:eastAsia="Arial" w:hAnsi="Arial"/>
                <w:b w:val="false"/>
                <w:bCs w:val="false"/>
                <w:color w:val="555555"/>
                <w:sz w:val="19"/>
                <w:szCs w:val="19"/>
              </w:rPr>
              <w:t xml:space="preserve">Copilot Studio → create an Agent → attach the AI-GECO .json file as a knowledge source in the agent configuration.</w:t>
            </w:r>
          </w:p>
        </w:tc>
      </w:tr>
      <w:tr>
        <w:tc>
          <w:tcPr>
            <w:tcW w:type="dxa" w:w="2200"/>
            <w:tcBorders>
              <w:top w:val="single" w:color="E0E0E0" w:sz="1"/>
              <w:left w:val="single" w:color="E0E0E0" w:sz="1"/>
              <w:bottom w:val="single" w:color="E0E0E0" w:sz="1"/>
              <w:right w:val="single" w:color="E0E0E0" w:sz="1"/>
            </w:tcBorders>
            <w:shd w:fill="F4F4F4" w:val="clear"/>
            <w:tcMar>
              <w:top w:type="dxa" w:w="80"/>
              <w:left w:type="dxa" w:w="140"/>
              <w:bottom w:type="dxa" w:w="80"/>
              <w:right w:type="dxa" w:w="140"/>
            </w:tcMar>
          </w:tcPr>
          <w:p>
            <w:r>
              <w:rPr>
                <w:rFonts w:ascii="Arial" w:cs="Arial" w:eastAsia="Arial" w:hAnsi="Arial"/>
                <w:b/>
                <w:bCs/>
                <w:color w:val="555555"/>
                <w:sz w:val="19"/>
                <w:szCs w:val="19"/>
              </w:rPr>
              <w:t xml:space="preserve">Other platforms</w:t>
            </w:r>
          </w:p>
        </w:tc>
        <w:tc>
          <w:tcPr>
            <w:tcW w:type="dxa" w:w="7160"/>
            <w:tcBorders>
              <w:top w:val="single" w:color="E0E0E0" w:sz="1"/>
              <w:left w:val="single" w:color="E0E0E0" w:sz="1"/>
              <w:bottom w:val="single" w:color="E0E0E0" w:sz="1"/>
              <w:right w:val="single" w:color="E0E0E0" w:sz="1"/>
            </w:tcBorders>
            <w:shd w:fill="F4F4F4" w:val="clear"/>
            <w:tcMar>
              <w:top w:type="dxa" w:w="80"/>
              <w:left w:type="dxa" w:w="140"/>
              <w:bottom w:type="dxa" w:w="80"/>
              <w:right w:type="dxa" w:w="140"/>
            </w:tcMar>
          </w:tcPr>
          <w:p>
            <w:r>
              <w:rPr>
                <w:rFonts w:ascii="Arial" w:cs="Arial" w:eastAsia="Arial" w:hAnsi="Arial"/>
                <w:b w:val="false"/>
                <w:bCs w:val="false"/>
                <w:color w:val="555555"/>
                <w:sz w:val="19"/>
                <w:szCs w:val="19"/>
              </w:rPr>
              <w:t xml:space="preserve">Upload the AI-GECO .json file to any context, knowledge, or system prompt file attachment feature. The _meta.instruction field is self-contained and does not require platform-specific configuration.</w:t>
            </w:r>
          </w:p>
        </w:tc>
      </w:tr>
    </w:tbl>
    <w:p>
      <w:pPr>
        <w:spacing w:before="240" w:after="0"/>
      </w:pPr>
    </w:p>
    <w:p>
      <w:pPr>
        <w:pStyle w:val="Heading2"/>
      </w:pPr>
      <w:r>
        <w:rPr>
          <w:rFonts w:ascii="Arial" w:cs="Arial" w:eastAsia="Arial" w:hAnsi="Arial"/>
        </w:rPr>
        <w:t xml:space="preserve">8.3  Maintenance</w:t>
      </w:r>
    </w:p>
    <w:p>
      <w:pPr>
        <w:spacing w:before="0" w:after="180"/>
        <w:jc w:val="left"/>
      </w:pPr>
      <w:r>
        <w:rPr>
          <w:rFonts w:ascii="Arial" w:cs="Arial" w:eastAsia="Arial" w:hAnsi="Arial"/>
          <w:b w:val="false"/>
          <w:bCs w:val="false"/>
          <w:i w:val="false"/>
          <w:iCs w:val="false"/>
          <w:color w:val="555555"/>
          <w:sz w:val="22"/>
          <w:szCs w:val="22"/>
        </w:rPr>
        <w:t xml:space="preserve">An AI-GECO is only as useful as it is accurate. Stale context is worse than no context — a model anchored on outdated facts will produce confidently wrong answers. Recommended maintenance practices:</w:t>
      </w:r>
    </w:p>
    <w:p>
      <w:pPr>
        <w:spacing w:before="60" w:after="0"/>
      </w:pPr>
    </w:p>
    <w:p>
      <w:pPr>
        <w:pStyle w:val="ListParagraph"/>
        <w:numPr>
          <w:ilvl w:val="0"/>
          <w:numId w:val="2"/>
        </w:numPr>
        <w:spacing w:before="40" w:after="60"/>
      </w:pPr>
      <w:r>
        <w:rPr>
          <w:rFonts w:ascii="Courier New" w:cs="Courier New" w:eastAsia="Courier New" w:hAnsi="Courier New"/>
          <w:b w:val="false"/>
          <w:bCs w:val="false"/>
          <w:color w:val="1B4F8A"/>
          <w:sz w:val="20"/>
          <w:szCs w:val="20"/>
        </w:rPr>
        <w:t xml:space="preserve">_meta.updated</w:t>
      </w:r>
      <w:r>
        <w:rPr>
          <w:rFonts w:ascii="Arial" w:cs="Arial" w:eastAsia="Arial" w:hAnsi="Arial"/>
          <w:b w:val="false"/>
          <w:bCs w:val="false"/>
          <w:i w:val="false"/>
          <w:iCs w:val="false"/>
          <w:color w:val="555555"/>
          <w:sz w:val="22"/>
          <w:szCs w:val="22"/>
        </w:rPr>
        <w:t xml:space="preserve"> — update every time any value changes. Models aware of the date may flag stale context.</w:t>
      </w:r>
    </w:p>
    <w:p>
      <w:pPr>
        <w:pStyle w:val="ListParagraph"/>
        <w:numPr>
          <w:ilvl w:val="0"/>
          <w:numId w:val="2"/>
        </w:numPr>
        <w:spacing w:before="40" w:after="60"/>
      </w:pPr>
      <w:r>
        <w:rPr>
          <w:rFonts w:ascii="Courier New" w:cs="Courier New" w:eastAsia="Courier New" w:hAnsi="Courier New"/>
          <w:b w:val="false"/>
          <w:bCs w:val="false"/>
          <w:color w:val="1B4F8A"/>
          <w:sz w:val="20"/>
          <w:szCs w:val="20"/>
        </w:rPr>
        <w:t xml:space="preserve">_meta.maintained_by</w:t>
      </w:r>
      <w:r>
        <w:rPr>
          <w:rFonts w:ascii="Arial" w:cs="Arial" w:eastAsia="Arial" w:hAnsi="Arial"/>
          <w:b w:val="false"/>
          <w:bCs w:val="false"/>
          <w:i w:val="false"/>
          <w:iCs w:val="false"/>
          <w:color w:val="555555"/>
          <w:sz w:val="22"/>
          <w:szCs w:val="22"/>
        </w:rPr>
        <w:t xml:space="preserve"> — assign a named person, role, or system responsible for keeping the file current.</w:t>
      </w:r>
    </w:p>
    <w:p>
      <w:pPr>
        <w:pStyle w:val="ListParagraph"/>
        <w:numPr>
          <w:ilvl w:val="0"/>
          <w:numId w:val="2"/>
        </w:numPr>
        <w:spacing w:before="40" w:after="60"/>
      </w:pPr>
      <w:r>
        <w:rPr>
          <w:rFonts w:ascii="Arial" w:cs="Arial" w:eastAsia="Arial" w:hAnsi="Arial"/>
          <w:b w:val="false"/>
          <w:bCs w:val="false"/>
          <w:i w:val="false"/>
          <w:iCs w:val="false"/>
          <w:color w:val="555555"/>
          <w:sz w:val="22"/>
          <w:szCs w:val="22"/>
        </w:rPr>
        <w:t xml:space="preserve">Review frequency — for people and organizations, quarterly. For products, on each release or formulation change. For animals, after each veterinary visit.</w:t>
      </w:r>
    </w:p>
    <w:p>
      <w:pPr>
        <w:pStyle w:val="ListParagraph"/>
        <w:numPr>
          <w:ilvl w:val="0"/>
          <w:numId w:val="2"/>
        </w:numPr>
        <w:spacing w:before="40" w:after="60"/>
      </w:pPr>
      <w:r>
        <w:rPr>
          <w:rFonts w:ascii="Arial" w:cs="Arial" w:eastAsia="Arial" w:hAnsi="Arial"/>
          <w:b w:val="false"/>
          <w:bCs w:val="false"/>
          <w:i w:val="false"/>
          <w:iCs w:val="false"/>
          <w:color w:val="555555"/>
          <w:sz w:val="22"/>
          <w:szCs w:val="22"/>
        </w:rPr>
        <w:t xml:space="preserve">High-volatility fields — </w:t>
      </w:r>
      <w:r>
        <w:rPr>
          <w:rFonts w:ascii="Courier New" w:cs="Courier New" w:eastAsia="Courier New" w:hAnsi="Courier New"/>
          <w:b w:val="false"/>
          <w:bCs w:val="false"/>
          <w:color w:val="1B4F8A"/>
          <w:sz w:val="20"/>
          <w:szCs w:val="20"/>
        </w:rPr>
        <w:t xml:space="preserve">status</w:t>
      </w:r>
      <w:r>
        <w:rPr>
          <w:rFonts w:ascii="Arial" w:cs="Arial" w:eastAsia="Arial" w:hAnsi="Arial"/>
          <w:b w:val="false"/>
          <w:bCs w:val="false"/>
          <w:i w:val="false"/>
          <w:iCs w:val="false"/>
          <w:color w:val="555555"/>
          <w:sz w:val="22"/>
          <w:szCs w:val="22"/>
        </w:rPr>
        <w:t xml:space="preserve">, </w:t>
      </w:r>
      <w:r>
        <w:rPr>
          <w:rFonts w:ascii="Courier New" w:cs="Courier New" w:eastAsia="Courier New" w:hAnsi="Courier New"/>
          <w:b w:val="false"/>
          <w:bCs w:val="false"/>
          <w:color w:val="1B4F8A"/>
          <w:sz w:val="20"/>
          <w:szCs w:val="20"/>
        </w:rPr>
        <w:t xml:space="preserve">key_roles</w:t>
      </w:r>
      <w:r>
        <w:rPr>
          <w:rFonts w:ascii="Arial" w:cs="Arial" w:eastAsia="Arial" w:hAnsi="Arial"/>
          <w:b w:val="false"/>
          <w:bCs w:val="false"/>
          <w:i w:val="false"/>
          <w:iCs w:val="false"/>
          <w:color w:val="555555"/>
          <w:sz w:val="22"/>
          <w:szCs w:val="22"/>
        </w:rPr>
        <w:t xml:space="preserve">, </w:t>
      </w:r>
      <w:r>
        <w:rPr>
          <w:rFonts w:ascii="Courier New" w:cs="Courier New" w:eastAsia="Courier New" w:hAnsi="Courier New"/>
          <w:b w:val="false"/>
          <w:bCs w:val="false"/>
          <w:color w:val="1B4F8A"/>
          <w:sz w:val="20"/>
          <w:szCs w:val="20"/>
        </w:rPr>
        <w:t xml:space="preserve">strategic_priorities</w:t>
      </w:r>
      <w:r>
        <w:rPr>
          <w:rFonts w:ascii="Arial" w:cs="Arial" w:eastAsia="Arial" w:hAnsi="Arial"/>
          <w:b w:val="false"/>
          <w:bCs w:val="false"/>
          <w:i w:val="false"/>
          <w:iCs w:val="false"/>
          <w:color w:val="555555"/>
          <w:sz w:val="22"/>
          <w:szCs w:val="22"/>
        </w:rPr>
        <w:t xml:space="preserve">, </w:t>
      </w:r>
      <w:r>
        <w:rPr>
          <w:rFonts w:ascii="Courier New" w:cs="Courier New" w:eastAsia="Courier New" w:hAnsi="Courier New"/>
          <w:b w:val="false"/>
          <w:bCs w:val="false"/>
          <w:color w:val="1B4F8A"/>
          <w:sz w:val="20"/>
          <w:szCs w:val="20"/>
        </w:rPr>
        <w:t xml:space="preserve">medications</w:t>
      </w:r>
      <w:r>
        <w:rPr>
          <w:rFonts w:ascii="Arial" w:cs="Arial" w:eastAsia="Arial" w:hAnsi="Arial"/>
          <w:b w:val="false"/>
          <w:bCs w:val="false"/>
          <w:i w:val="false"/>
          <w:iCs w:val="false"/>
          <w:color w:val="555555"/>
          <w:sz w:val="22"/>
          <w:szCs w:val="22"/>
        </w:rPr>
        <w:t xml:space="preserve">, and </w:t>
      </w:r>
      <w:r>
        <w:rPr>
          <w:rFonts w:ascii="Courier New" w:cs="Courier New" w:eastAsia="Courier New" w:hAnsi="Courier New"/>
          <w:b w:val="false"/>
          <w:bCs w:val="false"/>
          <w:color w:val="1B4F8A"/>
          <w:sz w:val="20"/>
          <w:szCs w:val="20"/>
        </w:rPr>
        <w:t xml:space="preserve">vaccinations</w:t>
      </w:r>
      <w:r>
        <w:rPr>
          <w:rFonts w:ascii="Arial" w:cs="Arial" w:eastAsia="Arial" w:hAnsi="Arial"/>
          <w:b w:val="false"/>
          <w:bCs w:val="false"/>
          <w:i w:val="false"/>
          <w:iCs w:val="false"/>
          <w:color w:val="555555"/>
          <w:sz w:val="22"/>
          <w:szCs w:val="22"/>
        </w:rPr>
        <w:t xml:space="preserve"> are most likely to require frequent updates.</w:t>
      </w:r>
    </w:p>
    <w:p>
      <w:pPr>
        <w:spacing w:before="480" w:after="60"/>
      </w:pPr>
      <w:r>
        <w:rPr>
          <w:rFonts w:ascii="Arial" w:cs="Arial" w:eastAsia="Arial" w:hAnsi="Arial"/>
          <w:b/>
          <w:bCs/>
          <w:color w:val="1B4F8A"/>
          <w:spacing w:val="50"/>
          <w:sz w:val="16"/>
          <w:szCs w:val="16"/>
        </w:rPr>
        <w:t xml:space="preserve">SECTION 9</w:t>
      </w:r>
    </w:p>
    <w:p>
      <w:pPr>
        <w:pStyle w:val="Heading1"/>
      </w:pPr>
      <w:r>
        <w:rPr>
          <w:rFonts w:ascii="Arial" w:cs="Arial" w:eastAsia="Arial" w:hAnsi="Arial"/>
        </w:rPr>
        <w:t xml:space="preserve">Token Efficiency</w:t>
      </w:r>
    </w:p>
    <w:p>
      <w:pPr>
        <w:spacing w:before="0" w:after="180"/>
        <w:jc w:val="left"/>
      </w:pPr>
      <w:r>
        <w:rPr>
          <w:rFonts w:ascii="Arial" w:cs="Arial" w:eastAsia="Arial" w:hAnsi="Arial"/>
          <w:b w:val="false"/>
          <w:bCs w:val="false"/>
          <w:i w:val="false"/>
          <w:iCs w:val="false"/>
          <w:color w:val="555555"/>
          <w:sz w:val="22"/>
          <w:szCs w:val="22"/>
        </w:rPr>
        <w:t xml:space="preserve">Token efficiency is a design constraint, not an afterthought. The AI-GECO format is shaped by it at every level. The goal is to deliver maximum grounding value per token — so that the context window is dominated by conversation, not overhead.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1B4F8A" w:sz="1"/>
              <w:left w:val="single" w:color="1B4F8A" w:sz="1"/>
              <w:bottom w:val="single" w:color="1B4F8A" w:sz="1"/>
              <w:right w:val="single" w:color="1B4F8A" w:sz="1"/>
            </w:tcBorders>
            <w:shd w:fill="1B4F8A" w:val="clear"/>
            <w:tcMar>
              <w:top w:type="dxa" w:w="80"/>
              <w:left w:type="dxa" w:w="140"/>
              <w:bottom w:type="dxa" w:w="80"/>
              <w:right w:type="dxa" w:w="140"/>
            </w:tcMar>
          </w:tcPr>
          <w:p>
            <w:r>
              <w:rPr>
                <w:rFonts w:ascii="Arial" w:cs="Arial" w:eastAsia="Arial" w:hAnsi="Arial"/>
                <w:b/>
                <w:bCs/>
                <w:color w:val="FFFFFF"/>
                <w:sz w:val="19"/>
                <w:szCs w:val="19"/>
              </w:rPr>
              <w:t xml:space="preserve">Approach</w:t>
            </w:r>
          </w:p>
        </w:tc>
        <w:tc>
          <w:tcPr>
            <w:tcW w:type="dxa" w:w="3080"/>
            <w:tcBorders>
              <w:top w:val="single" w:color="1B4F8A" w:sz="1"/>
              <w:left w:val="single" w:color="1B4F8A" w:sz="1"/>
              <w:bottom w:val="single" w:color="1B4F8A" w:sz="1"/>
              <w:right w:val="single" w:color="1B4F8A" w:sz="1"/>
            </w:tcBorders>
            <w:shd w:fill="1B4F8A" w:val="clear"/>
            <w:tcMar>
              <w:top w:type="dxa" w:w="80"/>
              <w:left w:type="dxa" w:w="140"/>
              <w:bottom w:type="dxa" w:w="80"/>
              <w:right w:type="dxa" w:w="140"/>
            </w:tcMar>
          </w:tcPr>
          <w:p>
            <w:r>
              <w:rPr>
                <w:rFonts w:ascii="Arial" w:cs="Arial" w:eastAsia="Arial" w:hAnsi="Arial"/>
                <w:b/>
                <w:bCs/>
                <w:color w:val="FFFFFF"/>
                <w:sz w:val="19"/>
                <w:szCs w:val="19"/>
              </w:rPr>
              <w:t xml:space="preserve">Instead of</w:t>
            </w:r>
          </w:p>
        </w:tc>
        <w:tc>
          <w:tcPr>
            <w:tcW w:type="dxa" w:w="3080"/>
            <w:tcBorders>
              <w:top w:val="single" w:color="1B4F8A" w:sz="1"/>
              <w:left w:val="single" w:color="1B4F8A" w:sz="1"/>
              <w:bottom w:val="single" w:color="1B4F8A" w:sz="1"/>
              <w:right w:val="single" w:color="1B4F8A" w:sz="1"/>
            </w:tcBorders>
            <w:shd w:fill="1B4F8A" w:val="clear"/>
            <w:tcMar>
              <w:top w:type="dxa" w:w="80"/>
              <w:left w:type="dxa" w:w="140"/>
              <w:bottom w:type="dxa" w:w="80"/>
              <w:right w:type="dxa" w:w="140"/>
            </w:tcMar>
          </w:tcPr>
          <w:p>
            <w:r>
              <w:rPr>
                <w:rFonts w:ascii="Arial" w:cs="Arial" w:eastAsia="Arial" w:hAnsi="Arial"/>
                <w:b/>
                <w:bCs/>
                <w:color w:val="FFFFFF"/>
                <w:sz w:val="19"/>
                <w:szCs w:val="19"/>
              </w:rPr>
              <w:t xml:space="preserve">Token saving</w:t>
            </w:r>
          </w:p>
        </w:tc>
      </w:tr>
      <w:tr>
        <w:tc>
          <w:tcPr>
            <w:tcW w:type="dxa" w:w="3200"/>
            <w:tcBorders>
              <w:top w:val="single" w:color="E0E0E0" w:sz="1"/>
              <w:left w:val="single" w:color="E0E0E0" w:sz="1"/>
              <w:bottom w:val="single" w:color="E0E0E0" w:sz="1"/>
              <w:right w:val="single" w:color="E0E0E0" w:sz="1"/>
            </w:tcBorders>
            <w:shd w:fill="F4F4F4" w:val="clear"/>
            <w:tcMar>
              <w:top w:type="dxa" w:w="80"/>
              <w:left w:type="dxa" w:w="140"/>
              <w:bottom w:type="dxa" w:w="80"/>
              <w:right w:type="dxa" w:w="140"/>
            </w:tcMar>
          </w:tcPr>
          <w:p>
            <w:r>
              <w:rPr>
                <w:rFonts w:ascii="Arial" w:cs="Arial" w:eastAsia="Arial" w:hAnsi="Arial"/>
                <w:b/>
                <w:bCs/>
                <w:color w:val="555555"/>
                <w:sz w:val="18"/>
                <w:szCs w:val="18"/>
              </w:rPr>
              <w:t xml:space="preserve">Comma-separated strings
"Value A, Value B, Value C"</w:t>
            </w:r>
          </w:p>
        </w:tc>
        <w:tc>
          <w:tcPr>
            <w:tcW w:type="dxa" w:w="3080"/>
            <w:tcBorders>
              <w:top w:val="single" w:color="E0E0E0" w:sz="1"/>
              <w:left w:val="single" w:color="E0E0E0" w:sz="1"/>
              <w:bottom w:val="single" w:color="E0E0E0" w:sz="1"/>
              <w:right w:val="single" w:color="E0E0E0" w:sz="1"/>
            </w:tcBorders>
            <w:shd w:fill="F4F4F4" w:val="clear"/>
            <w:tcMar>
              <w:top w:type="dxa" w:w="80"/>
              <w:left w:type="dxa" w:w="140"/>
              <w:bottom w:type="dxa" w:w="80"/>
              <w:right w:type="dxa" w:w="140"/>
            </w:tcMar>
          </w:tcPr>
          <w:p>
            <w:r>
              <w:rPr>
                <w:rFonts w:ascii="Arial" w:cs="Arial" w:eastAsia="Arial" w:hAnsi="Arial"/>
                <w:b w:val="false"/>
                <w:bCs w:val="false"/>
                <w:color w:val="888888"/>
                <w:sz w:val="18"/>
                <w:szCs w:val="18"/>
              </w:rPr>
              <w:t xml:space="preserve">JSON arrays
["Value A", "Value B", "Value C"]</w:t>
            </w:r>
          </w:p>
        </w:tc>
        <w:tc>
          <w:tcPr>
            <w:tcW w:type="dxa" w:w="3080"/>
            <w:tcBorders>
              <w:top w:val="single" w:color="E0E0E0" w:sz="1"/>
              <w:left w:val="single" w:color="E0E0E0" w:sz="1"/>
              <w:bottom w:val="single" w:color="E0E0E0" w:sz="1"/>
              <w:right w:val="single" w:color="E0E0E0" w:sz="1"/>
            </w:tcBorders>
            <w:shd w:fill="F4F4F4" w:val="clear"/>
            <w:tcMar>
              <w:top w:type="dxa" w:w="80"/>
              <w:left w:type="dxa" w:w="140"/>
              <w:bottom w:type="dxa" w:w="80"/>
              <w:right w:type="dxa" w:w="140"/>
            </w:tcMar>
          </w:tcPr>
          <w:p>
            <w:r>
              <w:rPr>
                <w:rFonts w:ascii="Arial" w:cs="Arial" w:eastAsia="Arial" w:hAnsi="Arial"/>
                <w:b w:val="false"/>
                <w:bCs w:val="false"/>
                <w:color w:val="1E6B3C"/>
                <w:sz w:val="18"/>
                <w:szCs w:val="18"/>
              </w:rPr>
              <w:t xml:space="preserve">~30–50% per multi-value field</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Arial" w:cs="Arial" w:eastAsia="Arial" w:hAnsi="Arial"/>
                <w:b/>
                <w:bCs/>
                <w:color w:val="555555"/>
                <w:sz w:val="18"/>
                <w:szCs w:val="18"/>
              </w:rPr>
              <w:t xml:space="preserve">Pipe delimiters for compound entries
"A: x | B: y | C: z"</w:t>
            </w:r>
          </w:p>
        </w:tc>
        <w:tc>
          <w:tcPr>
            <w:tcW w:type="dxa" w:w="308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Arial" w:cs="Arial" w:eastAsia="Arial" w:hAnsi="Arial"/>
                <w:b w:val="false"/>
                <w:bCs w:val="false"/>
                <w:color w:val="888888"/>
                <w:sz w:val="18"/>
                <w:szCs w:val="18"/>
              </w:rPr>
              <w:t xml:space="preserve">Nested objects
{"A": "x", "B": "y", "C": "z"}</w:t>
            </w:r>
          </w:p>
        </w:tc>
        <w:tc>
          <w:tcPr>
            <w:tcW w:type="dxa" w:w="308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Arial" w:cs="Arial" w:eastAsia="Arial" w:hAnsi="Arial"/>
                <w:b w:val="false"/>
                <w:bCs w:val="false"/>
                <w:color w:val="1E6B3C"/>
                <w:sz w:val="18"/>
                <w:szCs w:val="18"/>
              </w:rPr>
              <w:t xml:space="preserve">~40% per compound field</w:t>
            </w:r>
          </w:p>
        </w:tc>
      </w:tr>
      <w:tr>
        <w:tc>
          <w:tcPr>
            <w:tcW w:type="dxa" w:w="3200"/>
            <w:tcBorders>
              <w:top w:val="single" w:color="E0E0E0" w:sz="1"/>
              <w:left w:val="single" w:color="E0E0E0" w:sz="1"/>
              <w:bottom w:val="single" w:color="E0E0E0" w:sz="1"/>
              <w:right w:val="single" w:color="E0E0E0" w:sz="1"/>
            </w:tcBorders>
            <w:shd w:fill="F4F4F4" w:val="clear"/>
            <w:tcMar>
              <w:top w:type="dxa" w:w="80"/>
              <w:left w:type="dxa" w:w="140"/>
              <w:bottom w:type="dxa" w:w="80"/>
              <w:right w:type="dxa" w:w="140"/>
            </w:tcMar>
          </w:tcPr>
          <w:p>
            <w:r>
              <w:rPr>
                <w:rFonts w:ascii="Arial" w:cs="Arial" w:eastAsia="Arial" w:hAnsi="Arial"/>
                <w:b/>
                <w:bCs/>
                <w:color w:val="555555"/>
                <w:sz w:val="18"/>
                <w:szCs w:val="18"/>
              </w:rPr>
              <w:t xml:space="preserve">Omit unused modules entirely</w:t>
            </w:r>
          </w:p>
        </w:tc>
        <w:tc>
          <w:tcPr>
            <w:tcW w:type="dxa" w:w="3080"/>
            <w:tcBorders>
              <w:top w:val="single" w:color="E0E0E0" w:sz="1"/>
              <w:left w:val="single" w:color="E0E0E0" w:sz="1"/>
              <w:bottom w:val="single" w:color="E0E0E0" w:sz="1"/>
              <w:right w:val="single" w:color="E0E0E0" w:sz="1"/>
            </w:tcBorders>
            <w:shd w:fill="F4F4F4" w:val="clear"/>
            <w:tcMar>
              <w:top w:type="dxa" w:w="80"/>
              <w:left w:type="dxa" w:w="140"/>
              <w:bottom w:type="dxa" w:w="80"/>
              <w:right w:type="dxa" w:w="140"/>
            </w:tcMar>
          </w:tcPr>
          <w:p>
            <w:r>
              <w:rPr>
                <w:rFonts w:ascii="Arial" w:cs="Arial" w:eastAsia="Arial" w:hAnsi="Arial"/>
                <w:b w:val="false"/>
                <w:bCs w:val="false"/>
                <w:color w:val="888888"/>
                <w:sz w:val="18"/>
                <w:szCs w:val="18"/>
              </w:rPr>
              <w:t xml:space="preserve">Include with null or placeholder values</w:t>
            </w:r>
          </w:p>
        </w:tc>
        <w:tc>
          <w:tcPr>
            <w:tcW w:type="dxa" w:w="3080"/>
            <w:tcBorders>
              <w:top w:val="single" w:color="E0E0E0" w:sz="1"/>
              <w:left w:val="single" w:color="E0E0E0" w:sz="1"/>
              <w:bottom w:val="single" w:color="E0E0E0" w:sz="1"/>
              <w:right w:val="single" w:color="E0E0E0" w:sz="1"/>
            </w:tcBorders>
            <w:shd w:fill="F4F4F4" w:val="clear"/>
            <w:tcMar>
              <w:top w:type="dxa" w:w="80"/>
              <w:left w:type="dxa" w:w="140"/>
              <w:bottom w:type="dxa" w:w="80"/>
              <w:right w:type="dxa" w:w="140"/>
            </w:tcMar>
          </w:tcPr>
          <w:p>
            <w:r>
              <w:rPr>
                <w:rFonts w:ascii="Arial" w:cs="Arial" w:eastAsia="Arial" w:hAnsi="Arial"/>
                <w:b w:val="false"/>
                <w:bCs w:val="false"/>
                <w:color w:val="1E6B3C"/>
                <w:sz w:val="18"/>
                <w:szCs w:val="18"/>
              </w:rPr>
              <w:t xml:space="preserve">Hundreds of tokens per omitted module</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Arial" w:cs="Arial" w:eastAsia="Arial" w:hAnsi="Arial"/>
                <w:b/>
                <w:bCs/>
                <w:color w:val="555555"/>
                <w:sz w:val="18"/>
                <w:szCs w:val="18"/>
              </w:rPr>
              <w:t xml:space="preserve">Atomic string values</w:t>
            </w:r>
          </w:p>
        </w:tc>
        <w:tc>
          <w:tcPr>
            <w:tcW w:type="dxa" w:w="308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Arial" w:cs="Arial" w:eastAsia="Arial" w:hAnsi="Arial"/>
                <w:b w:val="false"/>
                <w:bCs w:val="false"/>
                <w:color w:val="888888"/>
                <w:sz w:val="18"/>
                <w:szCs w:val="18"/>
              </w:rPr>
              <w:t xml:space="preserve">Nested prose objects with descriptions</w:t>
            </w:r>
          </w:p>
        </w:tc>
        <w:tc>
          <w:tcPr>
            <w:tcW w:type="dxa" w:w="308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Arial" w:cs="Arial" w:eastAsia="Arial" w:hAnsi="Arial"/>
                <w:b w:val="false"/>
                <w:bCs w:val="false"/>
                <w:color w:val="1E6B3C"/>
                <w:sz w:val="18"/>
                <w:szCs w:val="18"/>
              </w:rPr>
              <w:t xml:space="preserve">60–80% per field</w:t>
            </w:r>
          </w:p>
        </w:tc>
      </w:tr>
      <w:tr>
        <w:tc>
          <w:tcPr>
            <w:tcW w:type="dxa" w:w="3200"/>
            <w:tcBorders>
              <w:top w:val="single" w:color="E0E0E0" w:sz="1"/>
              <w:left w:val="single" w:color="E0E0E0" w:sz="1"/>
              <w:bottom w:val="single" w:color="E0E0E0" w:sz="1"/>
              <w:right w:val="single" w:color="E0E0E0" w:sz="1"/>
            </w:tcBorders>
            <w:shd w:fill="F4F4F4" w:val="clear"/>
            <w:tcMar>
              <w:top w:type="dxa" w:w="80"/>
              <w:left w:type="dxa" w:w="140"/>
              <w:bottom w:type="dxa" w:w="80"/>
              <w:right w:type="dxa" w:w="140"/>
            </w:tcMar>
          </w:tcPr>
          <w:p>
            <w:r>
              <w:rPr>
                <w:rFonts w:ascii="Arial" w:cs="Arial" w:eastAsia="Arial" w:hAnsi="Arial"/>
                <w:b/>
                <w:bCs/>
                <w:color w:val="555555"/>
                <w:sz w:val="18"/>
                <w:szCs w:val="18"/>
              </w:rPr>
              <w:t xml:space="preserve">One instruction key per file</w:t>
            </w:r>
          </w:p>
        </w:tc>
        <w:tc>
          <w:tcPr>
            <w:tcW w:type="dxa" w:w="3080"/>
            <w:tcBorders>
              <w:top w:val="single" w:color="E0E0E0" w:sz="1"/>
              <w:left w:val="single" w:color="E0E0E0" w:sz="1"/>
              <w:bottom w:val="single" w:color="E0E0E0" w:sz="1"/>
              <w:right w:val="single" w:color="E0E0E0" w:sz="1"/>
            </w:tcBorders>
            <w:shd w:fill="F4F4F4" w:val="clear"/>
            <w:tcMar>
              <w:top w:type="dxa" w:w="80"/>
              <w:left w:type="dxa" w:w="140"/>
              <w:bottom w:type="dxa" w:w="80"/>
              <w:right w:type="dxa" w:w="140"/>
            </w:tcMar>
          </w:tcPr>
          <w:p>
            <w:r>
              <w:rPr>
                <w:rFonts w:ascii="Arial" w:cs="Arial" w:eastAsia="Arial" w:hAnsi="Arial"/>
                <w:b w:val="false"/>
                <w:bCs w:val="false"/>
                <w:color w:val="888888"/>
                <w:sz w:val="18"/>
                <w:szCs w:val="18"/>
              </w:rPr>
              <w:t xml:space="preserve">Re-explaining context in each conversation</w:t>
            </w:r>
          </w:p>
        </w:tc>
        <w:tc>
          <w:tcPr>
            <w:tcW w:type="dxa" w:w="3080"/>
            <w:tcBorders>
              <w:top w:val="single" w:color="E0E0E0" w:sz="1"/>
              <w:left w:val="single" w:color="E0E0E0" w:sz="1"/>
              <w:bottom w:val="single" w:color="E0E0E0" w:sz="1"/>
              <w:right w:val="single" w:color="E0E0E0" w:sz="1"/>
            </w:tcBorders>
            <w:shd w:fill="F4F4F4" w:val="clear"/>
            <w:tcMar>
              <w:top w:type="dxa" w:w="80"/>
              <w:left w:type="dxa" w:w="140"/>
              <w:bottom w:type="dxa" w:w="80"/>
              <w:right w:type="dxa" w:w="140"/>
            </w:tcMar>
          </w:tcPr>
          <w:p>
            <w:r>
              <w:rPr>
                <w:rFonts w:ascii="Arial" w:cs="Arial" w:eastAsia="Arial" w:hAnsi="Arial"/>
                <w:b w:val="false"/>
                <w:bCs w:val="false"/>
                <w:color w:val="1E6B3C"/>
                <w:sz w:val="18"/>
                <w:szCs w:val="18"/>
              </w:rPr>
              <w:t xml:space="preserve">500–2,000 tokens per session</w:t>
            </w:r>
          </w:p>
        </w:tc>
      </w:tr>
    </w:tbl>
    <w:p>
      <w:pPr>
        <w:spacing w:before="480" w:after="60"/>
      </w:pPr>
      <w:r>
        <w:rPr>
          <w:rFonts w:ascii="Arial" w:cs="Arial" w:eastAsia="Arial" w:hAnsi="Arial"/>
          <w:b/>
          <w:bCs/>
          <w:color w:val="1B4F8A"/>
          <w:spacing w:val="50"/>
          <w:sz w:val="16"/>
          <w:szCs w:val="16"/>
        </w:rPr>
        <w:t xml:space="preserve">SECTION 10</w:t>
      </w:r>
    </w:p>
    <w:p>
      <w:pPr>
        <w:pStyle w:val="Heading1"/>
      </w:pPr>
      <w:r>
        <w:rPr>
          <w:rFonts w:ascii="Arial" w:cs="Arial" w:eastAsia="Arial" w:hAnsi="Arial"/>
        </w:rPr>
        <w:t xml:space="preserve">Versioning and Extensibility</w:t>
      </w:r>
    </w:p>
    <w:p>
      <w:pPr>
        <w:pStyle w:val="Heading2"/>
      </w:pPr>
      <w:r>
        <w:rPr>
          <w:rFonts w:ascii="Arial" w:cs="Arial" w:eastAsia="Arial" w:hAnsi="Arial"/>
        </w:rPr>
        <w:t xml:space="preserve">10.1  Version policy</w:t>
      </w:r>
    </w:p>
    <w:p>
      <w:pPr>
        <w:spacing w:before="0" w:after="180"/>
        <w:jc w:val="left"/>
      </w:pPr>
      <w:r>
        <w:rPr>
          <w:rFonts w:ascii="Arial" w:cs="Arial" w:eastAsia="Arial" w:hAnsi="Arial"/>
          <w:b w:val="false"/>
          <w:bCs w:val="false"/>
          <w:i w:val="false"/>
          <w:iCs w:val="false"/>
          <w:color w:val="555555"/>
          <w:sz w:val="22"/>
          <w:szCs w:val="22"/>
        </w:rPr>
        <w:t xml:space="preserve">The </w:t>
      </w:r>
      <w:r>
        <w:rPr>
          <w:rFonts w:ascii="Courier New" w:cs="Courier New" w:eastAsia="Courier New" w:hAnsi="Courier New"/>
          <w:b w:val="false"/>
          <w:bCs w:val="false"/>
          <w:color w:val="1B4F8A"/>
          <w:sz w:val="20"/>
          <w:szCs w:val="20"/>
        </w:rPr>
        <w:t xml:space="preserve">_meta.version</w:t>
      </w:r>
      <w:r>
        <w:rPr>
          <w:rFonts w:ascii="Arial" w:cs="Arial" w:eastAsia="Arial" w:hAnsi="Arial"/>
          <w:b w:val="false"/>
          <w:bCs w:val="false"/>
          <w:i w:val="false"/>
          <w:iCs w:val="false"/>
          <w:color w:val="555555"/>
          <w:sz w:val="22"/>
          <w:szCs w:val="22"/>
        </w:rPr>
        <w:t xml:space="preserve"> field records the specification version the file conforms to. ECD uses semantic versioning. Breaking changes — renamed required fields, structural changes to the core block — increment the major version. Additive changes — new optional fields or extended modules — increment the minor version. Files conforming to an older version remain valid and interpretable.</w:t>
      </w:r>
    </w:p>
    <w:p>
      <w:pPr>
        <w:pStyle w:val="Heading2"/>
      </w:pPr>
      <w:r>
        <w:rPr>
          <w:rFonts w:ascii="Arial" w:cs="Arial" w:eastAsia="Arial" w:hAnsi="Arial"/>
        </w:rPr>
        <w:t xml:space="preserve">10.2  Custom fields</w:t>
      </w:r>
    </w:p>
    <w:p>
      <w:pPr>
        <w:spacing w:before="0" w:after="180"/>
        <w:jc w:val="left"/>
      </w:pPr>
      <w:r>
        <w:rPr>
          <w:rFonts w:ascii="Arial" w:cs="Arial" w:eastAsia="Arial" w:hAnsi="Arial"/>
          <w:b w:val="false"/>
          <w:bCs w:val="false"/>
          <w:i w:val="false"/>
          <w:iCs w:val="false"/>
          <w:color w:val="555555"/>
          <w:sz w:val="22"/>
          <w:szCs w:val="22"/>
        </w:rPr>
        <w:t xml:space="preserve">Custom fields may be added to any extended module or to the </w:t>
      </w:r>
      <w:r>
        <w:rPr>
          <w:rFonts w:ascii="Courier New" w:cs="Courier New" w:eastAsia="Courier New" w:hAnsi="Courier New"/>
          <w:b w:val="false"/>
          <w:bCs w:val="false"/>
          <w:color w:val="1B4F8A"/>
          <w:sz w:val="20"/>
          <w:szCs w:val="20"/>
        </w:rPr>
        <w:t xml:space="preserve">other</w:t>
      </w:r>
      <w:r>
        <w:rPr>
          <w:rFonts w:ascii="Arial" w:cs="Arial" w:eastAsia="Arial" w:hAnsi="Arial"/>
          <w:b w:val="false"/>
          <w:bCs w:val="false"/>
          <w:i w:val="false"/>
          <w:iCs w:val="false"/>
          <w:color w:val="555555"/>
          <w:sz w:val="22"/>
          <w:szCs w:val="22"/>
        </w:rPr>
        <w:t xml:space="preserve"> module using the </w:t>
      </w:r>
      <w:r>
        <w:rPr>
          <w:rFonts w:ascii="Courier New" w:cs="Courier New" w:eastAsia="Courier New" w:hAnsi="Courier New"/>
          <w:b w:val="false"/>
          <w:bCs w:val="false"/>
          <w:color w:val="1B4F8A"/>
          <w:sz w:val="20"/>
          <w:szCs w:val="20"/>
        </w:rPr>
        <w:t xml:space="preserve">x_[namespace]_[fieldname]</w:t>
      </w:r>
      <w:r>
        <w:rPr>
          <w:rFonts w:ascii="Arial" w:cs="Arial" w:eastAsia="Arial" w:hAnsi="Arial"/>
          <w:b w:val="false"/>
          <w:bCs w:val="false"/>
          <w:i w:val="false"/>
          <w:iCs w:val="false"/>
          <w:color w:val="555555"/>
          <w:sz w:val="22"/>
          <w:szCs w:val="22"/>
        </w:rPr>
        <w:t xml:space="preserve"> convention:</w:t>
      </w:r>
    </w:p>
    <w:p>
      <w:pPr>
        <w:spacing w:before="80" w:after="0"/>
      </w:pPr>
    </w:p>
    <w:p>
      <w:pPr>
        <w:pBdr>
          <w:top w:val="single" w:color="CCCCCC" w:sz="2"/>
          <w:bottom w:val="none" w:color="FFFFFF" w:sz="0"/>
          <w:left w:val="single" w:color="CCCCCC" w:sz="2"/>
          <w:right w:val="single" w:color="CCCCCC" w:sz="2"/>
        </w:pBdr>
        <w:shd w:fill="F6F6F6" w:val="clear"/>
        <w:spacing w:before="100" w:after="0"/>
        <w:ind w:left="360"/>
      </w:pPr>
      <w:r>
        <w:rPr>
          <w:rFonts w:ascii="Courier New" w:cs="Courier New" w:eastAsia="Courier New" w:hAnsi="Courier New"/>
          <w:color w:val="2C2C2C"/>
          <w:sz w:val="18"/>
          <w:szCs w:val="18"/>
        </w:rPr>
        <w:t xml:space="preserve">"extended": {</w:t>
      </w:r>
    </w:p>
    <w:p>
      <w:pPr>
        <w:pBdr>
          <w:top w:val="none" w:color="FFFFFF" w:sz="0"/>
          <w:left w:val="single" w:color="CCCCCC" w:sz="2"/>
          <w:right w:val="single" w:color="CCCCCC" w:sz="2"/>
        </w:pBdr>
        <w:shd w:fill="F6F6F6" w:val="clear"/>
        <w:spacing w:before="0" w:after="0"/>
        <w:ind w:left="360"/>
      </w:pPr>
      <w:r>
        <w:rPr>
          <w:rFonts w:ascii="Courier New" w:cs="Courier New" w:eastAsia="Courier New" w:hAnsi="Courier New"/>
          <w:color w:val="2C2C2C"/>
          <w:sz w:val="18"/>
          <w:szCs w:val="18"/>
        </w:rPr>
        <w:t xml:space="preserve">  "x_acme_internal_id": "EMP-2024-0047",</w:t>
      </w:r>
    </w:p>
    <w:p>
      <w:pPr>
        <w:pBdr>
          <w:top w:val="none" w:color="FFFFFF" w:sz="0"/>
          <w:left w:val="single" w:color="CCCCCC" w:sz="2"/>
          <w:right w:val="single" w:color="CCCCCC" w:sz="2"/>
        </w:pBdr>
        <w:shd w:fill="F6F6F6" w:val="clear"/>
        <w:spacing w:before="0" w:after="0"/>
        <w:ind w:left="360"/>
      </w:pPr>
      <w:r>
        <w:rPr>
          <w:rFonts w:ascii="Courier New" w:cs="Courier New" w:eastAsia="Courier New" w:hAnsi="Courier New"/>
          <w:color w:val="2C2C2C"/>
          <w:sz w:val="18"/>
          <w:szCs w:val="18"/>
        </w:rPr>
        <w:t xml:space="preserve">  "x_acme_clearance_level": "Level 3",</w:t>
      </w:r>
    </w:p>
    <w:p>
      <w:pPr>
        <w:pBdr>
          <w:top w:val="none" w:color="FFFFFF" w:sz="0"/>
          <w:left w:val="single" w:color="CCCCCC" w:sz="2"/>
          <w:right w:val="single" w:color="CCCCCC" w:sz="2"/>
        </w:pBdr>
        <w:shd w:fill="F6F6F6" w:val="clear"/>
        <w:spacing w:before="0" w:after="0"/>
        <w:ind w:left="360"/>
      </w:pPr>
      <w:r>
        <w:rPr>
          <w:rFonts w:ascii="Courier New" w:cs="Courier New" w:eastAsia="Courier New" w:hAnsi="Courier New"/>
          <w:color w:val="2C2C2C"/>
          <w:sz w:val="18"/>
          <w:szCs w:val="18"/>
        </w:rPr>
        <w:t xml:space="preserve">  "x_acme_assigned_region": "Central"</w:t>
      </w:r>
    </w:p>
    <w:p>
      <w:pPr>
        <w:pBdr>
          <w:top w:val="none" w:color="FFFFFF" w:sz="0"/>
          <w:bottom w:val="single" w:color="CCCCCC" w:sz="2"/>
          <w:left w:val="single" w:color="CCCCCC" w:sz="2"/>
          <w:right w:val="single" w:color="CCCCCC" w:sz="2"/>
        </w:pBdr>
        <w:shd w:fill="F6F6F6" w:val="clear"/>
        <w:spacing w:before="0" w:after="100"/>
        <w:ind w:left="360"/>
      </w:pPr>
      <w:r>
        <w:rPr>
          <w:rFonts w:ascii="Courier New" w:cs="Courier New" w:eastAsia="Courier New" w:hAnsi="Courier New"/>
          <w:color w:val="2C2C2C"/>
          <w:sz w:val="18"/>
          <w:szCs w:val="18"/>
        </w:rPr>
        <w:t xml:space="preserve">}</w:t>
      </w:r>
    </w:p>
    <w:p>
      <w:pPr>
        <w:spacing w:before="160" w:after="0"/>
      </w:pPr>
    </w:p>
    <w:p>
      <w:pPr>
        <w:spacing w:before="0" w:after="180"/>
        <w:jc w:val="left"/>
      </w:pPr>
      <w:r>
        <w:rPr>
          <w:rFonts w:ascii="Arial" w:cs="Arial" w:eastAsia="Arial" w:hAnsi="Arial"/>
          <w:b w:val="false"/>
          <w:bCs w:val="false"/>
          <w:i w:val="false"/>
          <w:iCs w:val="false"/>
          <w:color w:val="555555"/>
          <w:sz w:val="22"/>
          <w:szCs w:val="22"/>
        </w:rPr>
        <w:t xml:space="preserve">Custom fields are passed to the model as context. Use them sparingly — every custom field consumes tokens and dilutes the grounding signal of standardized fields. A custom field should only be added if its absence creates a meaningful hallucination risk that the standard fields do not address.</w:t>
      </w:r>
    </w:p>
    <w:p>
      <w:pPr>
        <w:pStyle w:val="Heading2"/>
      </w:pPr>
      <w:r>
        <w:rPr>
          <w:rFonts w:ascii="Arial" w:cs="Arial" w:eastAsia="Arial" w:hAnsi="Arial"/>
        </w:rPr>
        <w:t xml:space="preserve">10.3  Relationship to AI-OCO</w:t>
      </w:r>
    </w:p>
    <w:p>
      <w:pPr>
        <w:spacing w:before="0" w:after="180"/>
        <w:jc w:val="left"/>
      </w:pPr>
      <w:r>
        <w:rPr>
          <w:rFonts w:ascii="Arial" w:cs="Arial" w:eastAsia="Arial" w:hAnsi="Arial"/>
          <w:b w:val="false"/>
          <w:bCs w:val="false"/>
          <w:i w:val="false"/>
          <w:iCs w:val="false"/>
          <w:color w:val="555555"/>
          <w:sz w:val="22"/>
          <w:szCs w:val="22"/>
        </w:rPr>
        <w:t xml:space="preserve">ECD supersedes the AI Organizational Context Object (AI-OCO) standard. AI-OCO was scoped to organizational entities only. AI-GECO is the universal successor — it covers all entity types, including organizations, through the organization extended module. Existing AI-OCO files may be migrated to ECD by mapping AI-OCO fields to ECD core and organization extended module fields.</w:t>
      </w:r>
    </w:p>
    <w:p>
      <w:pPr>
        <w:spacing w:before="480" w:after="60"/>
      </w:pPr>
      <w:r>
        <w:rPr>
          <w:rFonts w:ascii="Arial" w:cs="Arial" w:eastAsia="Arial" w:hAnsi="Arial"/>
          <w:b/>
          <w:bCs/>
          <w:color w:val="1B4F8A"/>
          <w:spacing w:val="50"/>
          <w:sz w:val="16"/>
          <w:szCs w:val="16"/>
        </w:rPr>
        <w:t xml:space="preserve">APPENDIX A</w:t>
      </w:r>
    </w:p>
    <w:p>
      <w:pPr>
        <w:pStyle w:val="Heading1"/>
      </w:pPr>
      <w:r>
        <w:rPr>
          <w:rFonts w:ascii="Arial" w:cs="Arial" w:eastAsia="Arial" w:hAnsi="Arial"/>
        </w:rPr>
        <w:t xml:space="preserve">Blank Schema</w:t>
      </w:r>
    </w:p>
    <w:p>
      <w:pPr>
        <w:spacing w:before="0" w:after="180"/>
        <w:jc w:val="left"/>
      </w:pPr>
      <w:r>
        <w:rPr>
          <w:rFonts w:ascii="Arial" w:cs="Arial" w:eastAsia="Arial" w:hAnsi="Arial"/>
          <w:b w:val="false"/>
          <w:bCs w:val="false"/>
          <w:i w:val="false"/>
          <w:iCs w:val="false"/>
          <w:color w:val="555555"/>
          <w:sz w:val="22"/>
          <w:szCs w:val="22"/>
        </w:rPr>
        <w:t xml:space="preserve">The canonical blank ECD schema is maintained in ai-geco_schema_v1.json, distributed alongside this specification. Populate this file to create an AI-GECO instance for any entity type.</w:t>
      </w:r>
    </w:p>
    <w:p>
      <w:pPr>
        <w:spacing w:before="480" w:after="60"/>
      </w:pPr>
      <w:r>
        <w:rPr>
          <w:rFonts w:ascii="Arial" w:cs="Arial" w:eastAsia="Arial" w:hAnsi="Arial"/>
          <w:b/>
          <w:bCs/>
          <w:color w:val="1B4F8A"/>
          <w:spacing w:val="50"/>
          <w:sz w:val="16"/>
          <w:szCs w:val="16"/>
        </w:rPr>
        <w:t xml:space="preserve">APPENDIX B</w:t>
      </w:r>
    </w:p>
    <w:p>
      <w:pPr>
        <w:pStyle w:val="Heading1"/>
      </w:pPr>
      <w:r>
        <w:rPr>
          <w:rFonts w:ascii="Arial" w:cs="Arial" w:eastAsia="Arial" w:hAnsi="Arial"/>
        </w:rPr>
        <w:t xml:space="preserve">Example Instances</w:t>
      </w:r>
    </w:p>
    <w:p>
      <w:pPr>
        <w:spacing w:before="0" w:after="180"/>
        <w:jc w:val="left"/>
      </w:pPr>
      <w:r>
        <w:rPr>
          <w:rFonts w:ascii="Arial" w:cs="Arial" w:eastAsia="Arial" w:hAnsi="Arial"/>
          <w:b w:val="false"/>
          <w:bCs w:val="false"/>
          <w:i w:val="false"/>
          <w:iCs w:val="false"/>
          <w:color w:val="555555"/>
          <w:sz w:val="22"/>
          <w:szCs w:val="22"/>
        </w:rPr>
        <w:t xml:space="preserve">Four fully populated example instances are provided in ai-geco_examples_v1.json, distributed alongside this specification. The examples demonstrate all four primary entity types:</w:t>
      </w:r>
    </w:p>
    <w:p>
      <w:pPr>
        <w:spacing w:before="60" w:after="0"/>
      </w:pPr>
    </w:p>
    <w:p>
      <w:pPr>
        <w:pStyle w:val="ListParagraph"/>
        <w:numPr>
          <w:ilvl w:val="0"/>
          <w:numId w:val="2"/>
        </w:numPr>
        <w:spacing w:before="40" w:after="60"/>
      </w:pPr>
      <w:r>
        <w:rPr>
          <w:rFonts w:ascii="Arial" w:cs="Arial" w:eastAsia="Arial" w:hAnsi="Arial"/>
          <w:b/>
          <w:bCs/>
          <w:i w:val="false"/>
          <w:iCs w:val="false"/>
          <w:color w:val="555555"/>
          <w:sz w:val="22"/>
          <w:szCs w:val="22"/>
        </w:rPr>
        <w:t xml:space="preserve">Marcus Delray</w:t>
      </w:r>
      <w:r>
        <w:rPr>
          <w:rFonts w:ascii="Arial" w:cs="Arial" w:eastAsia="Arial" w:hAnsi="Arial"/>
          <w:b w:val="false"/>
          <w:bCs w:val="false"/>
          <w:i w:val="false"/>
          <w:iCs w:val="false"/>
          <w:color w:val="555555"/>
          <w:sz w:val="22"/>
          <w:szCs w:val="22"/>
        </w:rPr>
        <w:t xml:space="preserve"> — person (management consultant)</w:t>
      </w:r>
    </w:p>
    <w:p>
      <w:pPr>
        <w:pStyle w:val="ListParagraph"/>
        <w:numPr>
          <w:ilvl w:val="0"/>
          <w:numId w:val="2"/>
        </w:numPr>
        <w:spacing w:before="40" w:after="60"/>
      </w:pPr>
      <w:r>
        <w:rPr>
          <w:rFonts w:ascii="Arial" w:cs="Arial" w:eastAsia="Arial" w:hAnsi="Arial"/>
          <w:b/>
          <w:bCs/>
          <w:i w:val="false"/>
          <w:iCs w:val="false"/>
          <w:color w:val="555555"/>
          <w:sz w:val="22"/>
          <w:szCs w:val="22"/>
        </w:rPr>
        <w:t xml:space="preserve">Biscuit</w:t>
      </w:r>
      <w:r>
        <w:rPr>
          <w:rFonts w:ascii="Arial" w:cs="Arial" w:eastAsia="Arial" w:hAnsi="Arial"/>
          <w:b w:val="false"/>
          <w:bCs w:val="false"/>
          <w:i w:val="false"/>
          <w:iCs w:val="false"/>
          <w:color w:val="555555"/>
          <w:sz w:val="22"/>
          <w:szCs w:val="22"/>
        </w:rPr>
        <w:t xml:space="preserve"> — animal (therapy dog)</w:t>
      </w:r>
    </w:p>
    <w:p>
      <w:pPr>
        <w:pStyle w:val="ListParagraph"/>
        <w:numPr>
          <w:ilvl w:val="0"/>
          <w:numId w:val="2"/>
        </w:numPr>
        <w:spacing w:before="40" w:after="60"/>
      </w:pPr>
      <w:r>
        <w:rPr>
          <w:rFonts w:ascii="Arial" w:cs="Arial" w:eastAsia="Arial" w:hAnsi="Arial"/>
          <w:b/>
          <w:bCs/>
          <w:i w:val="false"/>
          <w:iCs w:val="false"/>
          <w:color w:val="555555"/>
          <w:sz w:val="22"/>
          <w:szCs w:val="22"/>
        </w:rPr>
        <w:t xml:space="preserve">Muir Glen Organic Diced Tomatoes</w:t>
      </w:r>
      <w:r>
        <w:rPr>
          <w:rFonts w:ascii="Arial" w:cs="Arial" w:eastAsia="Arial" w:hAnsi="Arial"/>
          <w:b w:val="false"/>
          <w:bCs w:val="false"/>
          <w:i w:val="false"/>
          <w:iCs w:val="false"/>
          <w:color w:val="555555"/>
          <w:sz w:val="22"/>
          <w:szCs w:val="22"/>
        </w:rPr>
        <w:t xml:space="preserve"> — product (canned food)</w:t>
      </w:r>
    </w:p>
    <w:p>
      <w:pPr>
        <w:pStyle w:val="ListParagraph"/>
        <w:numPr>
          <w:ilvl w:val="0"/>
          <w:numId w:val="2"/>
        </w:numPr>
        <w:spacing w:before="40" w:after="60"/>
      </w:pPr>
      <w:r>
        <w:rPr>
          <w:rFonts w:ascii="Arial" w:cs="Arial" w:eastAsia="Arial" w:hAnsi="Arial"/>
          <w:b/>
          <w:bCs/>
          <w:i w:val="false"/>
          <w:iCs w:val="false"/>
          <w:color w:val="555555"/>
          <w:sz w:val="22"/>
          <w:szCs w:val="22"/>
        </w:rPr>
        <w:t xml:space="preserve">Halcyon Bridge</w:t>
      </w:r>
      <w:r>
        <w:rPr>
          <w:rFonts w:ascii="Arial" w:cs="Arial" w:eastAsia="Arial" w:hAnsi="Arial"/>
          <w:b w:val="false"/>
          <w:bCs w:val="false"/>
          <w:i w:val="false"/>
          <w:iCs w:val="false"/>
          <w:color w:val="555555"/>
          <w:sz w:val="22"/>
          <w:szCs w:val="22"/>
        </w:rPr>
        <w:t xml:space="preserve"> — organization (B2B SaaS company)</w:t>
      </w:r>
    </w:p>
    <w:p>
      <w:pPr>
        <w:spacing w:before="480" w:after="60"/>
      </w:pPr>
      <w:r>
        <w:rPr>
          <w:rFonts w:ascii="Arial" w:cs="Arial" w:eastAsia="Arial" w:hAnsi="Arial"/>
          <w:b/>
          <w:bCs/>
          <w:color w:val="1B4F8A"/>
          <w:spacing w:val="50"/>
          <w:sz w:val="16"/>
          <w:szCs w:val="16"/>
        </w:rPr>
        <w:t xml:space="preserve">APPENDIX C</w:t>
      </w:r>
    </w:p>
    <w:p>
      <w:pPr>
        <w:pStyle w:val="Heading1"/>
      </w:pPr>
      <w:r>
        <w:rPr>
          <w:rFonts w:ascii="Arial" w:cs="Arial" w:eastAsia="Arial" w:hAnsi="Arial"/>
        </w:rPr>
        <w:t xml:space="preserve">Changelog</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560"/>
      </w:tblGrid>
      <w:tr>
        <w:trPr>
          <w:tblHeader/>
        </w:trPr>
        <w:tc>
          <w:tcPr>
            <w:tcW w:type="dxa" w:w="1200"/>
            <w:tcBorders>
              <w:top w:val="single" w:color="1B4F8A" w:sz="1"/>
              <w:left w:val="single" w:color="1B4F8A" w:sz="1"/>
              <w:bottom w:val="single" w:color="1B4F8A" w:sz="1"/>
              <w:right w:val="single" w:color="1B4F8A" w:sz="1"/>
            </w:tcBorders>
            <w:shd w:fill="1B4F8A" w:val="clear"/>
            <w:tcMar>
              <w:top w:type="dxa" w:w="80"/>
              <w:left w:type="dxa" w:w="140"/>
              <w:bottom w:type="dxa" w:w="80"/>
              <w:right w:type="dxa" w:w="140"/>
            </w:tcMar>
          </w:tcPr>
          <w:p>
            <w:r>
              <w:rPr>
                <w:rFonts w:ascii="Arial" w:cs="Arial" w:eastAsia="Arial" w:hAnsi="Arial"/>
                <w:b/>
                <w:bCs/>
                <w:color w:val="FFFFFF"/>
                <w:sz w:val="19"/>
                <w:szCs w:val="19"/>
              </w:rPr>
              <w:t xml:space="preserve">Version</w:t>
            </w:r>
          </w:p>
        </w:tc>
        <w:tc>
          <w:tcPr>
            <w:tcW w:type="dxa" w:w="1600"/>
            <w:tcBorders>
              <w:top w:val="single" w:color="1B4F8A" w:sz="1"/>
              <w:left w:val="single" w:color="1B4F8A" w:sz="1"/>
              <w:bottom w:val="single" w:color="1B4F8A" w:sz="1"/>
              <w:right w:val="single" w:color="1B4F8A" w:sz="1"/>
            </w:tcBorders>
            <w:shd w:fill="1B4F8A" w:val="clear"/>
            <w:tcMar>
              <w:top w:type="dxa" w:w="80"/>
              <w:left w:type="dxa" w:w="140"/>
              <w:bottom w:type="dxa" w:w="80"/>
              <w:right w:type="dxa" w:w="140"/>
            </w:tcMar>
          </w:tcPr>
          <w:p>
            <w:r>
              <w:rPr>
                <w:rFonts w:ascii="Arial" w:cs="Arial" w:eastAsia="Arial" w:hAnsi="Arial"/>
                <w:b/>
                <w:bCs/>
                <w:color w:val="FFFFFF"/>
                <w:sz w:val="19"/>
                <w:szCs w:val="19"/>
              </w:rPr>
              <w:t xml:space="preserve">Date</w:t>
            </w:r>
          </w:p>
        </w:tc>
        <w:tc>
          <w:tcPr>
            <w:tcW w:type="dxa" w:w="6560"/>
            <w:tcBorders>
              <w:top w:val="single" w:color="1B4F8A" w:sz="1"/>
              <w:left w:val="single" w:color="1B4F8A" w:sz="1"/>
              <w:bottom w:val="single" w:color="1B4F8A" w:sz="1"/>
              <w:right w:val="single" w:color="1B4F8A" w:sz="1"/>
            </w:tcBorders>
            <w:shd w:fill="1B4F8A" w:val="clear"/>
            <w:tcMar>
              <w:top w:type="dxa" w:w="80"/>
              <w:left w:type="dxa" w:w="140"/>
              <w:bottom w:type="dxa" w:w="80"/>
              <w:right w:type="dxa" w:w="140"/>
            </w:tcMar>
          </w:tcPr>
          <w:p>
            <w:r>
              <w:rPr>
                <w:rFonts w:ascii="Arial" w:cs="Arial" w:eastAsia="Arial" w:hAnsi="Arial"/>
                <w:b/>
                <w:bCs/>
                <w:color w:val="FFFFFF"/>
                <w:sz w:val="19"/>
                <w:szCs w:val="19"/>
              </w:rPr>
              <w:t xml:space="preserve">Notes</w:t>
            </w:r>
          </w:p>
        </w:tc>
      </w:tr>
      <w:tr>
        <w:tc>
          <w:tcPr>
            <w:tcW w:type="dxa" w:w="12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Courier New" w:cs="Courier New" w:eastAsia="Courier New" w:hAnsi="Courier New"/>
                <w:b w:val="false"/>
                <w:bCs w:val="false"/>
                <w:color w:val="1B4F8A"/>
                <w:sz w:val="18"/>
                <w:szCs w:val="18"/>
              </w:rPr>
              <w:t xml:space="preserve">1.0</w:t>
            </w:r>
          </w:p>
        </w:tc>
        <w:tc>
          <w:tcPr>
            <w:tcW w:type="dxa" w:w="16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Arial" w:cs="Arial" w:eastAsia="Arial" w:hAnsi="Arial"/>
                <w:b w:val="false"/>
                <w:bCs w:val="false"/>
                <w:color w:val="555555"/>
                <w:sz w:val="18"/>
                <w:szCs w:val="18"/>
              </w:rPr>
              <w:t xml:space="preserve">2026-03-23</w:t>
            </w:r>
          </w:p>
        </w:tc>
        <w:tc>
          <w:tcPr>
            <w:tcW w:type="dxa" w:w="65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Arial" w:cs="Arial" w:eastAsia="Arial" w:hAnsi="Arial"/>
                <w:b w:val="false"/>
                <w:bCs w:val="false"/>
                <w:color w:val="555555"/>
                <w:sz w:val="19"/>
                <w:szCs w:val="19"/>
              </w:rPr>
              <w:t xml:space="preserve">Initial specification. Universal entity scope across seven entity types. Supersedes AI-OCO.</w:t>
            </w:r>
          </w:p>
        </w:tc>
      </w:tr>
    </w:tbl>
    <w:p>
      <w:pPr>
        <w:spacing w:before="480" w:after="0"/>
      </w:pPr>
    </w:p>
    <w:p>
      <w:pPr>
        <w:spacing w:before="0" w:after="0"/>
        <w:jc w:val="center"/>
      </w:pPr>
      <w:r>
        <w:rPr>
          <w:rFonts w:ascii="Arial" w:cs="Arial" w:eastAsia="Arial" w:hAnsi="Arial"/>
          <w:i/>
          <w:iCs/>
          <w:color w:val="888888"/>
          <w:sz w:val="19"/>
          <w:szCs w:val="19"/>
        </w:rPr>
        <w:t xml:space="preserve">— End of Specification —</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2" w:space="1"/>
      </w:pBdr>
      <w:tabs>
        <w:tab w:val="right" w:pos="9026"/>
      </w:tabs>
      <w:spacing w:before="100" w:after="0"/>
    </w:pPr>
    <w:r>
      <w:rPr>
        <w:rFonts w:ascii="Arial" w:cs="Arial" w:eastAsia="Arial" w:hAnsi="Arial"/>
        <w:color w:val="888888"/>
        <w:sz w:val="17"/>
        <w:szCs w:val="17"/>
      </w:rPr>
      <w:t xml:space="preserve">Draft · For review and comment</w:t>
    </w:r>
    <w:r>
      <w:rPr>
        <w:rFonts w:ascii="Arial" w:cs="Arial" w:eastAsia="Arial" w:hAnsi="Arial"/>
        <w:color w:val="888888"/>
        <w:sz w:val="17"/>
        <w:szCs w:val="17"/>
      </w:rPr>
      <w:t xml:space="preserve">	</w:t>
    </w:r>
    <w:r>
      <w:rPr>
        <w:rFonts w:ascii="Arial" w:cs="Arial" w:eastAsia="Arial" w:hAnsi="Arial"/>
        <w:color w:val="888888"/>
        <w:sz w:val="17"/>
        <w:szCs w:val="17"/>
      </w:rPr>
      <w:fldChar w:fldCharType="begin"/>
      <w:instrText xml:space="preserve">PAGE</w:instrText>
      <w:fldChar w:fldCharType="separate"/>
      <w:fldChar w:fldCharType="end"/>
    </w:r>
    <w:r>
      <w:rPr>
        <w:rFonts w:ascii="Arial" w:cs="Arial" w:eastAsia="Arial" w:hAnsi="Arial"/>
        <w:color w:val="888888"/>
        <w:sz w:val="17"/>
        <w:szCs w:val="17"/>
      </w:rPr>
      <w:t xml:space="preserve"> / </w:t>
    </w:r>
    <w:r>
      <w:rPr>
        <w:rFonts w:ascii="Arial" w:cs="Arial" w:eastAsia="Arial" w:hAnsi="Arial"/>
        <w:color w:val="888888"/>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D4EE" w:sz="4" w:space="1"/>
      </w:pBdr>
      <w:tabs>
        <w:tab w:val="right" w:pos="9026"/>
      </w:tabs>
      <w:spacing w:before="0" w:after="120"/>
    </w:pPr>
    <w:r>
      <w:rPr>
        <w:rFonts w:ascii="Arial" w:cs="Arial" w:eastAsia="Arial" w:hAnsi="Arial"/>
        <w:b/>
        <w:bCs/>
        <w:color w:val="1B4F8A"/>
        <w:sz w:val="18"/>
        <w:szCs w:val="18"/>
      </w:rPr>
      <w:t xml:space="preserve">AI-GECO</w:t>
    </w:r>
    <w:r>
      <w:rPr>
        <w:rFonts w:ascii="Arial" w:cs="Arial" w:eastAsia="Arial" w:hAnsi="Arial"/>
        <w:color w:val="888888"/>
        <w:sz w:val="18"/>
        <w:szCs w:val="18"/>
      </w:rPr>
      <w:t xml:space="preserve">	Grounded Entity Context Object  ·  Specification v1.0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rPr>
        <w:rFonts w:ascii="Arial" w:cs="Arial" w:eastAsia="Arial" w:hAnsi="Arial"/>
        <w:color w:val="1B4F8A"/>
      </w:rPr>
    </w:lvl>
    <w:lvl w:ilvl="1" w15:tentative="1">
      <w:start w:val="1"/>
      <w:numFmt w:val="bullet"/>
      <w:lvlText w:val="·"/>
      <w:lvlJc w:val="left"/>
      <w:pPr>
        <w:ind w:left="840" w:hanging="280"/>
      </w:pPr>
      <w:rPr>
        <w:rFonts w:ascii="Arial" w:cs="Arial" w:eastAsia="Arial" w:hAnsi="Arial"/>
        <w:color w:val="888888"/>
      </w:rPr>
    </w:lvl>
  </w:abstractNum>
  <w:abstractNum w:abstractNumId="3" w15:restartNumberingAfterBreak="0">
    <w:multiLevelType w:val="hybridMultilevel"/>
    <w:lvl w:ilvl="0" w15:tentative="1">
      <w:start w:val="1"/>
      <w:numFmt w:val="decimal"/>
      <w:lvlText w:val="%1."/>
      <w:lvlJc w:val="left"/>
      <w:pPr>
        <w:ind w:left="480" w:hanging="28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555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60" w:after="160"/>
      <w:outlineLvl w:val="0"/>
    </w:pPr>
    <w:rPr>
      <w:rFonts w:ascii="Arial" w:cs="Arial" w:eastAsia="Arial" w:hAnsi="Arial"/>
      <w:b/>
      <w:bCs/>
      <w:color w:val="1A1A1A"/>
      <w:sz w:val="40"/>
      <w:szCs w:val="40"/>
    </w:rPr>
  </w:style>
  <w:style w:type="paragraph" w:styleId="Heading2">
    <w:name w:val="Heading 2"/>
    <w:basedOn w:val="Normal"/>
    <w:next w:val="Normal"/>
    <w:qFormat/>
    <w:pPr>
      <w:spacing w:before="400" w:after="100"/>
      <w:outlineLvl w:val="1"/>
    </w:pPr>
    <w:rPr>
      <w:rFonts w:ascii="Arial" w:cs="Arial" w:eastAsia="Arial" w:hAnsi="Arial"/>
      <w:b/>
      <w:bCs/>
      <w:color w:val="1B4F8A"/>
      <w:sz w:val="28"/>
      <w:szCs w:val="28"/>
    </w:rPr>
  </w:style>
  <w:style w:type="paragraph" w:styleId="Heading3">
    <w:name w:val="Heading 3"/>
    <w:basedOn w:val="Normal"/>
    <w:next w:val="Normal"/>
    <w:qFormat/>
    <w:pPr>
      <w:spacing w:before="280" w:after="80"/>
      <w:outlineLvl w:val="2"/>
    </w:pPr>
    <w:rPr>
      <w:rFonts w:ascii="Arial" w:cs="Arial" w:eastAsia="Arial" w:hAnsi="Arial"/>
      <w:b/>
      <w:bCs/>
      <w:color w:val="2C2C2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2026-03-24T02:10:05.964Z</dcterms:created>
  <dcterms:modified xsi:type="dcterms:W3CDTF">2026-03-24T02:10:05.965Z</dcterms:modified>
</cp:coreProperties>
</file>

<file path=docProps/custom.xml><?xml version="1.0" encoding="utf-8"?>
<Properties xmlns="http://schemas.openxmlformats.org/officeDocument/2006/custom-properties" xmlns:vt="http://schemas.openxmlformats.org/officeDocument/2006/docPropsVTypes"/>
</file>