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20"/>
        </w:rPr>
        <w:t>MODEL VALIDATION REPORT</w:t>
      </w:r>
    </w:p>
    <w:p>
      <w:pPr>
        <w:pStyle w:val="Title"/>
      </w:pPr>
      <w:r>
        <w:t>Credit Default Prediction</w:t>
      </w:r>
    </w:p>
    <w:p>
      <w:r>
        <w:rPr>
          <w:color w:val="4B5563"/>
          <w:sz w:val="26"/>
        </w:rPr>
        <w:t>Tree-based methods for next-month default-risk estimation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312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360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type="dxa" w:w="360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Data source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8"/>
              </w:rPr>
              <w:t>Educational model-development and validation exercise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8"/>
              </w:rPr>
              <w:t>Estimate next-month default probability; not for real lending decisions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8"/>
              </w:rPr>
              <w:t>UCI Default of Credit Card Clients dataset (30,000 accounts)</w:t>
            </w:r>
          </w:p>
        </w:tc>
      </w:tr>
    </w:tbl>
    <w:p>
      <w:pPr>
        <w:spacing w:after="0"/>
      </w:pPr>
    </w:p>
    <w:p>
      <w:pPr>
        <w:pStyle w:val="Heading1"/>
      </w:pPr>
      <w:r>
        <w:t>Executive conclusion</w:t>
      </w:r>
    </w:p>
    <w:p>
      <w:r>
        <w:rPr>
          <w:b/>
        </w:rPr>
        <w:t xml:space="preserve">Recommendation: </w:t>
      </w:r>
      <w:r>
        <w:t>Gradient boosting is the preferred candidate model for this dataset, subject to calibration monitoring, policy-based threshold selection, and further validation before operational use.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Finding</w:t>
            </w:r>
          </w:p>
        </w:tc>
        <w:tc>
          <w:tcPr>
            <w:tcW w:type="dxa" w:w="316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Result</w:t>
            </w:r>
          </w:p>
        </w:tc>
        <w:tc>
          <w:tcPr>
            <w:tcW w:type="dxa" w:w="532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Best ranking model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Gradient boosting ROC-AUC = 0.7763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8"/>
              </w:rPr>
              <w:t>It ranked defaulting accounts above non-defaulting accounts better than alternatives tested.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Stability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Mean ROC-AUC = 0.7848; SD = 0.0081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8"/>
              </w:rPr>
              <w:t>Performance was not driven by one favourable train/test split.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Candidate threshold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0.30 maximised F1 score (0.5378)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8"/>
              </w:rPr>
              <w:t>Final policy needs explicit business costs and review capacity.</w:t>
            </w:r>
          </w:p>
        </w:tc>
      </w:tr>
      <w:tr>
        <w:tc>
          <w:tcPr>
            <w:tcW w:type="dxa" w:w="2088"/>
          </w:tcPr>
          <w:p>
            <w:pPr>
              <w:spacing w:after="0"/>
            </w:pPr>
            <w:r>
              <w:rPr>
                <w:sz w:val="18"/>
              </w:rPr>
              <w:t>Primary limitation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ROC-AUC = 0.6040 for PAY_0 &gt;= 2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18"/>
              </w:rPr>
              <w:t>Limited prioritisation within seriously delinquent accounts.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scope</w:t>
      </w:r>
    </w:p>
    <w:p>
      <w:r>
        <w:t>This project evaluates whether account information observed before a billing cycle can predict whether a credit-card client will default in the following month. It demonstrates an end-to-end model-development and model-validation workflow using introductory tree-based methods.</w:t>
      </w:r>
    </w:p>
    <w:p>
      <w:r>
        <w:t>It does not claim that any predictor causes default and must not be used to make lending, pricing, or other decisions about real people.</w:t>
      </w:r>
    </w:p>
    <w:p>
      <w:pPr>
        <w:pStyle w:val="Heading1"/>
      </w:pPr>
      <w:r>
        <w:t>2. Data and modelling design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20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Decision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Source data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8"/>
              </w:rPr>
              <w:t>UCI Default of Credit Card Clients; 30,000 rows; 23 candidate predictors; no missing values.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Target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8"/>
              </w:rPr>
              <w:t>default_next_month: 1 = default, 0 = no default.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Class balance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8"/>
              </w:rPr>
              <w:t>6,636 defaults (22.12%) and 23,364 non-defaults (77.88%).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Split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8"/>
              </w:rPr>
              <w:t>Stratified 75% training / 25% development holdout; random_state = 42.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8"/>
              </w:rPr>
              <w:t>Input controls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rPr>
                <w:sz w:val="18"/>
              </w:rPr>
              <w:t>ID was excluded by the source helper; X1-X23 were mapped to documented business names.</w:t>
            </w:r>
          </w:p>
        </w:tc>
      </w:tr>
    </w:tbl>
    <w:p>
      <w:pPr>
        <w:spacing w:after="0"/>
      </w:pPr>
    </w:p>
    <w:p>
      <w:r>
        <w:rPr>
          <w:b/>
        </w:rPr>
        <w:t xml:space="preserve">Validation note. </w:t>
      </w:r>
      <w:r>
        <w:t>The development holdout informed model comparison, so it is not a fully untouched final test set. A production workflow would reserve a final temporal/out-of-time sample.</w:t>
      </w:r>
    </w:p>
    <w:p>
      <w:pPr>
        <w:pStyle w:val="Heading1"/>
      </w:pPr>
      <w:r>
        <w:t>3. Baseline and candidate models</w:t>
      </w:r>
    </w:p>
    <w:p>
      <w:r>
        <w:t>The all-no-default baseline achieved 77.88% accuracy while identifying no defaults. This shows why accuracy alone is inadequate for this imbalanced default-risk problem.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32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4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2232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Development ROC-AUC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All-no-default baseline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77.88%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0.00%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0.00%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8"/>
              </w:rPr>
              <w:t>0.5000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Small decision tree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81.83%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66.16%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36.53%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8"/>
              </w:rPr>
              <w:t>0.7308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Cross-validated pruned tree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81.79%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66.26%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35.99%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8"/>
              </w:rPr>
              <w:t>0.7614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81.71%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65.79%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36.05%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8"/>
              </w:rPr>
              <w:t>0.7741</w:t>
            </w:r>
          </w:p>
        </w:tc>
      </w:tr>
      <w:tr>
        <w:tc>
          <w:tcPr>
            <w:tcW w:type="dxa" w:w="3240"/>
          </w:tcPr>
          <w:p>
            <w:pPr>
              <w:spacing w:after="0"/>
            </w:pPr>
            <w:r>
              <w:rPr>
                <w:sz w:val="18"/>
              </w:rPr>
              <w:t>Gradient boosting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81.95%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67.04%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36.17%</w:t>
            </w:r>
          </w:p>
        </w:tc>
        <w:tc>
          <w:tcPr>
            <w:tcW w:type="dxa" w:w="2232"/>
          </w:tcPr>
          <w:p>
            <w:pPr>
              <w:spacing w:after="0"/>
            </w:pPr>
            <w:r>
              <w:rPr>
                <w:sz w:val="18"/>
              </w:rPr>
              <w:t>0.7763</w:t>
            </w:r>
          </w:p>
        </w:tc>
      </w:tr>
    </w:tbl>
    <w:p>
      <w:pPr>
        <w:spacing w:after="0"/>
      </w:pPr>
    </w:p>
    <w:p>
      <w:pPr>
        <w:pStyle w:val="Heading1"/>
      </w:pPr>
      <w:r>
        <w:t>4. Tree complexity and overfitting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44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Tree</w:t>
            </w:r>
          </w:p>
        </w:tc>
        <w:tc>
          <w:tcPr>
            <w:tcW w:type="dxa" w:w="1584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Training ROC-AUC</w:t>
            </w:r>
          </w:p>
        </w:tc>
        <w:tc>
          <w:tcPr>
            <w:tcW w:type="dxa" w:w="14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Test ROC-AUC</w:t>
            </w:r>
          </w:p>
        </w:tc>
        <w:tc>
          <w:tcPr>
            <w:tcW w:type="dxa" w:w="1512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Leaves / depth</w:t>
            </w:r>
          </w:p>
        </w:tc>
        <w:tc>
          <w:tcPr>
            <w:tcW w:type="dxa" w:w="3312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8"/>
              </w:rPr>
              <w:t>Small manual tree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sz w:val="18"/>
              </w:rPr>
              <w:t>0.7337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0.7308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18"/>
              </w:rPr>
              <w:t>7 / 3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8"/>
              </w:rPr>
              <w:t>Small 0.0029 gap; interpretable and stable.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8"/>
              </w:rPr>
              <w:t>Unpruned tree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sz w:val="18"/>
              </w:rPr>
              <w:t>1.0000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0.6052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18"/>
              </w:rPr>
              <w:t>3,517 / 42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8"/>
              </w:rPr>
              <w:t>Memorised training data; severe overfitting.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rPr>
                <w:sz w:val="18"/>
              </w:rPr>
              <w:t>CV-pruned tree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sz w:val="18"/>
              </w:rPr>
              <w:t>0.7854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sz w:val="18"/>
              </w:rPr>
              <w:t>0.7614</w:t>
            </w:r>
          </w:p>
        </w:tc>
        <w:tc>
          <w:tcPr>
            <w:tcW w:type="dxa" w:w="1512"/>
          </w:tcPr>
          <w:p>
            <w:pPr>
              <w:spacing w:after="0"/>
            </w:pPr>
            <w:r>
              <w:rPr>
                <w:sz w:val="18"/>
              </w:rPr>
              <w:t>42 / 11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8"/>
              </w:rPr>
              <w:t>Complexity selected by five-fold cross-validation.</w:t>
            </w:r>
          </w:p>
        </w:tc>
      </w:tr>
    </w:tbl>
    <w:p>
      <w:pPr>
        <w:spacing w:after="0"/>
      </w:pPr>
    </w:p>
    <w:p>
      <w:pPr>
        <w:pStyle w:val="Heading1"/>
      </w:pPr>
      <w:r>
        <w:t>5. Key validation findings</w:t>
      </w:r>
    </w:p>
    <w:p>
      <w:pPr>
        <w:pStyle w:val="Heading2"/>
      </w:pPr>
      <w:r>
        <w:t>5.1 Threshold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80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80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56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F1 score</w:t>
            </w:r>
          </w:p>
        </w:tc>
        <w:tc>
          <w:tcPr>
            <w:tcW w:type="dxa" w:w="244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Accounts flagged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0.20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43.80%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65.34%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8"/>
              </w:rPr>
              <w:t>0.5244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2,475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0.30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56.01%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51.72%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8"/>
              </w:rPr>
              <w:t>0.5378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1,532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0.40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64.03%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41.53%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8"/>
              </w:rPr>
              <w:t>0.5038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1,076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0.50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67.04%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36.17%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8"/>
              </w:rPr>
              <w:t>0.4699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895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0.60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70.66%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29.90%</w:t>
            </w:r>
          </w:p>
        </w:tc>
        <w:tc>
          <w:tcPr>
            <w:tcW w:type="dxa" w:w="1656"/>
          </w:tcPr>
          <w:p>
            <w:pPr>
              <w:spacing w:after="0"/>
            </w:pPr>
            <w:r>
              <w:rPr>
                <w:sz w:val="18"/>
              </w:rPr>
              <w:t>0.4202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8"/>
              </w:rPr>
              <w:t>702</w:t>
            </w:r>
          </w:p>
        </w:tc>
      </w:tr>
    </w:tbl>
    <w:p>
      <w:pPr>
        <w:spacing w:after="0"/>
      </w:pPr>
    </w:p>
    <w:p>
      <w:r>
        <w:t>Threshold 0.30 maximised F1 in this exercise. It is a candidate operating point, not a final policy rule: real selection requires expected loss, review cost, customer impact, and operational capacity.</w:t>
      </w:r>
    </w:p>
    <w:p>
      <w:pPr>
        <w:pStyle w:val="Heading2"/>
      </w:pPr>
      <w:r>
        <w:t>5.2 Calibration and stability</w:t>
      </w:r>
    </w:p>
    <w:p>
      <w:r>
        <w:t>Calibration was broadly reasonable at high risk: 70.29% predicted versus 69.47% observed. The model overestimated risk in the lowest-risk bin: 7.15% predicted versus 4.13% observed. Its raw probabilities require monitoring and could warrant recalibration.</w:t>
      </w:r>
    </w:p>
    <w:p>
      <w:r>
        <w:t>Across five alternative stratified splits, gradient boosting produced ROC-AUC values from 0.7767 to 0.7950, with mean 0.7848 and standard deviation 0.0081. This supports split stability.</w:t>
      </w:r>
    </w:p>
    <w:p>
      <w:pPr>
        <w:pStyle w:val="Heading2"/>
      </w:pPr>
      <w:r>
        <w:t>5.3 Feature reliance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0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316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Mean ROC-AUC decrease after shuffling</w:t>
            </w:r>
          </w:p>
        </w:tc>
        <w:tc>
          <w:tcPr>
            <w:tcW w:type="dxa" w:w="4536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PAY_0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0.0836 (SD 0.0037)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18"/>
              </w:rPr>
              <w:t>The model relied heavily on most-recent repayment status.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LIMIT_BAL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0.0126 (SD 0.0019)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18"/>
              </w:rPr>
              <w:t>Credit limit contributed modestly to risk ranking.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BILL_AMT1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0.0070 (SD 0.0011)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18"/>
              </w:rPr>
              <w:t>Most-recent bill amount added signal.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sz w:val="18"/>
              </w:rPr>
              <w:t>PAY_3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8"/>
              </w:rPr>
              <w:t>0.0050 (SD 0.0016)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sz w:val="18"/>
              </w:rPr>
              <w:t>Earlier repayment behaviour added smaller information.</w:t>
            </w:r>
          </w:p>
        </w:tc>
      </w:tr>
    </w:tbl>
    <w:p>
      <w:pPr>
        <w:spacing w:after="0"/>
      </w:pPr>
    </w:p>
    <w:p>
      <w:r>
        <w:t>Permutation importance shuffles one feature at a time in holdout data without retraining. It measures the drop in ROC-AUC when that feature’s link to outcome is broken. It is predictive reliance, not causation; correlated repayment fields may share information.</w:t>
      </w:r>
    </w:p>
    <w:p>
      <w:pPr>
        <w:pStyle w:val="Heading2"/>
      </w:pPr>
      <w:r>
        <w:t>5.4 Subgroup challenge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728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Group</w:t>
            </w:r>
          </w:p>
        </w:tc>
        <w:tc>
          <w:tcPr>
            <w:tcW w:type="dxa" w:w="1152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Accounts</w:t>
            </w:r>
          </w:p>
        </w:tc>
        <w:tc>
          <w:tcPr>
            <w:tcW w:type="dxa" w:w="1944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Observed default rate</w:t>
            </w:r>
          </w:p>
        </w:tc>
        <w:tc>
          <w:tcPr>
            <w:tcW w:type="dxa" w:w="1224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ROC-AUC</w:t>
            </w:r>
          </w:p>
        </w:tc>
        <w:tc>
          <w:tcPr>
            <w:tcW w:type="dxa" w:w="3456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0.30-threshold result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PAY_0 &lt; 2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8"/>
              </w:rPr>
              <w:t>6,704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sz w:val="18"/>
              </w:rPr>
              <w:t>16.51%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0.7023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8"/>
              </w:rPr>
              <w:t>736 flagged; 41.58% precision; 27.64% recall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8"/>
              </w:rPr>
              <w:t>PAY_0 &gt;= 2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8"/>
              </w:rPr>
              <w:t>796</w:t>
            </w:r>
          </w:p>
        </w:tc>
        <w:tc>
          <w:tcPr>
            <w:tcW w:type="dxa" w:w="1944"/>
          </w:tcPr>
          <w:p>
            <w:pPr>
              <w:spacing w:after="0"/>
            </w:pPr>
            <w:r>
              <w:rPr>
                <w:sz w:val="18"/>
              </w:rPr>
              <w:t>69.35%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0.6040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8"/>
              </w:rPr>
              <w:t>All 796 flagged; 69.35% precision; 100.00% recall</w:t>
            </w:r>
          </w:p>
        </w:tc>
      </w:tr>
    </w:tbl>
    <w:p>
      <w:pPr>
        <w:spacing w:after="0"/>
      </w:pPr>
    </w:p>
    <w:p>
      <w:r>
        <w:t>The model is materially less discriminating within already seriously delinquent accounts. At threshold 0.30 it flags every account in this group, so it provides little prioritisation there despite full recall.</w:t>
      </w:r>
    </w:p>
    <w:p>
      <w:pPr>
        <w:pStyle w:val="Heading1"/>
      </w:pPr>
      <w:r>
        <w:t>6. Recommendation and limitations</w:t>
      </w:r>
    </w:p>
    <w:p>
      <w:r>
        <w:t>Use gradient boosting as the preferred educational candidate because it had the strongest development-holdout ranking performance and remained stable across alternative splits. Retain the pruned decision tree as an interpretable challenger model.</w:t>
      </w:r>
    </w:p>
    <w:p>
      <w:pPr>
        <w:pStyle w:val="ListBullet"/>
      </w:pPr>
      <w:r>
        <w:t>The public data are historical and static; no production-population or out-of-time validation was performed.</w:t>
      </w:r>
    </w:p>
    <w:p>
      <w:pPr>
        <w:pStyle w:val="ListBullet"/>
      </w:pPr>
      <w:r>
        <w:t>The development holdout informed model comparison; a final independent holdout is required before an unbiased final performance claim.</w:t>
      </w:r>
    </w:p>
    <w:p>
      <w:pPr>
        <w:pStyle w:val="ListBullet"/>
      </w:pPr>
      <w:r>
        <w:t>Threshold 0.30 is F1-based, not cost-based.</w:t>
      </w:r>
    </w:p>
    <w:p>
      <w:pPr>
        <w:pStyle w:val="ListBullet"/>
      </w:pPr>
      <w:r>
        <w:t>Probability calibration is imperfect in low-risk groups.</w:t>
      </w:r>
    </w:p>
    <w:p>
      <w:pPr>
        <w:pStyle w:val="ListBullet"/>
      </w:pPr>
      <w:r>
        <w:t>Performance is weaker among accounts already seriously delinquent.</w:t>
      </w:r>
    </w:p>
    <w:p>
      <w:pPr>
        <w:pStyle w:val="ListBullet"/>
      </w:pPr>
      <w:r>
        <w:t>The analysis is predictive and observational, not causal or suitable for lending decisions.</w:t>
      </w:r>
    </w:p>
    <w:p>
      <w:pPr>
        <w:pStyle w:val="Heading1"/>
      </w:pPr>
      <w:r>
        <w:t>7. Next extensions</w:t>
      </w:r>
    </w:p>
    <w:p>
      <w:pPr>
        <w:pStyle w:val="ListBullet"/>
      </w:pPr>
      <w:r>
        <w:t>Reserve a final out-of-time sample and repeat headline metrics once only.</w:t>
      </w:r>
    </w:p>
    <w:p>
      <w:pPr>
        <w:pStyle w:val="ListBullet"/>
      </w:pPr>
      <w:r>
        <w:t>Calibrate probabilities within cross-validation using isotonic or Platt scaling.</w:t>
      </w:r>
    </w:p>
    <w:p>
      <w:pPr>
        <w:pStyle w:val="ListBullet"/>
      </w:pPr>
      <w:r>
        <w:t>Specify expected-cost threshold selection and simulate review capacity.</w:t>
      </w:r>
    </w:p>
    <w:p>
      <w:pPr>
        <w:pStyle w:val="ListBullet"/>
      </w:pPr>
      <w:r>
        <w:t>Perform appropriate governance and fairness review.</w:t>
      </w:r>
    </w:p>
    <w:p>
      <w:pPr>
        <w:pStyle w:val="ListBullet"/>
      </w:pPr>
      <w:r>
        <w:t>Monitor performance drift, calibration drift, and default-rate changes.</w:t>
      </w:r>
    </w:p>
    <w:p>
      <w:pPr>
        <w:pStyle w:val="Heading1"/>
      </w:pPr>
      <w:r>
        <w:t>Source</w:t>
      </w:r>
    </w:p>
    <w:p>
      <w:r>
        <w:t>Yeh, I. (2009). Default of Credit Card Clients [Dataset]. UCI Machine Learning Repository. https://doi.org/10.24432/C55S3H. Accessed through the ucimlrepo Python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Credit Default Prediction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CREDIT DEFAULT MODEL VALIDATION | EDUCATIONAL PORTFOLIO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