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6FF79" w14:textId="544D5CD4" w:rsidR="00D632B9" w:rsidRDefault="00D632B9" w:rsidP="00D632B9">
      <w:pPr>
        <w:pStyle w:val="Heading1"/>
      </w:pPr>
      <w:r>
        <w:t>Generic model</w:t>
      </w:r>
    </w:p>
    <w:p w14:paraId="490175CE" w14:textId="02F91C1C" w:rsidR="00C632A3" w:rsidRDefault="00D632B9">
      <w:pPr>
        <w:pStyle w:val="FirstParagraph"/>
      </w:pPr>
      <w:r>
        <w:t xml:space="preserve">Here we present the basic components of our kinetic model designed to simulate the flexible life strategies of human gut bacteria. The model is based on experiments conducted in monocultures and cocultures of a synthetic community of three species. </w:t>
      </w:r>
    </w:p>
    <w:p w14:paraId="490175CF" w14:textId="77777777" w:rsidR="00C632A3" w:rsidRDefault="00D632B9">
      <w:pPr>
        <w:pStyle w:val="Heading2"/>
      </w:pPr>
      <w:bookmarkStart w:id="0" w:name="model-states"/>
      <w:r>
        <w:t>Model States:</w:t>
      </w:r>
    </w:p>
    <w:p w14:paraId="490175D0" w14:textId="77777777" w:rsidR="00C632A3" w:rsidRDefault="00D632B9">
      <w:pPr>
        <w:pStyle w:val="Heading3"/>
      </w:pPr>
      <w:bookmarkStart w:id="1" w:name="X8116d1a17f40184e6777dd97fee6d72da5efa67"/>
      <w:r>
        <w:t>1. Subpopulations</w:t>
      </w:r>
    </w:p>
    <w:p w14:paraId="490175D1" w14:textId="44DF1942" w:rsidR="00C632A3" w:rsidRDefault="00D632B9">
      <w:pPr>
        <w:pStyle w:val="FirstParagraph"/>
      </w:pPr>
      <w: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 [].</w:t>
      </w:r>
    </w:p>
    <w:p w14:paraId="490175D2" w14:textId="77777777" w:rsidR="00C632A3" w:rsidRDefault="00D632B9">
      <w:pPr>
        <w:pStyle w:val="BodyText"/>
      </w:pPr>
      <w:r>
        <w:t>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model structures for a given species, each having its own set of kinetic parameters. These structures are linked through transition rates and transition functions, which encode the likelihood that cells transition from one subpopulation to another in response to environmental cues.</w:t>
      </w:r>
    </w:p>
    <w:p w14:paraId="490175D4" w14:textId="77AD2C48" w:rsidR="00C632A3" w:rsidRDefault="00D632B9">
      <w:pPr>
        <w:pStyle w:val="Heading4"/>
      </w:pPr>
      <w:bookmarkStart w:id="2" w:name="transition-rates---𝑟--"/>
      <w:r>
        <w:t>Transition rates (</w:t>
      </w:r>
      <m:oMath>
        <m:r>
          <w:rPr>
            <w:rFonts w:ascii="Cambria Math" w:hAnsi="Cambria Math"/>
          </w:rPr>
          <m:t>r</m:t>
        </m:r>
      </m:oMath>
      <w:r>
        <w:t>)</w:t>
      </w:r>
    </w:p>
    <w:p w14:paraId="490175D5" w14:textId="791B9958" w:rsidR="00C632A3" w:rsidRDefault="00D632B9">
      <w:pPr>
        <w:pStyle w:val="FirstParagraph"/>
      </w:pPr>
      <w: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rPr>
          <m:t>r</m:t>
        </m:r>
      </m:oMath>
      <w:r>
        <w:t>).</w:t>
      </w:r>
    </w:p>
    <w:p w14:paraId="490175D6" w14:textId="740C3E17" w:rsidR="00C632A3" w:rsidRDefault="00D632B9">
      <w:pPr>
        <w:pStyle w:val="Heading4"/>
      </w:pPr>
      <w:bookmarkStart w:id="3" w:name="transition-functions---𝑍--"/>
      <w:bookmarkEnd w:id="2"/>
      <w:r>
        <w:t>Transition functions (</w:t>
      </w:r>
      <m:oMath>
        <m:r>
          <w:rPr>
            <w:rFonts w:ascii="Cambria Math" w:hAnsi="Cambria Math"/>
          </w:rPr>
          <m:t>Z</m:t>
        </m:r>
      </m:oMath>
      <w:r>
        <w:t>)</w:t>
      </w:r>
    </w:p>
    <w:p w14:paraId="490175D7" w14:textId="77777777" w:rsidR="00C632A3" w:rsidRDefault="00D632B9">
      <w:pPr>
        <w:pStyle w:val="FirstParagraph"/>
      </w:pPr>
      <w: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Default="00D632B9">
      <w:pPr>
        <w:pStyle w:val="Heading5"/>
      </w:pPr>
      <w:bookmarkStart w:id="4" w:name="independent-transitions"/>
      <w:r>
        <w:t>Independent transitions</w:t>
      </w:r>
    </w:p>
    <w:p w14:paraId="490175D9" w14:textId="77777777" w:rsidR="00C632A3" w:rsidRDefault="00D632B9">
      <w:pPr>
        <w:pStyle w:val="FirstParagraph"/>
      </w:pPr>
      <w:r>
        <w:t xml:space="preserve">These transitions occur at a constant rate, unaffected by any environmental conditions. In this case, </w:t>
      </w:r>
      <m:oMath>
        <m:r>
          <w:rPr>
            <w:rFonts w:ascii="Cambria Math" w:hAnsi="Cambria Math"/>
          </w:rPr>
          <m:t>Z</m:t>
        </m:r>
      </m:oMath>
      <w:r>
        <w:t xml:space="preserve"> equals one, indicating a fixed transition rate. This transition is commonly assumed in scenarios such as when there is a constant death rate. </w:t>
      </w:r>
    </w:p>
    <w:p w14:paraId="490175DA" w14:textId="77777777" w:rsidR="00C632A3" w:rsidRDefault="00D632B9">
      <w:pPr>
        <w:pStyle w:val="BodyText"/>
      </w:pPr>
      <w:r>
        <w:lastRenderedPageBreak/>
        <w:t xml:space="preserve">The following equation exemplifies an independent transition rate. Here, subpopulation </w:t>
      </w:r>
      <m:oMath>
        <m:r>
          <w:rPr>
            <w:rFonts w:ascii="Cambria Math" w:hAnsi="Cambria Math"/>
          </w:rPr>
          <m:t>A</m:t>
        </m:r>
      </m:oMath>
      <w:r>
        <w:t xml:space="preserve"> contributes towards the derivative of subpopulation </w:t>
      </w:r>
      <m:oMath>
        <m:r>
          <w:rPr>
            <w:rFonts w:ascii="Cambria Math" w:hAnsi="Cambria Math"/>
          </w:rPr>
          <m:t>B</m:t>
        </m:r>
      </m:oMath>
      <w:r>
        <w:t xml:space="preserve">, given the counts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for each subpopulation, respectively:</w:t>
      </w:r>
    </w:p>
    <w:p w14:paraId="490175DB"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Default="00D632B9">
      <w:pPr>
        <w:pStyle w:val="BodyText"/>
      </w:pPr>
      <w:r>
        <w:t xml:space="preserve">The first term on the right-hand side accounts for the contribution of subpopulation </w:t>
      </w:r>
      <m:oMath>
        <m:r>
          <w:rPr>
            <w:rFonts w:ascii="Cambria Math" w:hAnsi="Cambria Math"/>
          </w:rPr>
          <m:t>A</m:t>
        </m:r>
      </m:oMath>
      <w:r>
        <w:t xml:space="preserve"> to the growth of subpopulation </w:t>
      </w:r>
      <m:oMath>
        <m:r>
          <w:rPr>
            <w:rFonts w:ascii="Cambria Math" w:hAnsi="Cambria Math"/>
          </w:rPr>
          <m:t>B</m:t>
        </m:r>
      </m:oMath>
      <w:r>
        <w:t xml:space="preserve">, where </w:t>
      </w:r>
      <m:oMath>
        <m:r>
          <w:rPr>
            <w:rFonts w:ascii="Cambria Math" w:hAnsi="Cambria Math"/>
          </w:rPr>
          <m:t>r</m:t>
        </m:r>
      </m:oMath>
      <w:r>
        <w:t xml:space="preserve"> is the transition rate from subpopulation </w:t>
      </w:r>
      <m:oMath>
        <m:r>
          <w:rPr>
            <w:rFonts w:ascii="Cambria Math" w:hAnsi="Cambria Math"/>
          </w:rPr>
          <m:t>A</m:t>
        </m:r>
      </m:oMath>
      <w:r>
        <w:t xml:space="preserve"> to subpopulation </w:t>
      </w:r>
      <m:oMath>
        <m:r>
          <w:rPr>
            <w:rFonts w:ascii="Cambria Math" w:hAnsi="Cambria Math"/>
          </w:rPr>
          <m:t>B</m:t>
        </m:r>
      </m:oMath>
      <w:r>
        <w:t xml:space="preserve">. The ellipsis </w:t>
      </w:r>
      <m:oMath>
        <m:d>
          <m:dPr>
            <m:ctrlPr>
              <w:rPr>
                <w:rFonts w:ascii="Cambria Math" w:hAnsi="Cambria Math"/>
              </w:rPr>
            </m:ctrlPr>
          </m:dPr>
          <m:e>
            <m:r>
              <m:rPr>
                <m:sty m:val="p"/>
              </m:rPr>
              <w:rPr>
                <w:rFonts w:ascii="Cambria Math" w:hAnsi="Cambria Math"/>
              </w:rPr>
              <m:t>...</m:t>
            </m:r>
          </m:e>
        </m:d>
      </m:oMath>
      <w:r>
        <w:t xml:space="preserve"> represents any additional terms that may affect the time derivative of subpopulation </w:t>
      </w:r>
      <m:oMath>
        <m:r>
          <w:rPr>
            <w:rFonts w:ascii="Cambria Math" w:hAnsi="Cambria Math"/>
          </w:rPr>
          <m:t>B</m:t>
        </m:r>
      </m:oMath>
      <w:r>
        <w:t>, such as its growth rates or the reactor's dilution rate.</w:t>
      </w:r>
    </w:p>
    <w:p w14:paraId="490175DE" w14:textId="77777777" w:rsidR="00C632A3" w:rsidRDefault="00D632B9">
      <w:pPr>
        <w:pStyle w:val="Heading5"/>
      </w:pPr>
      <w:bookmarkStart w:id="5" w:name="activation-like-transition"/>
      <w:bookmarkEnd w:id="4"/>
      <w:r>
        <w:t>Activation-like transition</w:t>
      </w:r>
    </w:p>
    <w:p w14:paraId="490175DF" w14:textId="77777777" w:rsidR="00C632A3" w:rsidRDefault="00D632B9">
      <w:pPr>
        <w:pStyle w:val="FirstParagraph"/>
      </w:pPr>
      <w: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rPr>
            </m:ctrlPr>
          </m:sSubPr>
          <m:e>
            <m:r>
              <w:rPr>
                <w:rFonts w:ascii="Cambria Math" w:hAnsi="Cambria Math"/>
              </w:rPr>
              <m:t>S</m:t>
            </m:r>
          </m:e>
          <m:sub>
            <m:r>
              <w:rPr>
                <w:rFonts w:ascii="Cambria Math" w:hAnsi="Cambria Math"/>
              </w:rPr>
              <m:t>M</m:t>
            </m:r>
          </m:sub>
        </m:sSub>
      </m:oMath>
      <w:r>
        <w:t>).</w:t>
      </w:r>
    </w:p>
    <w:p w14:paraId="490175E0" w14:textId="77777777" w:rsidR="00C632A3" w:rsidRDefault="00D632B9">
      <w:pPr>
        <w:pStyle w:val="BodyText"/>
      </w:pPr>
      <w:r>
        <w:t>We use a Hill function (</w:t>
      </w:r>
      <w:hyperlink r:id="rId7">
        <w:r>
          <w:rPr>
            <w:rStyle w:val="Hyperlink"/>
          </w:rPr>
          <w:t xml:space="preserve">Nguyen &amp; </w:t>
        </w:r>
        <w:proofErr w:type="spellStart"/>
        <w:r>
          <w:rPr>
            <w:rStyle w:val="Hyperlink"/>
          </w:rPr>
          <w:t>Kulasiri</w:t>
        </w:r>
        <w:proofErr w:type="spellEnd"/>
        <w:r>
          <w:rPr>
            <w:rStyle w:val="Hyperlink"/>
          </w:rPr>
          <w:t xml:space="preserve"> 2009</w:t>
        </w:r>
      </w:hyperlink>
      <w:r>
        <w:t>) 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D632B9">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Default="00D632B9">
      <w:pPr>
        <w:pStyle w:val="BodyText"/>
      </w:pPr>
      <m:oMath>
        <m:r>
          <w:rPr>
            <w:rFonts w:ascii="Cambria Math" w:hAnsi="Cambria Math"/>
          </w:rPr>
          <m:t>K</m:t>
        </m:r>
      </m:oMath>
      <w:r>
        <w:t xml:space="preserve"> is the half-max or constant that is in the same unit as </w:t>
      </w:r>
      <m:oMath>
        <m:sSub>
          <m:sSubPr>
            <m:ctrlPr>
              <w:rPr>
                <w:rFonts w:ascii="Cambria Math" w:hAnsi="Cambria Math"/>
              </w:rPr>
            </m:ctrlPr>
          </m:sSubPr>
          <m:e>
            <m:r>
              <w:rPr>
                <w:rFonts w:ascii="Cambria Math" w:hAnsi="Cambria Math"/>
              </w:rPr>
              <m:t>S</m:t>
            </m:r>
          </m:e>
          <m:sub>
            <m:r>
              <w:rPr>
                <w:rFonts w:ascii="Cambria Math" w:hAnsi="Cambria Math"/>
              </w:rPr>
              <m:t>M</m:t>
            </m:r>
          </m:sub>
        </m:sSub>
      </m:oMath>
      <w:r>
        <w:t xml:space="preserve"> ( </w:t>
      </w:r>
      <m:oMath>
        <m:r>
          <w:rPr>
            <w:rFonts w:ascii="Cambria Math" w:hAnsi="Cambria Math"/>
          </w:rPr>
          <m:t>mM</m:t>
        </m:r>
      </m:oMath>
      <w:r>
        <w:t xml:space="preserve"> if we are talking about a metabolite) and defines the concentration where the transition function equals to </w:t>
      </w:r>
      <m:oMath>
        <m:r>
          <w:rPr>
            <w:rFonts w:ascii="Cambria Math" w:hAnsi="Cambria Math"/>
          </w:rPr>
          <m:t>0.5</m:t>
        </m:r>
      </m:oMath>
      <w:r>
        <w:t xml:space="preserve"> (the subpopulation </w:t>
      </w:r>
      <m:oMath>
        <m:r>
          <w:rPr>
            <w:rFonts w:ascii="Cambria Math" w:hAnsi="Cambria Math"/>
          </w:rPr>
          <m:t>A</m:t>
        </m:r>
      </m:oMath>
      <w:r>
        <w:t xml:space="preserve"> transitions to </w:t>
      </w:r>
      <m:oMath>
        <m:r>
          <w:rPr>
            <w:rFonts w:ascii="Cambria Math" w:hAnsi="Cambria Math"/>
          </w:rPr>
          <m:t>B</m:t>
        </m:r>
      </m:oMath>
      <w:r>
        <w:t xml:space="preserve"> at half the transition rate). </w:t>
      </w:r>
    </w:p>
    <w:p w14:paraId="490175E3" w14:textId="50B2166C" w:rsidR="00C632A3" w:rsidRDefault="00D632B9">
      <w:pPr>
        <w:pStyle w:val="BodyText"/>
      </w:pPr>
      <m:oMath>
        <m:r>
          <w:rPr>
            <w:rFonts w:ascii="Cambria Math" w:hAnsi="Cambria Math"/>
          </w:rPr>
          <m:t>h</m:t>
        </m:r>
      </m:oMath>
      <w:r>
        <w:t xml:space="preserve"> is the Hill coefficient that determines how steep the transition will occur around the </w:t>
      </w:r>
      <w:r w:rsidR="00E34F65">
        <w:t>half-max</w:t>
      </w:r>
      <w:r>
        <w:t xml:space="preserve"> constant (its </w:t>
      </w:r>
      <w:proofErr w:type="gramStart"/>
      <w:r>
        <w:t>slope).</w:t>
      </w:r>
      <w:proofErr w:type="gramEnd"/>
      <w:r>
        <w:t xml:space="preserve"> </w:t>
      </w:r>
    </w:p>
    <w:p w14:paraId="490175E4" w14:textId="77777777" w:rsidR="00C632A3" w:rsidRDefault="00D632B9">
      <w:pPr>
        <w:pStyle w:val="BodyText"/>
      </w:pPr>
      <w:r>
        <w:t>The contribution towards the derivative is then:</w:t>
      </w:r>
    </w:p>
    <w:p w14:paraId="490175E5"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Default="00D632B9">
      <w:pPr>
        <w:pStyle w:val="BodyText"/>
      </w:pPr>
      <w:r>
        <w:t>The model can also support a pure logical rule instead of a Hill function (equivalent to a Hill function with an infinite exponent), for instance:</w:t>
      </w:r>
    </w:p>
    <w:p w14:paraId="490175E7" w14:textId="77777777" w:rsidR="00C632A3" w:rsidRDefault="00D632B9">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m:t>
                          </m:r>
                          <w:proofErr w:type="spellStart"/>
                          <m:r>
                            <m:rPr>
                              <m:nor/>
                            </m:rPr>
                            <m:t>ome</m:t>
                          </m:r>
                          <w:proofErr w:type="spellEnd"/>
                          <m:r>
                            <m:rPr>
                              <m:nor/>
                            </m:rPr>
                            <m:t xml:space="preserv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77777777" w:rsidR="00C632A3" w:rsidRDefault="00D632B9">
      <w:pPr>
        <w:pStyle w:val="FirstParagraph"/>
      </w:pPr>
      <w:r>
        <w:t xml:space="preserve">This can be used initially to </w:t>
      </w:r>
      <w:hyperlink r:id="rId8">
        <w:r>
          <w:rPr>
            <w:rStyle w:val="Hyperlink"/>
          </w:rPr>
          <w:t>fit the model to data</w:t>
        </w:r>
      </w:hyperlink>
      <w:r>
        <w:t xml:space="preserve">, as it requires less parameters. It can then easily be replaced by the smooth activation function described above. </w:t>
      </w:r>
    </w:p>
    <w:p w14:paraId="490175E9" w14:textId="77777777" w:rsidR="00C632A3" w:rsidRDefault="00D632B9">
      <w:pPr>
        <w:pStyle w:val="Heading5"/>
      </w:pPr>
      <w:bookmarkStart w:id="6" w:name="inhibition"/>
      <w:bookmarkEnd w:id="5"/>
      <w:r>
        <w:t>Inhibition</w:t>
      </w:r>
    </w:p>
    <w:p w14:paraId="490175EA" w14:textId="5B13129C" w:rsidR="00C632A3" w:rsidRDefault="00D632B9">
      <w:pPr>
        <w:pStyle w:val="FirstParagraph"/>
      </w:pPr>
      <w:r>
        <w:t xml:space="preserve">Used when the transition is triggered by the 'lack' or 'depletion' of something. For example, when the depletion of a metabolite </w:t>
      </w:r>
      <m:oMath>
        <m:r>
          <w:rPr>
            <w:rFonts w:ascii="Cambria Math" w:hAnsi="Cambria Math"/>
          </w:rPr>
          <m:t>M</m:t>
        </m:r>
      </m:oMath>
      <w:r>
        <w:t xml:space="preserve"> that is used as an energy source leads to an increase in cell death rate, which is represented by an increase in the rate by which cells in subpopulation A (live) transition to subpopulation B (dead). The transition function used for inhibition is simil</w:t>
      </w:r>
      <w:proofErr w:type="spellStart"/>
      <w:r>
        <w:t>ar</w:t>
      </w:r>
      <w:proofErr w:type="spellEnd"/>
      <w:r>
        <w:t xml:space="preserve"> to the activation function, but is inverse</w:t>
      </w:r>
      <w:r w:rsidR="00E34F65">
        <w:t>d</w:t>
      </w:r>
      <w:r>
        <w:t>:</w:t>
      </w:r>
    </w:p>
    <w:p w14:paraId="490175EB" w14:textId="77777777" w:rsidR="00C632A3" w:rsidRDefault="00D632B9">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Default="00D632B9">
      <w:pPr>
        <w:pStyle w:val="BodyText"/>
      </w:pPr>
      <w:r>
        <w:t>The pure logical rule would be:</w:t>
      </w:r>
    </w:p>
    <w:p w14:paraId="490175ED" w14:textId="77777777" w:rsidR="00C632A3" w:rsidRDefault="00D632B9">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BodyText"/>
      </w:pPr>
    </w:p>
    <w:p w14:paraId="490175F0" w14:textId="77777777" w:rsidR="00C632A3" w:rsidRDefault="00D632B9">
      <w:pPr>
        <w:pStyle w:val="Heading3"/>
      </w:pPr>
      <w:bookmarkStart w:id="7" w:name="metabolites"/>
      <w:bookmarkEnd w:id="1"/>
      <w:bookmarkEnd w:id="3"/>
      <w:bookmarkEnd w:id="6"/>
      <w:r>
        <w:t>Metabolites</w:t>
      </w:r>
    </w:p>
    <w:p w14:paraId="490175F2" w14:textId="77777777" w:rsidR="00C632A3" w:rsidRDefault="00D632B9">
      <w:pPr>
        <w:pStyle w:val="BodyText"/>
      </w:pPr>
      <w:r>
        <w:t xml:space="preserve">Species interactions and survival within an environment are largely shaped by the production and consumption of metabolites. In our model, we identified some of the nutrients available in the growth medium used, namely the </w:t>
      </w:r>
      <w:hyperlink r:id="rId9">
        <w:r>
          <w:rPr>
            <w:rStyle w:val="Hyperlink"/>
          </w:rPr>
          <w:t>Wilkins-Chagrin anaerobic broth</w:t>
        </w:r>
      </w:hyperlink>
      <w: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6EA884CA" w:rsidR="00C632A3" w:rsidRDefault="00D632B9">
      <w:pPr>
        <w:pStyle w:val="BodyText"/>
      </w:pPr>
      <w:r>
        <w:t xml:space="preserve">Based on these observation and certain justified assumptions, we included in the model the concentration of several compounds, including glucose, pyruvate, trehalose, lactate, acetate, succinate, butyrate, </w:t>
      </w:r>
      <w:proofErr w:type="spellStart"/>
      <w:r>
        <w:t>formate</w:t>
      </w:r>
      <w:proofErr w:type="spellEnd"/>
      <w:r>
        <w:t xml:space="preserve">, glutamate, and mannose. These compounds are consumed or produced by at least one of the three species in our model, as we explained in the </w:t>
      </w:r>
      <w:hyperlink r:id="rId10">
        <w:r>
          <w:rPr>
            <w:rStyle w:val="Hyperlink"/>
          </w:rPr>
          <w:t>model state equations</w:t>
        </w:r>
      </w:hyperlink>
      <w:r>
        <w:t>.</w:t>
      </w:r>
    </w:p>
    <w:p w14:paraId="490175F5" w14:textId="77777777" w:rsidR="00C632A3" w:rsidRDefault="00D632B9">
      <w:pPr>
        <w:pStyle w:val="Heading3"/>
      </w:pPr>
      <w:bookmarkStart w:id="8" w:name="feeding-terms"/>
      <w:bookmarkEnd w:id="7"/>
      <w:r>
        <w:t>Feeding terms</w:t>
      </w:r>
    </w:p>
    <w:p w14:paraId="490175F6" w14:textId="77777777" w:rsidR="00C632A3" w:rsidRDefault="00D632B9">
      <w:pPr>
        <w:pStyle w:val="FirstParagraph"/>
      </w:pPr>
      <w: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w:t>
      </w:r>
      <w:r>
        <w:lastRenderedPageBreak/>
        <w:t xml:space="preserve">medium and follows the flow of metabolites through the network until the by-products are secreted back into the medium, as illustrated below: </w:t>
      </w:r>
    </w:p>
    <w:p w14:paraId="490175F7" w14:textId="5550197C" w:rsidR="00C632A3" w:rsidRDefault="00E34F65">
      <w:pPr>
        <w:pStyle w:val="BodyText"/>
        <w:rPr>
          <w:noProof/>
        </w:rPr>
      </w:pPr>
      <w:r>
        <w:rPr>
          <w:noProof/>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1D327342" w:rsidR="00E34F65" w:rsidRDefault="00E34F65">
      <w:pPr>
        <w:pStyle w:val="BodyText"/>
      </w:pPr>
    </w:p>
    <w:p w14:paraId="337C7408" w14:textId="487C3491" w:rsidR="00E34F65" w:rsidRDefault="00E34F65">
      <w:pPr>
        <w:pStyle w:val="BodyText"/>
      </w:pPr>
    </w:p>
    <w:p w14:paraId="5FF97A76" w14:textId="00DBEE44" w:rsidR="00E34F65" w:rsidRDefault="00E34F65">
      <w:pPr>
        <w:pStyle w:val="BodyText"/>
      </w:pPr>
    </w:p>
    <w:p w14:paraId="105061AD" w14:textId="77777777" w:rsidR="00E34F65" w:rsidRDefault="00E34F65">
      <w:pPr>
        <w:pStyle w:val="BodyText"/>
      </w:pPr>
    </w:p>
    <w:p w14:paraId="176A5C2B" w14:textId="77777777" w:rsidR="00E34F65" w:rsidRDefault="00E34F65">
      <w:pPr>
        <w:pStyle w:val="BodyText"/>
      </w:pPr>
    </w:p>
    <w:p w14:paraId="490175F8" w14:textId="4A288EA9" w:rsidR="00C632A3" w:rsidRDefault="00D632B9">
      <w:pPr>
        <w:pStyle w:val="BodyText"/>
      </w:pPr>
      <w:r>
        <w:t xml:space="preserve">Mathematically, the consumption of metabolite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production of metabolites </w:t>
      </w:r>
      <m:oMath>
        <m:sSub>
          <m:sSubPr>
            <m:ctrlPr>
              <w:rPr>
                <w:rFonts w:ascii="Cambria Math" w:hAnsi="Cambria Math"/>
              </w:rPr>
            </m:ctrlPr>
          </m:sSubPr>
          <m:e>
            <m:r>
              <w:rPr>
                <w:rFonts w:ascii="Cambria Math" w:hAnsi="Cambria Math"/>
              </w:rPr>
              <m:t>M</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c</m:t>
            </m:r>
          </m:sub>
        </m:sSub>
      </m:oMath>
      <w:r>
        <w:t xml:space="preserve"> are connected by the consumption rate of metabolite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For consumption, we employ the </w:t>
      </w:r>
      <w:hyperlink r:id="rId12">
        <w:r>
          <w:rPr>
            <w:rStyle w:val="Hyperlink"/>
          </w:rPr>
          <w:t>Monod equation</w:t>
        </w:r>
      </w:hyperlink>
      <w:r>
        <w:t xml:space="preserve"> (</w:t>
      </w:r>
      <w:r w:rsidR="001E58D6">
        <w:t xml:space="preserve">from here on </w:t>
      </w:r>
      <w:r>
        <w:t xml:space="preserve">we denote to the concentration of metabolites measured in </w:t>
      </w:r>
      <m:oMath>
        <m:r>
          <w:rPr>
            <w:rFonts w:ascii="Cambria Math" w:hAnsi="Cambria Math"/>
          </w:rPr>
          <m:t>mM</m:t>
        </m:r>
      </m:oMath>
      <w:r>
        <w:t xml:space="preserve"> and the subpopulation counts measured in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r>
          <w:rPr>
            <w:rFonts w:ascii="Cambria Math" w:hAnsi="Cambria Math"/>
          </w:rPr>
          <m:t>cellsμ</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xml:space="preserve"> by their identifying names).</w:t>
      </w:r>
    </w:p>
    <w:p w14:paraId="490175F9"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Default="00D632B9">
      <w:pPr>
        <w:pStyle w:val="BodyText"/>
      </w:pPr>
      <w:r>
        <w:t xml:space="preserve">Where </w:t>
      </w:r>
      <m:oMath>
        <m:sSub>
          <m:sSubPr>
            <m:ctrlPr>
              <w:rPr>
                <w:rFonts w:ascii="Cambria Math" w:hAnsi="Cambria Math"/>
              </w:rPr>
            </m:ctrlPr>
          </m:sSubPr>
          <m:e>
            <m:r>
              <w:rPr>
                <w:rFonts w:ascii="Cambria Math" w:hAnsi="Cambria Math"/>
              </w:rPr>
              <m:t>γ</m:t>
            </m:r>
          </m:e>
          <m:sub>
            <m:r>
              <m:rPr>
                <m:nor/>
              </m:rPr>
              <m:t>subpopulation</m:t>
            </m:r>
            <m:r>
              <m:rPr>
                <m:sty m:val="p"/>
              </m:rPr>
              <w:rPr>
                <w:rFonts w:ascii="Cambria Math" w:hAnsi="Cambria Math"/>
              </w:rPr>
              <m:t>,</m:t>
            </m:r>
            <m:r>
              <m:rPr>
                <m:nor/>
              </m:rPr>
              <m:t>metabolite</m:t>
            </m:r>
          </m:sub>
        </m:sSub>
      </m:oMath>
      <w:r>
        <w:t xml:space="preserve"> represent the relative contribution (weight) of the subpopulation growth towards the consumption (if negative) or production (if positive) of the respective metabolite and </w:t>
      </w:r>
      <m:oMath>
        <m:r>
          <w:rPr>
            <w:rFonts w:ascii="Cambria Math" w:hAnsi="Cambria Math"/>
          </w:rPr>
          <m:t>k</m:t>
        </m:r>
      </m:oMath>
      <w:r>
        <w:t xml:space="preserve"> is the Monod constant. </w:t>
      </w:r>
    </w:p>
    <w:p w14:paraId="490175FD" w14:textId="4FB27771" w:rsidR="00C632A3" w:rsidRDefault="00D632B9">
      <w:pPr>
        <w:pStyle w:val="BodyText"/>
      </w:pPr>
      <w:r>
        <w:t xml:space="preserve">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w:t>
      </w:r>
      <w:hyperlink r:id="rId13">
        <w:r>
          <w:rPr>
            <w:rStyle w:val="Hyperlink"/>
          </w:rPr>
          <w:t>growth in monocultures</w:t>
        </w:r>
      </w:hyperlink>
      <w:r>
        <w:t>. This approach was supported by the analysis of gene expression and differential expression of metabolic genes</w:t>
      </w:r>
      <w:r w:rsidR="001E58D6">
        <w:t xml:space="preserve"> (see Figure 1 in the main text)</w:t>
      </w:r>
      <w:r>
        <w:t xml:space="preserve">. </w:t>
      </w:r>
    </w:p>
    <w:p w14:paraId="490175FE" w14:textId="71827A06" w:rsidR="00C632A3" w:rsidRDefault="00D632B9">
      <w:pPr>
        <w:pStyle w:val="BodyText"/>
      </w:pPr>
      <w:r>
        <w:t xml:space="preserve">Analyzing the core energy graphs allows us to link subpopulations to sets of metabolites that contribute to their growth. These sets of metabolites are represented as feeding terms, </w:t>
      </w:r>
      <w:r>
        <w:lastRenderedPageBreak/>
        <w:t>which can display either an "or" (additive) relationship or an "and" (multiplicative) relationship between metabolites, based on the topology of the metabolic network.</w:t>
      </w:r>
    </w:p>
    <w:p w14:paraId="490175FF" w14:textId="18867104" w:rsidR="00C632A3" w:rsidRDefault="00D632B9">
      <w:pPr>
        <w:pStyle w:val="BodyText"/>
      </w:pPr>
      <w:r>
        <w:t xml:space="preserve">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w:t>
      </w:r>
      <w:hyperlink r:id="rId14">
        <w:r>
          <w:rPr>
            <w:rStyle w:val="Hyperlink"/>
          </w:rPr>
          <w:t>model's state equations</w:t>
        </w:r>
      </w:hyperlink>
      <w:r>
        <w:t>).</w:t>
      </w:r>
    </w:p>
    <w:p w14:paraId="49017600" w14:textId="27FF3F23" w:rsidR="00C632A3" w:rsidRDefault="00D632B9">
      <w:pPr>
        <w:pStyle w:val="Heading4"/>
      </w:pPr>
      <w:bookmarkStart w:id="9" w:name="and"/>
      <w:r>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5">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Default="00D632B9">
      <w:pPr>
        <w:pStyle w:val="BodyText"/>
      </w:pPr>
      <w:r>
        <w:t xml:space="preserve">The network requires the influx of both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10" w:name="boost"/>
      <w:bookmarkEnd w:id="9"/>
    </w:p>
    <w:p w14:paraId="49017607" w14:textId="21AFBEFE" w:rsidR="00C632A3" w:rsidRDefault="001E58D6">
      <w:pPr>
        <w:pStyle w:val="Heading4"/>
      </w:pPr>
      <w:r>
        <w:rPr>
          <w:noProof/>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6">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p w14:paraId="49017609" w14:textId="77777777" w:rsidR="00C632A3" w:rsidRDefault="00D632B9">
      <w:pPr>
        <w:pStyle w:val="BodyText"/>
      </w:pP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may increase the flux through the network, but only in the presence of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If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is absent, the network can still be functional, provided thar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is present, but not the other way around.</w:t>
      </w:r>
    </w:p>
    <w:p w14:paraId="4901760A" w14:textId="77777777" w:rsidR="00C632A3" w:rsidRDefault="00C632A3">
      <w:pPr>
        <w:pStyle w:val="BodyText"/>
      </w:pPr>
    </w:p>
    <w:p w14:paraId="4901760B"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D632B9">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77777777" w:rsidR="00C632A3" w:rsidRDefault="00D632B9">
      <w:pPr>
        <w:pStyle w:val="Heading3"/>
      </w:pPr>
      <w:bookmarkStart w:id="11" w:name="environment-reactor"/>
      <w:bookmarkEnd w:id="8"/>
      <w:bookmarkEnd w:id="10"/>
      <w:r>
        <w:t xml:space="preserve">Environment (reactor) </w:t>
      </w:r>
    </w:p>
    <w:p w14:paraId="49017611" w14:textId="77777777" w:rsidR="00C632A3" w:rsidRDefault="00D632B9">
      <w:pPr>
        <w:pStyle w:val="FirstParagraph"/>
      </w:pPr>
      <w: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Default="00D632B9">
      <w:pPr>
        <w:pStyle w:val="BodyText"/>
      </w:pPr>
      <w:r>
        <w:lastRenderedPageBreak/>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t>impacts</w:t>
      </w:r>
      <w:r>
        <w:t xml:space="preserve"> the growth and survival of the different subpopulations. </w:t>
      </w:r>
    </w:p>
    <w:p w14:paraId="49017614" w14:textId="1491717B" w:rsidR="00C632A3" w:rsidRDefault="00D632B9">
      <w:pPr>
        <w:pStyle w:val="Heading4"/>
      </w:pPr>
      <w:bookmarkStart w:id="12" w:name="environment-ph"/>
      <w:r>
        <w:t>Environment pH</w:t>
      </w:r>
    </w:p>
    <w:p w14:paraId="49017615" w14:textId="77777777" w:rsidR="00C632A3" w:rsidRDefault="00D632B9">
      <w:pPr>
        <w:pStyle w:val="FirstParagraph"/>
      </w:pPr>
      <w:r>
        <w:t xml:space="preserve">To predict pH changes in the environment, we developed an elastic net model using paired measurements of pH and fermentation acid concentrations. The model considers the concentrations of lactate, acetate, </w:t>
      </w:r>
      <w:proofErr w:type="spellStart"/>
      <w:r>
        <w:t>formate</w:t>
      </w:r>
      <w:proofErr w:type="spellEnd"/>
      <w:r>
        <w:t xml:space="preserve">, and butyrate to estimate the environmental </w:t>
      </w:r>
      <w:proofErr w:type="spellStart"/>
      <w:r>
        <w:t>pH.</w:t>
      </w:r>
      <w:proofErr w:type="spellEnd"/>
      <w: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9017616" w14:textId="33A30D2C" w:rsidR="00C632A3" w:rsidRDefault="001E58D6">
      <w:pPr>
        <w:pStyle w:val="BodyText"/>
        <w:rPr>
          <w:noProof/>
        </w:rPr>
      </w:pPr>
      <w:r>
        <w:rPr>
          <w:noProof/>
        </w:rPr>
        <w:drawing>
          <wp:anchor distT="0" distB="0" distL="114300" distR="114300" simplePos="0" relativeHeight="251687424" behindDoc="1" locked="0" layoutInCell="1" allowOverlap="1" wp14:anchorId="113D0F7A" wp14:editId="7EEA788A">
            <wp:simplePos x="0" y="0"/>
            <wp:positionH relativeFrom="column">
              <wp:posOffset>0</wp:posOffset>
            </wp:positionH>
            <wp:positionV relativeFrom="paragraph">
              <wp:posOffset>4622</wp:posOffset>
            </wp:positionV>
            <wp:extent cx="5486411" cy="365760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7">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14:sizeRelH relativeFrom="page">
              <wp14:pctWidth>0</wp14:pctWidth>
            </wp14:sizeRelH>
            <wp14:sizeRelV relativeFrom="page">
              <wp14:pctHeight>0</wp14:pctHeight>
            </wp14:sizeRelV>
          </wp:anchor>
        </w:drawing>
      </w:r>
    </w:p>
    <w:p w14:paraId="4A8C0BEA" w14:textId="0A2EC38D" w:rsidR="001E58D6" w:rsidRDefault="001E58D6">
      <w:pPr>
        <w:pStyle w:val="BodyText"/>
      </w:pP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6E744D14" w14:textId="7EBDFB89" w:rsidR="00801BFE" w:rsidRDefault="00801BFE">
      <w:pPr>
        <w:pStyle w:val="BodyText"/>
      </w:pPr>
    </w:p>
    <w:p w14:paraId="5967BFF6" w14:textId="7C3C30AE" w:rsidR="00801BFE" w:rsidRDefault="00801BFE">
      <w:pPr>
        <w:pStyle w:val="BodyText"/>
      </w:pPr>
    </w:p>
    <w:p w14:paraId="2C248E21" w14:textId="77777777" w:rsidR="00801BFE" w:rsidRDefault="00801BFE">
      <w:pPr>
        <w:pStyle w:val="BodyText"/>
      </w:pPr>
    </w:p>
    <w:p w14:paraId="1F5FE710" w14:textId="1075EC63" w:rsidR="001E58D6" w:rsidRDefault="001E58D6">
      <w:pPr>
        <w:pStyle w:val="BodyText"/>
      </w:pPr>
    </w:p>
    <w:p w14:paraId="49017617" w14:textId="77777777" w:rsidR="00C632A3" w:rsidRDefault="00D632B9">
      <w:pPr>
        <w:pStyle w:val="Heading4"/>
      </w:pPr>
      <w:bookmarkStart w:id="13" w:name="ph-limitation"/>
      <w:bookmarkEnd w:id="12"/>
      <w:r>
        <w:t>pH limitation</w:t>
      </w:r>
    </w:p>
    <w:p w14:paraId="49017618" w14:textId="77777777" w:rsidR="00C632A3" w:rsidRDefault="00D632B9">
      <w:pPr>
        <w:pStyle w:val="FirstParagraph"/>
      </w:pPr>
      <w:r>
        <w:t xml:space="preserve">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w:t>
      </w:r>
      <w:r>
        <w:lastRenderedPageBreak/>
        <w:t>anaerobic pH of the system (6.7), as we did not observe any pH increases beyond this value.</w:t>
      </w:r>
    </w:p>
    <w:p w14:paraId="49017619" w14:textId="77777777" w:rsidR="00C632A3" w:rsidRDefault="00D632B9">
      <w:pPr>
        <w:pStyle w:val="BodyText"/>
      </w:pPr>
      <w: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rPr>
            </m:ctrlPr>
          </m:sSubPr>
          <m:e>
            <m:r>
              <w:rPr>
                <w:rFonts w:ascii="Cambria Math" w:hAnsi="Cambria Math"/>
              </w:rPr>
              <m:t>ξ</m:t>
            </m:r>
          </m:e>
          <m:sub>
            <m:r>
              <w:rPr>
                <w:rFonts w:ascii="Cambria Math" w:hAnsi="Cambria Math"/>
              </w:rPr>
              <m:t>A</m:t>
            </m:r>
          </m:sub>
        </m:sSub>
        <m:d>
          <m:dPr>
            <m:ctrlPr>
              <w:rPr>
                <w:rFonts w:ascii="Cambria Math" w:hAnsi="Cambria Math"/>
              </w:rPr>
            </m:ctrlPr>
          </m:dPr>
          <m:e>
            <m:r>
              <w:rPr>
                <w:rFonts w:ascii="Cambria Math" w:hAnsi="Cambria Math"/>
              </w:rPr>
              <m:t>pH</m:t>
            </m:r>
          </m:e>
        </m:d>
      </m:oMath>
      <w:r>
        <w:t xml:space="preserve"> ) that takes the current pH as an input and returns a value between zero and one. This output depends on the subpopulation's sensitivity to deviations from its preferred </w:t>
      </w:r>
      <w:proofErr w:type="spellStart"/>
      <w:r>
        <w:t>pH.</w:t>
      </w:r>
      <w:proofErr w:type="spellEnd"/>
      <w:r>
        <w:t xml:space="preserve"> The function must output a value of one at the optimal pH (or zero if we refer to pH sensitivity, where sensitivity =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A</m:t>
            </m:r>
          </m:sub>
        </m:sSub>
        <m:d>
          <m:dPr>
            <m:ctrlPr>
              <w:rPr>
                <w:rFonts w:ascii="Cambria Math" w:hAnsi="Cambria Math"/>
              </w:rPr>
            </m:ctrlPr>
          </m:dPr>
          <m:e>
            <m:r>
              <w:rPr>
                <w:rFonts w:ascii="Cambria Math" w:hAnsi="Cambria Math"/>
              </w:rPr>
              <m:t>pH</m:t>
            </m:r>
          </m:e>
        </m:d>
      </m:oMath>
      <w:r>
        <w:t xml:space="preserve"> ). </w:t>
      </w:r>
    </w:p>
    <w:p w14:paraId="4901761A" w14:textId="77777777" w:rsidR="00C632A3" w:rsidRDefault="00D632B9">
      <w:pPr>
        <w:pStyle w:val="BodyText"/>
      </w:pPr>
      <w: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Default="00D632B9">
      <w:pPr>
        <w:pStyle w:val="BodyText"/>
      </w:pPr>
      <w:r>
        <w:t xml:space="preserve">Where </w:t>
      </w:r>
      <m:oMath>
        <m:r>
          <w:rPr>
            <w:rFonts w:ascii="Cambria Math" w:hAnsi="Cambria Math"/>
          </w:rPr>
          <m:t>α</m:t>
        </m:r>
      </m:oMath>
      <w:r>
        <w:t xml:space="preserve"> and </w:t>
      </w:r>
      <m:oMath>
        <m:r>
          <w:rPr>
            <w:rFonts w:ascii="Cambria Math" w:hAnsi="Cambria Math"/>
          </w:rPr>
          <m:t>β</m:t>
        </m:r>
      </m:oMath>
      <w:r>
        <w:t xml:space="preserve"> are the shape and rate parameters of the gamma distribution and </w:t>
      </w:r>
      <m:oMath>
        <m:r>
          <w:rPr>
            <w:rFonts w:ascii="Cambria Math" w:hAnsi="Cambria Math"/>
          </w:rPr>
          <m:t>Γ</m:t>
        </m:r>
      </m:oMath>
      <w:r>
        <w:t xml:space="preserve"> is the gamma function. To obtain the properties we desire, we parameterized the above function with the optimal pH instead of the rate (</w:t>
      </w:r>
      <m:oMath>
        <m:r>
          <w:rPr>
            <w:rFonts w:ascii="Cambria Math" w:hAnsi="Cambria Math"/>
          </w:rPr>
          <m:t>β</m:t>
        </m:r>
      </m:oMath>
      <w:r>
        <w:t xml:space="preserve">), and we wanted its maximum value to be exactly one. To achieve this, we set the mode ( </w:t>
      </w:r>
      <m:oMath>
        <m:r>
          <w:rPr>
            <w:rFonts w:ascii="Cambria Math" w:hAnsi="Cambria Math"/>
          </w:rPr>
          <m:t>m</m:t>
        </m:r>
      </m:oMath>
      <w:r>
        <w:t xml:space="preserve"> ) of the gamma distribution to be the optimal pH and solve for </w:t>
      </w:r>
      <m:oMath>
        <m:r>
          <w:rPr>
            <w:rFonts w:ascii="Cambria Math" w:hAnsi="Cambria Math"/>
          </w:rPr>
          <m:t>β</m:t>
        </m:r>
      </m:oMath>
      <w: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Default="00D632B9">
      <w:pPr>
        <w:pStyle w:val="BodyText"/>
      </w:pPr>
      <w:r>
        <w:t xml:space="preserve">Next, for the optimal pH to return a value of one, we divide the function by its maximum value. Note that the maximum value of the function is exactly at the optimal </w:t>
      </w:r>
      <w:proofErr w:type="spellStart"/>
      <w:r>
        <w:t>pH.</w:t>
      </w:r>
      <w:proofErr w:type="spellEnd"/>
      <w:r>
        <w:t xml:space="preserve"> Tying it together, the impact of pH on the growth of subpopulation </w:t>
      </w:r>
      <m:oMath>
        <m:r>
          <w:rPr>
            <w:rFonts w:ascii="Cambria Math" w:hAnsi="Cambria Math"/>
          </w:rPr>
          <m:t>A</m:t>
        </m:r>
      </m:oMath>
      <w: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3" w14:textId="28FBBB5A" w:rsidR="00C632A3" w:rsidRDefault="00C632A3">
      <w:pPr>
        <w:pStyle w:val="BodyText"/>
      </w:pPr>
    </w:p>
    <w:p w14:paraId="49017624" w14:textId="32A54CC2" w:rsidR="00C632A3" w:rsidRDefault="00801BFE">
      <w:pPr>
        <w:pStyle w:val="BodyText"/>
      </w:pPr>
      <w:r>
        <w:rPr>
          <w:rFonts w:eastAsiaTheme="minorEastAsia"/>
        </w:rPr>
        <w:t>(</w:t>
      </w:r>
      <m:oMath>
        <m:r>
          <w:rPr>
            <w:rFonts w:ascii="Cambria Math" w:hAnsi="Cambria Math"/>
          </w:rPr>
          <m:t>φ</m:t>
        </m:r>
      </m:oMath>
      <w:r w:rsidR="00D632B9">
        <w:t xml:space="preserve"> </w:t>
      </w:r>
      <w:r>
        <w:t>is defined above)</w:t>
      </w:r>
    </w:p>
    <w:p w14:paraId="49017625" w14:textId="77777777" w:rsidR="00C632A3" w:rsidRDefault="00D632B9">
      <w:pPr>
        <w:pStyle w:val="BodyText"/>
      </w:pPr>
      <w:r>
        <w:lastRenderedPageBreak/>
        <w:t xml:space="preserve">Below we show the pH sensitivity of a subpopulation that has </w:t>
      </w:r>
      <m:oMath>
        <m:r>
          <w:rPr>
            <w:rFonts w:ascii="Cambria Math" w:hAnsi="Cambria Math"/>
          </w:rPr>
          <m:t>pHopt</m:t>
        </m:r>
        <m:r>
          <m:rPr>
            <m:sty m:val="p"/>
          </m:rPr>
          <w:rPr>
            <w:rFonts w:ascii="Cambria Math" w:hAnsi="Cambria Math"/>
          </w:rPr>
          <m:t>=</m:t>
        </m:r>
        <m:r>
          <w:rPr>
            <w:rFonts w:ascii="Cambria Math" w:hAnsi="Cambria Math"/>
          </w:rPr>
          <m:t>7.0</m:t>
        </m:r>
      </m:oMath>
      <w:r>
        <w:t xml:space="preserve"> for different values of </w:t>
      </w:r>
      <m:oMath>
        <m:r>
          <w:rPr>
            <w:rFonts w:ascii="Cambria Math" w:hAnsi="Cambria Math"/>
          </w:rPr>
          <m:t>α</m:t>
        </m:r>
      </m:oMath>
      <w:r>
        <w:t xml:space="preserve"> (note that </w:t>
      </w:r>
      <m:oMath>
        <m:r>
          <w:rPr>
            <w:rFonts w:ascii="Cambria Math" w:hAnsi="Cambria Math"/>
          </w:rPr>
          <m:t>α</m:t>
        </m:r>
      </m:oMath>
      <w: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8">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14" w:name="growth"/>
      <w:bookmarkEnd w:id="11"/>
      <w:bookmarkEnd w:id="13"/>
    </w:p>
    <w:p w14:paraId="49017627" w14:textId="2DAC178E" w:rsidR="00C632A3" w:rsidRDefault="00D632B9">
      <w:pPr>
        <w:pStyle w:val="Heading3"/>
      </w:pPr>
      <w:r>
        <w:t>Growth</w:t>
      </w:r>
    </w:p>
    <w:p w14:paraId="49017628" w14:textId="77777777" w:rsidR="00C632A3" w:rsidRDefault="00D632B9">
      <w:pPr>
        <w:pStyle w:val="FirstParagraph"/>
      </w:pPr>
      <w: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r>
          <w:rPr>
            <w:rFonts w:ascii="Cambria Math" w:hAnsi="Cambria Math"/>
          </w:rPr>
          <m:t>cellsμ</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oMath>
      <w:r>
        <w:t>, comparable to flow cytometer counts. These growth equations have four components:</w:t>
      </w:r>
    </w:p>
    <w:p w14:paraId="49017629" w14:textId="77777777" w:rsidR="00C632A3" w:rsidRDefault="00D632B9">
      <w:pPr>
        <w:pStyle w:val="BodyText"/>
      </w:pPr>
      <w:r>
        <w:t>a) Maximum intrinsic growth rate (</w:t>
      </w:r>
      <m:oMath>
        <m:r>
          <w:rPr>
            <w:rFonts w:ascii="Cambria Math" w:hAnsi="Cambria Math"/>
          </w:rPr>
          <m:t>μmax</m:t>
        </m:r>
      </m:oMath>
      <w:r>
        <w:t>)</w:t>
      </w:r>
    </w:p>
    <w:p w14:paraId="4901762A" w14:textId="77777777" w:rsidR="00C632A3" w:rsidRDefault="00D632B9">
      <w:pPr>
        <w:pStyle w:val="BodyText"/>
      </w:pPr>
      <w:r>
        <w:t xml:space="preserve">This represents the maximum growth rate that a subpopulation's physiology supports. In the absence of any limiting factors, cells would grow at a rate equal to </w:t>
      </w:r>
      <m:oMath>
        <m:r>
          <w:rPr>
            <w:rFonts w:ascii="Cambria Math" w:hAnsi="Cambria Math"/>
          </w:rPr>
          <m:t>μmax</m:t>
        </m:r>
      </m:oMath>
      <w:r>
        <w:t>.</w:t>
      </w:r>
    </w:p>
    <w:p w14:paraId="4901762B" w14:textId="77777777" w:rsidR="00C632A3" w:rsidRDefault="00D632B9">
      <w:pPr>
        <w:pStyle w:val="BodyText"/>
      </w:pPr>
      <w:r>
        <w:t>b) pH limitation (</w:t>
      </w:r>
      <m:oMath>
        <m:r>
          <w:rPr>
            <w:rFonts w:ascii="Cambria Math" w:hAnsi="Cambria Math"/>
          </w:rPr>
          <m:t>ξ</m:t>
        </m:r>
      </m:oMath>
      <w:r>
        <w:t>)</w:t>
      </w:r>
    </w:p>
    <w:p w14:paraId="4901762C" w14:textId="549C12BD" w:rsidR="00C632A3" w:rsidRDefault="00D632B9">
      <w:pPr>
        <w:pStyle w:val="BodyText"/>
      </w:pPr>
      <w:r>
        <w:t xml:space="preserve">This component </w:t>
      </w:r>
      <w:r w:rsidR="00925BD6">
        <w:t>considers</w:t>
      </w:r>
      <w:r>
        <w:t xml:space="preserve"> the impact of pH on growth, using a modified probability density function of the gamma distribution. The function </w:t>
      </w:r>
      <m:oMath>
        <m:sSub>
          <m:sSubPr>
            <m:ctrlPr>
              <w:rPr>
                <w:rFonts w:ascii="Cambria Math" w:hAnsi="Cambria Math"/>
              </w:rPr>
            </m:ctrlPr>
          </m:sSubPr>
          <m:e>
            <m:r>
              <w:rPr>
                <w:rFonts w:ascii="Cambria Math" w:hAnsi="Cambria Math"/>
              </w:rPr>
              <m:t>ξ</m:t>
            </m:r>
          </m:e>
          <m:sub>
            <m:r>
              <w:rPr>
                <w:rFonts w:ascii="Cambria Math" w:hAnsi="Cambria Math"/>
              </w:rPr>
              <m:t>A</m:t>
            </m:r>
          </m:sub>
        </m:sSub>
        <m:d>
          <m:dPr>
            <m:ctrlPr>
              <w:rPr>
                <w:rFonts w:ascii="Cambria Math" w:hAnsi="Cambria Math"/>
              </w:rPr>
            </m:ctrlPr>
          </m:dPr>
          <m:e>
            <m:r>
              <w:rPr>
                <w:rFonts w:ascii="Cambria Math" w:hAnsi="Cambria Math"/>
              </w:rPr>
              <m:t>pH</m:t>
            </m:r>
          </m:e>
        </m:d>
      </m:oMath>
      <w:r>
        <w:t xml:space="preserve"> returns a value between zero and one, depending on how sensitive the subpopulation is to deviations from its preferred </w:t>
      </w:r>
      <w:proofErr w:type="spellStart"/>
      <w:r>
        <w:t>pH.</w:t>
      </w:r>
      <w:proofErr w:type="spellEnd"/>
    </w:p>
    <w:p w14:paraId="4901762D" w14:textId="77777777" w:rsidR="00C632A3" w:rsidRDefault="00D632B9">
      <w:pPr>
        <w:pStyle w:val="BodyText"/>
      </w:pPr>
      <w:r>
        <w:t>c) Nutrient consumption</w:t>
      </w:r>
    </w:p>
    <w:p w14:paraId="4901762E" w14:textId="05C1DCB5" w:rsidR="00C632A3" w:rsidRDefault="00D632B9">
      <w:pPr>
        <w:pStyle w:val="BodyText"/>
      </w:pPr>
      <w:r>
        <w:lastRenderedPageBreak/>
        <w:t xml:space="preserve">This is based on the additive combination of the </w:t>
      </w:r>
      <w:r w:rsidRPr="00801BFE">
        <w:t>feeding terms</w:t>
      </w:r>
      <w:r>
        <w:t xml:space="preserve"> that are actively used by a subpopulation.</w:t>
      </w:r>
    </w:p>
    <w:p w14:paraId="4901762F" w14:textId="77777777" w:rsidR="00C632A3" w:rsidRDefault="00D632B9">
      <w:pPr>
        <w:pStyle w:val="BodyText"/>
      </w:pPr>
      <w:r>
        <w:t>d) Subpopulation transitions</w:t>
      </w:r>
    </w:p>
    <w:p w14:paraId="49017630" w14:textId="4EEDC637" w:rsidR="00C632A3" w:rsidRDefault="00D632B9">
      <w:pPr>
        <w:pStyle w:val="BodyText"/>
      </w:pPr>
      <w:r>
        <w:t xml:space="preserve">This component </w:t>
      </w:r>
      <w:r w:rsidR="00925BD6">
        <w:t>considers</w:t>
      </w:r>
      <w:r>
        <w:t xml:space="preserve"> incoming and outgoing </w:t>
      </w:r>
      <w:r w:rsidRPr="00801BFE">
        <w:t>subpopulation transitions</w:t>
      </w:r>
      <w:r>
        <w:t>.</w:t>
      </w:r>
    </w:p>
    <w:p w14:paraId="49017631" w14:textId="77777777" w:rsidR="00C632A3" w:rsidRDefault="00C632A3">
      <w:pPr>
        <w:pStyle w:val="BodyText"/>
      </w:pPr>
    </w:p>
    <w:p w14:paraId="49017632" w14:textId="77777777" w:rsidR="00C632A3" w:rsidRDefault="00D632B9">
      <w:pPr>
        <w:pStyle w:val="BodyText"/>
      </w:pPr>
      <w:r>
        <w:t xml:space="preserve">Next, we illustrate the model equations for the following toy diagram where subpopulation </w:t>
      </w:r>
      <m:oMath>
        <m:r>
          <w:rPr>
            <w:rFonts w:ascii="Cambria Math" w:hAnsi="Cambria Math"/>
          </w:rPr>
          <m:t>A</m:t>
        </m:r>
      </m:oMath>
      <w:r>
        <w:t xml:space="preserve"> grows on </w:t>
      </w:r>
      <m:oMath>
        <m:sSub>
          <m:sSubPr>
            <m:ctrlPr>
              <w:rPr>
                <w:rFonts w:ascii="Cambria Math" w:hAnsi="Cambria Math"/>
              </w:rPr>
            </m:ctrlPr>
          </m:sSubPr>
          <m:e>
            <m:r>
              <w:rPr>
                <w:rFonts w:ascii="Cambria Math" w:hAnsi="Cambria Math"/>
              </w:rPr>
              <m:t>M</m:t>
            </m:r>
          </m:e>
          <m:sub>
            <m:r>
              <w:rPr>
                <w:rFonts w:ascii="Cambria Math" w:hAnsi="Cambria Math"/>
              </w:rPr>
              <m:t>1</m:t>
            </m:r>
          </m:sub>
        </m:sSub>
      </m:oMath>
      <w:r>
        <w:t xml:space="preserve"> and secretes </w:t>
      </w:r>
      <m:oMath>
        <m:sSub>
          <m:sSubPr>
            <m:ctrlPr>
              <w:rPr>
                <w:rFonts w:ascii="Cambria Math" w:hAnsi="Cambria Math"/>
              </w:rPr>
            </m:ctrlPr>
          </m:sSubPr>
          <m:e>
            <m:r>
              <w:rPr>
                <w:rFonts w:ascii="Cambria Math" w:hAnsi="Cambria Math"/>
              </w:rPr>
              <m:t>M</m:t>
            </m:r>
          </m:e>
          <m:sub>
            <m:r>
              <w:rPr>
                <w:rFonts w:ascii="Cambria Math" w:hAnsi="Cambria Math"/>
              </w:rPr>
              <m:t>2</m:t>
            </m:r>
          </m:sub>
        </m:sSub>
      </m:oMath>
      <w:r>
        <w:t xml:space="preserve">. When </w:t>
      </w:r>
      <m:oMath>
        <m:sSub>
          <m:sSubPr>
            <m:ctrlPr>
              <w:rPr>
                <w:rFonts w:ascii="Cambria Math" w:hAnsi="Cambria Math"/>
              </w:rPr>
            </m:ctrlPr>
          </m:sSubPr>
          <m:e>
            <m:r>
              <w:rPr>
                <w:rFonts w:ascii="Cambria Math" w:hAnsi="Cambria Math"/>
              </w:rPr>
              <m:t>M</m:t>
            </m:r>
          </m:e>
          <m:sub>
            <m:r>
              <w:rPr>
                <w:rFonts w:ascii="Cambria Math" w:hAnsi="Cambria Math"/>
              </w:rPr>
              <m:t>1</m:t>
            </m:r>
          </m:sub>
        </m:sSub>
      </m:oMath>
      <w:r>
        <w:t xml:space="preserve"> is depleted from the media, if both </w:t>
      </w:r>
      <m:oMath>
        <m:sSub>
          <m:sSubPr>
            <m:ctrlPr>
              <w:rPr>
                <w:rFonts w:ascii="Cambria Math" w:hAnsi="Cambria Math"/>
              </w:rPr>
            </m:ctrlPr>
          </m:sSubPr>
          <m:e>
            <m:r>
              <w:rPr>
                <w:rFonts w:ascii="Cambria Math" w:hAnsi="Cambria Math"/>
              </w:rPr>
              <m:t>M</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4</m:t>
            </m:r>
          </m:sub>
        </m:sSub>
      </m:oMath>
      <w:r>
        <w:t xml:space="preserve"> are available, it switches to a new growth mode, summarized by subpopulation </w:t>
      </w:r>
      <m:oMath>
        <m:r>
          <w:rPr>
            <w:rFonts w:ascii="Cambria Math" w:hAnsi="Cambria Math"/>
          </w:rPr>
          <m:t>B</m:t>
        </m:r>
      </m:oMath>
      <w:r>
        <w:t xml:space="preserve"> that grows by simultaneously consuming </w:t>
      </w:r>
      <m:oMath>
        <m:sSub>
          <m:sSubPr>
            <m:ctrlPr>
              <w:rPr>
                <w:rFonts w:ascii="Cambria Math" w:hAnsi="Cambria Math"/>
              </w:rPr>
            </m:ctrlPr>
          </m:sSubPr>
          <m:e>
            <m:r>
              <w:rPr>
                <w:rFonts w:ascii="Cambria Math" w:hAnsi="Cambria Math"/>
              </w:rPr>
              <m:t>M</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4</m:t>
            </m:r>
          </m:sub>
        </m:sSub>
      </m:oMath>
      <w:r>
        <w:t xml:space="preserve"> while still s</w:t>
      </w:r>
      <w:proofErr w:type="spellStart"/>
      <w:r>
        <w:t>ecreting</w:t>
      </w:r>
      <w:proofErr w:type="spellEnd"/>
      <w:r>
        <w:t xml:space="preserve"> </w:t>
      </w:r>
      <m:oMath>
        <m:sSub>
          <m:sSubPr>
            <m:ctrlPr>
              <w:rPr>
                <w:rFonts w:ascii="Cambria Math" w:hAnsi="Cambria Math"/>
              </w:rPr>
            </m:ctrlPr>
          </m:sSubPr>
          <m:e>
            <m:r>
              <w:rPr>
                <w:rFonts w:ascii="Cambria Math" w:hAnsi="Cambria Math"/>
              </w:rPr>
              <m:t>M</m:t>
            </m:r>
          </m:e>
          <m:sub>
            <m:r>
              <w:rPr>
                <w:rFonts w:ascii="Cambria Math" w:hAnsi="Cambria Math"/>
              </w:rPr>
              <m:t>2</m:t>
            </m:r>
          </m:sub>
        </m:sSub>
      </m:oMath>
      <w: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9">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Default="00D632B9">
      <w:pPr>
        <w:pStyle w:val="BodyText"/>
      </w:pPr>
      <m:oMath>
        <m:sSub>
          <m:sSubPr>
            <m:ctrlPr>
              <w:rPr>
                <w:rFonts w:ascii="Cambria Math" w:hAnsi="Cambria Math"/>
              </w:rPr>
            </m:ctrlPr>
          </m:sSubPr>
          <m:e>
            <m:r>
              <w:rPr>
                <w:rFonts w:ascii="Cambria Math" w:hAnsi="Cambria Math"/>
              </w:rPr>
              <m:t>ξ</m:t>
            </m:r>
          </m:e>
          <m:sub>
            <m:r>
              <w:rPr>
                <w:rFonts w:ascii="Cambria Math" w:hAnsi="Cambria Math"/>
              </w:rPr>
              <m:t>A</m:t>
            </m:r>
          </m:sub>
        </m:sSub>
        <m:d>
          <m:dPr>
            <m:ctrlPr>
              <w:rPr>
                <w:rFonts w:ascii="Cambria Math" w:hAnsi="Cambria Math"/>
              </w:rPr>
            </m:ctrlPr>
          </m:dPr>
          <m:e>
            <m:r>
              <w:rPr>
                <w:rFonts w:ascii="Cambria Math" w:hAnsi="Cambria Math"/>
              </w:rPr>
              <m:t>pH</m:t>
            </m:r>
          </m:e>
        </m:d>
      </m:oMath>
      <w:r>
        <w:t xml:space="preserve"> </w:t>
      </w:r>
      <w:r w:rsidR="00925BD6">
        <w:t xml:space="preserve">is explained in the “pH limitation” </w:t>
      </w:r>
      <w:r w:rsidR="002310AC">
        <w:t>session above.</w:t>
      </w:r>
      <w:bookmarkStart w:id="15" w:name="_GoBack"/>
      <w:bookmarkEnd w:id="15"/>
    </w:p>
    <w:p w14:paraId="47F955A2" w14:textId="77777777" w:rsidR="00925BD6" w:rsidRDefault="00925BD6">
      <w:pPr>
        <w:pStyle w:val="BodyText"/>
      </w:pPr>
    </w:p>
    <w:p w14:paraId="4901763B" w14:textId="1D75B6FA" w:rsidR="00C632A3" w:rsidRDefault="00D632B9">
      <w:pPr>
        <w:pStyle w:val="BodyText"/>
      </w:pPr>
      <w:r>
        <w:t>The transition function is:</w:t>
      </w:r>
    </w:p>
    <w:p w14:paraId="4EC725EB" w14:textId="1AB11B5B" w:rsidR="00925BD6" w:rsidRDefault="00925BD6">
      <w:pPr>
        <w:pStyle w:val="BodyText"/>
      </w:pPr>
      <w:r>
        <w:rPr>
          <w:noProof/>
        </w:rPr>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Default="00D632B9">
      <w:pPr>
        <w:numPr>
          <w:ilvl w:val="0"/>
          <w:numId w:val="3"/>
        </w:numPr>
      </w:pPr>
      <w:r>
        <w:t xml:space="preserve">Growth of subpopulation </w:t>
      </w:r>
      <m:oMath>
        <m:r>
          <w:rPr>
            <w:rFonts w:ascii="Cambria Math" w:hAnsi="Cambria Math"/>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Default="00D632B9">
      <w:pPr>
        <w:numPr>
          <w:ilvl w:val="0"/>
          <w:numId w:val="4"/>
        </w:numPr>
      </w:pPr>
      <w:r>
        <w:t xml:space="preserve">Consumption of metabolite </w:t>
      </w:r>
      <m:oMath>
        <m:sSub>
          <m:sSubPr>
            <m:ctrlPr>
              <w:rPr>
                <w:rFonts w:ascii="Cambria Math" w:hAnsi="Cambria Math"/>
              </w:rPr>
            </m:ctrlPr>
          </m:sSubPr>
          <m:e>
            <m:r>
              <w:rPr>
                <w:rFonts w:ascii="Cambria Math" w:hAnsi="Cambria Math"/>
              </w:rPr>
              <m:t>M</m:t>
            </m:r>
          </m:e>
          <m:sub>
            <m:r>
              <w:rPr>
                <w:rFonts w:ascii="Cambria Math" w:hAnsi="Cambria Math"/>
              </w:rPr>
              <m:t>1</m:t>
            </m:r>
          </m:sub>
        </m:sSub>
      </m:oMath>
    </w:p>
    <w:p w14:paraId="49017648" w14:textId="77777777" w:rsidR="00C632A3" w:rsidRDefault="00D632B9">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Default="00D632B9">
      <w:pPr>
        <w:numPr>
          <w:ilvl w:val="0"/>
          <w:numId w:val="5"/>
        </w:numPr>
      </w:pPr>
      <w:r>
        <w:t xml:space="preserve">Consumption of metabolite </w:t>
      </w:r>
      <m:oMath>
        <m:sSub>
          <m:sSubPr>
            <m:ctrlPr>
              <w:rPr>
                <w:rFonts w:ascii="Cambria Math" w:hAnsi="Cambria Math"/>
              </w:rPr>
            </m:ctrlPr>
          </m:sSubPr>
          <m:e>
            <m:r>
              <w:rPr>
                <w:rFonts w:ascii="Cambria Math" w:hAnsi="Cambria Math"/>
              </w:rPr>
              <m:t>M</m:t>
            </m:r>
          </m:e>
          <m:sub>
            <m:r>
              <w:rPr>
                <w:rFonts w:ascii="Cambria Math" w:hAnsi="Cambria Math"/>
              </w:rPr>
              <m:t>3</m:t>
            </m:r>
          </m:sub>
        </m:sSub>
      </m:oMath>
    </w:p>
    <w:p w14:paraId="4901764D" w14:textId="77777777" w:rsidR="00C632A3" w:rsidRDefault="00D632B9">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Default="00D632B9">
      <w:pPr>
        <w:numPr>
          <w:ilvl w:val="0"/>
          <w:numId w:val="6"/>
        </w:numPr>
      </w:pPr>
      <w:r>
        <w:t xml:space="preserve">Consumption of metabolite </w:t>
      </w:r>
      <m:oMath>
        <m:sSub>
          <m:sSubPr>
            <m:ctrlPr>
              <w:rPr>
                <w:rFonts w:ascii="Cambria Math" w:hAnsi="Cambria Math"/>
              </w:rPr>
            </m:ctrlPr>
          </m:sSubPr>
          <m:e>
            <m:r>
              <w:rPr>
                <w:rFonts w:ascii="Cambria Math" w:hAnsi="Cambria Math"/>
              </w:rPr>
              <m:t>M</m:t>
            </m:r>
          </m:e>
          <m:sub>
            <m:r>
              <w:rPr>
                <w:rFonts w:ascii="Cambria Math" w:hAnsi="Cambria Math"/>
              </w:rPr>
              <m:t>4</m:t>
            </m:r>
          </m:sub>
        </m:sSub>
      </m:oMath>
    </w:p>
    <w:p w14:paraId="49017652" w14:textId="77777777" w:rsidR="00C632A3" w:rsidRDefault="00D632B9">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4" w14:textId="77777777" w:rsidR="00C632A3" w:rsidRDefault="00D632B9">
      <w:pPr>
        <w:pStyle w:val="BodyText"/>
      </w:pPr>
      <w:r>
        <w:t xml:space="preserve"> </w:t>
      </w:r>
    </w:p>
    <w:p w14:paraId="49017655" w14:textId="77777777" w:rsidR="00C632A3" w:rsidRDefault="00C632A3">
      <w:pPr>
        <w:pStyle w:val="BodyText"/>
      </w:pPr>
    </w:p>
    <w:p w14:paraId="49017656" w14:textId="77777777" w:rsidR="00C632A3" w:rsidRDefault="00D632B9">
      <w:pPr>
        <w:numPr>
          <w:ilvl w:val="0"/>
          <w:numId w:val="7"/>
        </w:numPr>
      </w:pPr>
      <w:r>
        <w:t xml:space="preserve">Production of metabolite </w:t>
      </w:r>
      <m:oMath>
        <m:sSub>
          <m:sSubPr>
            <m:ctrlPr>
              <w:rPr>
                <w:rFonts w:ascii="Cambria Math" w:hAnsi="Cambria Math"/>
              </w:rPr>
            </m:ctrlPr>
          </m:sSubPr>
          <m:e>
            <m:r>
              <w:rPr>
                <w:rFonts w:ascii="Cambria Math" w:hAnsi="Cambria Math"/>
              </w:rPr>
              <m:t>M</m:t>
            </m:r>
          </m:e>
          <m:sub>
            <m:r>
              <w:rPr>
                <w:rFonts w:ascii="Cambria Math" w:hAnsi="Cambria Math"/>
              </w:rPr>
              <m:t>2</m:t>
            </m:r>
          </m:sub>
        </m:sSub>
      </m:oMath>
    </w:p>
    <w:p w14:paraId="49017657" w14:textId="77777777" w:rsidR="00C632A3" w:rsidRDefault="00D632B9">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Default="00D632B9" w:rsidP="00925BD6">
      <w:pPr>
        <w:numPr>
          <w:ilvl w:val="0"/>
          <w:numId w:val="8"/>
        </w:numPr>
      </w:pPr>
      <w: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Default="00D632B9">
      <w:pPr>
        <w:pStyle w:val="BodyText"/>
      </w:pPr>
      <w:r>
        <w:t xml:space="preserve">where </w:t>
      </w:r>
      <m:oMath>
        <m:r>
          <w:rPr>
            <w:rFonts w:ascii="Cambria Math" w:hAnsi="Cambria Math"/>
          </w:rPr>
          <m:t>β</m:t>
        </m:r>
      </m:oMath>
      <w:r>
        <w:t xml:space="preserve"> is the elastic net weight attributed to </w:t>
      </w:r>
      <m:oMath>
        <m:sSub>
          <m:sSubPr>
            <m:ctrlPr>
              <w:rPr>
                <w:rFonts w:ascii="Cambria Math" w:hAnsi="Cambria Math"/>
              </w:rPr>
            </m:ctrlPr>
          </m:sSubPr>
          <m:e>
            <m:r>
              <w:rPr>
                <w:rFonts w:ascii="Cambria Math" w:hAnsi="Cambria Math"/>
              </w:rPr>
              <m:t>M</m:t>
            </m:r>
          </m:e>
          <m:sub>
            <m:r>
              <w:rPr>
                <w:rFonts w:ascii="Cambria Math" w:hAnsi="Cambria Math"/>
              </w:rPr>
              <m:t>2</m:t>
            </m:r>
          </m:sub>
        </m:sSub>
      </m:oMath>
      <w:r>
        <w:t>.</w:t>
      </w:r>
    </w:p>
    <w:p w14:paraId="49017660" w14:textId="77777777" w:rsidR="00C632A3" w:rsidRDefault="00C632A3">
      <w:pPr>
        <w:pStyle w:val="BodyText"/>
      </w:pPr>
    </w:p>
    <w:p w14:paraId="49017661" w14:textId="77777777" w:rsidR="00C632A3" w:rsidRDefault="00D632B9">
      <w:pPr>
        <w:pStyle w:val="Heading3"/>
      </w:pPr>
      <w:bookmarkStart w:id="16" w:name="pulses"/>
      <w:bookmarkEnd w:id="14"/>
      <w:r>
        <w:t>Pulses</w:t>
      </w:r>
    </w:p>
    <w:p w14:paraId="49017662" w14:textId="77777777" w:rsidR="00C632A3" w:rsidRDefault="00D632B9">
      <w:pPr>
        <w:pStyle w:val="FirstParagraph"/>
      </w:pPr>
      <w: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Default="00D632B9">
      <w:pPr>
        <w:numPr>
          <w:ilvl w:val="0"/>
          <w:numId w:val="9"/>
        </w:numPr>
      </w:pPr>
      <w:r>
        <w:t>Noncontinuous inflow (</w:t>
      </w:r>
      <m:oMath>
        <m:sSub>
          <m:sSubPr>
            <m:ctrlPr>
              <w:rPr>
                <w:rFonts w:ascii="Cambria Math" w:hAnsi="Cambria Math"/>
              </w:rPr>
            </m:ctrlPr>
          </m:sSubPr>
          <m:e>
            <m:r>
              <w:rPr>
                <w:rFonts w:ascii="Cambria Math" w:hAnsi="Cambria Math"/>
              </w:rPr>
              <m:t>v</m:t>
            </m:r>
          </m:e>
          <m:sub>
            <m:r>
              <w:rPr>
                <w:rFonts w:ascii="Cambria Math" w:hAnsi="Cambria Math"/>
              </w:rPr>
              <m:t>in</m:t>
            </m:r>
          </m:sub>
        </m:sSub>
      </m:oMath>
      <w:r>
        <w:t>) or outflow (</w:t>
      </w:r>
      <m:oMath>
        <m:sSub>
          <m:sSubPr>
            <m:ctrlPr>
              <w:rPr>
                <w:rFonts w:ascii="Cambria Math" w:hAnsi="Cambria Math"/>
              </w:rPr>
            </m:ctrlPr>
          </m:sSubPr>
          <m:e>
            <m:r>
              <w:rPr>
                <w:rFonts w:ascii="Cambria Math" w:hAnsi="Cambria Math"/>
              </w:rPr>
              <m:t>v</m:t>
            </m:r>
          </m:e>
          <m:sub>
            <m:r>
              <w:rPr>
                <w:rFonts w:ascii="Cambria Math" w:hAnsi="Cambria Math"/>
              </w:rPr>
              <m:t>out</m:t>
            </m:r>
          </m:sub>
        </m:sSub>
      </m:oMath>
      <w:r>
        <w:t>) of volume, which is performed at a single step at the beginning of the "pulse". Multiple "pulses" are required to simulate multiple influx and outflux events as in a serial passage experiment. The content of the influx vo</w:t>
      </w:r>
      <w:proofErr w:type="spellStart"/>
      <w:r>
        <w:t>lume</w:t>
      </w:r>
      <w:proofErr w:type="spellEnd"/>
      <w:r>
        <w:t>, defined by the user, could include fresh metabolites or even spent media from another culture. The user may also set its pH and, if necessary, a specific concentration of bacteria to simulate migration.</w:t>
      </w:r>
    </w:p>
    <w:p w14:paraId="49017664" w14:textId="77777777" w:rsidR="00C632A3" w:rsidRDefault="00D632B9">
      <w:pPr>
        <w:numPr>
          <w:ilvl w:val="0"/>
          <w:numId w:val="9"/>
        </w:numPr>
      </w:pPr>
      <w:r>
        <w:t>Continuous inflow (</w:t>
      </w:r>
      <m:oMath>
        <m:sSub>
          <m:sSubPr>
            <m:ctrlPr>
              <w:rPr>
                <w:rFonts w:ascii="Cambria Math" w:hAnsi="Cambria Math"/>
              </w:rPr>
            </m:ctrlPr>
          </m:sSubPr>
          <m:e>
            <m:r>
              <w:rPr>
                <w:rFonts w:ascii="Cambria Math" w:hAnsi="Cambria Math"/>
              </w:rPr>
              <m:t>q</m:t>
            </m:r>
          </m:e>
          <m:sub>
            <m:r>
              <w:rPr>
                <w:rFonts w:ascii="Cambria Math" w:hAnsi="Cambria Math"/>
              </w:rPr>
              <m:t>in</m:t>
            </m:r>
          </m:sub>
        </m:sSub>
      </m:oMath>
      <w:r>
        <w:t>) and outflow (</w:t>
      </w:r>
      <m:oMath>
        <m:sSub>
          <m:sSubPr>
            <m:ctrlPr>
              <w:rPr>
                <w:rFonts w:ascii="Cambria Math" w:hAnsi="Cambria Math"/>
              </w:rPr>
            </m:ctrlPr>
          </m:sSubPr>
          <m:e>
            <m:r>
              <w:rPr>
                <w:rFonts w:ascii="Cambria Math" w:hAnsi="Cambria Math"/>
              </w:rPr>
              <m:t>q</m:t>
            </m:r>
          </m:e>
          <m:sub>
            <m:r>
              <w:rPr>
                <w:rFonts w:ascii="Cambria Math" w:hAnsi="Cambria Math"/>
              </w:rPr>
              <m:t>out</m:t>
            </m:r>
          </m:sub>
        </m:sSub>
      </m:oMath>
      <w:r>
        <w:t>) of volume per time unit, added or removed from the reactor during a "pulse". Similar to the non-continuous events, the user defines the metabolome, microbiome, and pH of the feed.</w:t>
      </w:r>
    </w:p>
    <w:p w14:paraId="49017665" w14:textId="6C446638" w:rsidR="00C632A3" w:rsidRDefault="00D632B9">
      <w:pPr>
        <w:pStyle w:val="FirstParagraph"/>
      </w:pPr>
      <w:r>
        <w:t xml:space="preserve">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w:t>
      </w:r>
      <w:proofErr w:type="spellStart"/>
      <w:r>
        <w:t>multistability</w:t>
      </w:r>
      <w:proofErr w:type="spellEnd"/>
      <w:r>
        <w:t xml:space="preserve"> and trigger alternative community states.</w:t>
      </w:r>
      <w:bookmarkEnd w:id="0"/>
      <w:bookmarkEnd w:id="16"/>
    </w:p>
    <w:p w14:paraId="17126A9B" w14:textId="38908451" w:rsidR="00533FF9" w:rsidRDefault="00533FF9" w:rsidP="00533FF9">
      <w:pPr>
        <w:pStyle w:val="BodyText"/>
      </w:pPr>
    </w:p>
    <w:p w14:paraId="65F7249D" w14:textId="04C5DA83" w:rsidR="00533FF9" w:rsidRDefault="00533FF9" w:rsidP="00533FF9">
      <w:pPr>
        <w:pStyle w:val="Heading1"/>
      </w:pPr>
      <w:r>
        <w:t>State equations</w:t>
      </w:r>
    </w:p>
    <w:p w14:paraId="42215A8F" w14:textId="77777777" w:rsidR="00533FF9" w:rsidRDefault="00533FF9" w:rsidP="00533FF9">
      <w:pPr>
        <w:pStyle w:val="FirstParagraph"/>
      </w:pPr>
    </w:p>
    <w:p w14:paraId="7055A047" w14:textId="05103119" w:rsidR="00533FF9" w:rsidRDefault="00533FF9" w:rsidP="00533FF9">
      <w:pPr>
        <w:pStyle w:val="FirstParagraph"/>
      </w:pPr>
      <w:r>
        <w:t>Here, we define the state variables and equations that simulate bacterial growth and life strategies in our three-species synthetic community</w:t>
      </w:r>
      <w:r w:rsidR="00F57BFA">
        <w:t xml:space="preserve"> (depicted in Figure 2A of the main text)</w:t>
      </w:r>
      <w:r>
        <w:t xml:space="preserve">. The model components are assigned according to the description of </w:t>
      </w:r>
      <w:r w:rsidRPr="00533FF9">
        <w:t>the generic model</w:t>
      </w:r>
      <w:r>
        <w:t xml:space="preserve"> explained above and informed by our investigation of the </w:t>
      </w:r>
      <w:r w:rsidRPr="00533FF9">
        <w:t>growth kinetics</w:t>
      </w:r>
      <w:r>
        <w:t xml:space="preserve"> of each species (see Figure 1 in the main text). We assigned parameters that represent the best fit to three independent monoculture experiments, each with two or more biological replicates. </w:t>
      </w:r>
    </w:p>
    <w:p w14:paraId="1FF2B071" w14:textId="7649E932" w:rsidR="00533FF9" w:rsidRDefault="00533FF9" w:rsidP="00533FF9">
      <w:pPr>
        <w:pStyle w:val="BodyText"/>
      </w:pPr>
      <w:r>
        <w:t xml:space="preserve">Some of the notable features that we found while investigating the physiology of our bacteria in WC media in </w:t>
      </w:r>
      <w:r w:rsidRPr="00533FF9">
        <w:t>experiments</w:t>
      </w:r>
      <w:r>
        <w:t xml:space="preserve"> were incorporated into the model and are summarized below:</w:t>
      </w:r>
    </w:p>
    <w:p w14:paraId="3C67A137" w14:textId="77777777" w:rsidR="00533FF9" w:rsidRDefault="00533FF9" w:rsidP="00533FF9">
      <w:pPr>
        <w:pStyle w:val="BodyText"/>
      </w:pPr>
    </w:p>
    <w:p w14:paraId="6EA07D5D" w14:textId="0C84077F" w:rsidR="00533FF9" w:rsidRDefault="00533FF9" w:rsidP="00533FF9">
      <w:pPr>
        <w:pStyle w:val="Heading5"/>
      </w:pPr>
      <w:bookmarkStart w:id="17" w:name="Xa7c8be4d050ef41cf2ab9767fd44484ec4adce8"/>
      <w:proofErr w:type="spellStart"/>
      <w:r>
        <w:rPr>
          <w:i/>
        </w:rPr>
        <w:t>Blautia</w:t>
      </w:r>
      <w:proofErr w:type="spellEnd"/>
      <w:r>
        <w:rPr>
          <w:i/>
        </w:rPr>
        <w:t xml:space="preserve"> </w:t>
      </w:r>
      <w:proofErr w:type="spellStart"/>
      <w:r>
        <w:rPr>
          <w:i/>
        </w:rPr>
        <w:t>hydrogenotrophica</w:t>
      </w:r>
      <w:proofErr w:type="spellEnd"/>
      <w:r>
        <w:t xml:space="preserve"> DSM 10507 (referred to as "</w:t>
      </w:r>
      <w:proofErr w:type="spellStart"/>
      <w:r>
        <w:t>Bh</w:t>
      </w:r>
      <w:proofErr w:type="spellEnd"/>
      <w:r>
        <w:t xml:space="preserve">"). </w:t>
      </w:r>
    </w:p>
    <w:p w14:paraId="40204F01" w14:textId="77777777" w:rsidR="00533FF9" w:rsidRPr="00533FF9" w:rsidRDefault="00533FF9" w:rsidP="00533FF9">
      <w:pPr>
        <w:pStyle w:val="BodyText"/>
      </w:pPr>
    </w:p>
    <w:p w14:paraId="1DF65671" w14:textId="77777777" w:rsidR="00533FF9" w:rsidRDefault="00533FF9" w:rsidP="00533FF9">
      <w:pPr>
        <w:numPr>
          <w:ilvl w:val="0"/>
          <w:numId w:val="10"/>
        </w:numPr>
      </w:pPr>
      <w:proofErr w:type="spellStart"/>
      <w:r>
        <w:t>Bh</w:t>
      </w:r>
      <w:proofErr w:type="spellEnd"/>
      <w:r>
        <w:t xml:space="preserve"> shows preference for trehalose over glucose:</w:t>
      </w:r>
    </w:p>
    <w:p w14:paraId="0E5EF80F" w14:textId="77777777" w:rsidR="00533FF9" w:rsidRDefault="00533FF9" w:rsidP="00533FF9">
      <w:pPr>
        <w:numPr>
          <w:ilvl w:val="1"/>
          <w:numId w:val="2"/>
        </w:numPr>
      </w:pPr>
      <w:r>
        <w:t>When both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and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are present in the medium, Bh first consumes trehalose and neglects glucose until trehalose is depleted. </w:t>
      </w:r>
    </w:p>
    <w:p w14:paraId="6C5F041B" w14:textId="37955934" w:rsidR="00533FF9" w:rsidRDefault="00533FF9" w:rsidP="00533FF9">
      <w:pPr>
        <w:numPr>
          <w:ilvl w:val="1"/>
          <w:numId w:val="2"/>
        </w:numPr>
      </w:pPr>
      <w:proofErr w:type="spellStart"/>
      <w:r>
        <w:t>Bh's</w:t>
      </w:r>
      <w:proofErr w:type="spellEnd"/>
      <w:r>
        <w:t xml:space="preserve"> genome contains a </w:t>
      </w:r>
      <w:r w:rsidRPr="00533FF9">
        <w:t>trehalose-specific PTS gene</w:t>
      </w:r>
      <w:r>
        <w:t xml:space="preserve">, which is found to be overexpressed when </w:t>
      </w:r>
      <w:proofErr w:type="spellStart"/>
      <w:r>
        <w:t>Bh</w:t>
      </w:r>
      <w:proofErr w:type="spellEnd"/>
      <w:r>
        <w:t xml:space="preserve"> grows on trehalose. Interestingly, the genome does not contain the </w:t>
      </w:r>
      <w:r w:rsidRPr="00533FF9">
        <w:t>glucose-specific IIA component of the PTS system</w:t>
      </w:r>
      <w:r>
        <w:t xml:space="preserve"> gene that is found in closely-related </w:t>
      </w:r>
      <w:proofErr w:type="spellStart"/>
      <w:r>
        <w:rPr>
          <w:i/>
          <w:iCs/>
        </w:rPr>
        <w:t>Blautia</w:t>
      </w:r>
      <w:proofErr w:type="spellEnd"/>
      <w:r>
        <w:t xml:space="preserve"> and </w:t>
      </w:r>
      <w:proofErr w:type="spellStart"/>
      <w:r>
        <w:rPr>
          <w:i/>
          <w:iCs/>
        </w:rPr>
        <w:t>Ruminococcus</w:t>
      </w:r>
      <w:proofErr w:type="spellEnd"/>
      <w: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rPr>
            </m:ctrlPr>
          </m:sSubPr>
          <m:e>
            <m:r>
              <w:rPr>
                <w:rFonts w:ascii="Cambria Math" w:hAnsi="Cambria Math"/>
              </w:rPr>
              <m:t>Z</m:t>
            </m:r>
          </m:e>
          <m:sub>
            <m:r>
              <w:rPr>
                <w:rFonts w:ascii="Cambria Math" w:hAnsi="Cambria Math"/>
              </w:rPr>
              <m:t>1</m:t>
            </m:r>
          </m:sub>
        </m:sSub>
      </m:oMath>
      <w:r>
        <w:t>), which triggers a switch from a subpopulation (</w:t>
      </w:r>
      <m:oMath>
        <m:sSub>
          <m:sSubPr>
            <m:ctrlPr>
              <w:rPr>
                <w:rFonts w:ascii="Cambria Math" w:hAnsi="Cambria Math"/>
              </w:rPr>
            </m:ctrlPr>
          </m:sSubPr>
          <m:e>
            <m:r>
              <w:rPr>
                <w:rFonts w:ascii="Cambria Math" w:hAnsi="Cambria Math"/>
              </w:rPr>
              <m:t>x</m:t>
            </m:r>
          </m:e>
          <m:sub>
            <m:r>
              <w:rPr>
                <w:rFonts w:ascii="Cambria Math" w:hAnsi="Cambria Math"/>
              </w:rPr>
              <m:t>a</m:t>
            </m:r>
          </m:sub>
        </m:sSub>
      </m:oMath>
      <w:r>
        <w:t>) that does not uptake glucose to a subpopulation that uptakes glucose (</w:t>
      </w:r>
      <m:oMath>
        <m:sSub>
          <m:sSubPr>
            <m:ctrlPr>
              <w:rPr>
                <w:rFonts w:ascii="Cambria Math" w:hAnsi="Cambria Math"/>
              </w:rPr>
            </m:ctrlPr>
          </m:sSubPr>
          <m:e>
            <m:r>
              <w:rPr>
                <w:rFonts w:ascii="Cambria Math" w:hAnsi="Cambria Math"/>
              </w:rPr>
              <m:t>x</m:t>
            </m:r>
          </m:e>
          <m:sub>
            <m:r>
              <w:rPr>
                <w:rFonts w:ascii="Cambria Math" w:hAnsi="Cambria Math"/>
              </w:rPr>
              <m:t>b</m:t>
            </m:r>
          </m:sub>
        </m:sSub>
      </m:oMath>
      <w:r>
        <w:t>) based on the concentration of trehalose.</w:t>
      </w:r>
    </w:p>
    <w:p w14:paraId="142D638B" w14:textId="77777777" w:rsidR="00533FF9" w:rsidRDefault="00533FF9" w:rsidP="00533FF9">
      <w:pPr>
        <w:numPr>
          <w:ilvl w:val="1"/>
          <w:numId w:val="2"/>
        </w:numPr>
      </w:pPr>
      <w:r>
        <w:t>We found that adding a higher concentration of trehalose to the media (</w:t>
      </w:r>
      <m:oMath>
        <m:r>
          <w:rPr>
            <w:rFonts w:ascii="Cambria Math" w:hAnsi="Cambria Math"/>
          </w:rPr>
          <m:t>4mM</m:t>
        </m:r>
      </m:oMath>
      <w:r>
        <w:t>) completely prevented Bh from shifting to glucose consumption. This behavior was not observed when increasing the concentration of pyruvate.</w:t>
      </w:r>
    </w:p>
    <w:p w14:paraId="2C5075FB" w14:textId="77777777" w:rsidR="00533FF9" w:rsidRDefault="00533FF9" w:rsidP="00533FF9">
      <w:pPr>
        <w:numPr>
          <w:ilvl w:val="1"/>
          <w:numId w:val="2"/>
        </w:numPr>
      </w:pPr>
      <w:r>
        <w:t>We also found that increasing trehalose leads to an increase in lactate production, while increasing pyruvate results in an increase in acetate, but not lactate production.</w:t>
      </w:r>
    </w:p>
    <w:p w14:paraId="25CAF7A6" w14:textId="2AA95CC5" w:rsidR="00533FF9" w:rsidRDefault="00533FF9" w:rsidP="00533FF9">
      <w:pPr>
        <w:numPr>
          <w:ilvl w:val="1"/>
          <w:numId w:val="2"/>
        </w:numPr>
      </w:pPr>
      <w: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77777777" w:rsidR="00533FF9" w:rsidRDefault="00533FF9" w:rsidP="00533FF9">
      <w:pPr>
        <w:numPr>
          <w:ilvl w:val="0"/>
          <w:numId w:val="11"/>
        </w:numPr>
      </w:pPr>
      <w:proofErr w:type="spellStart"/>
      <w:r>
        <w:t>Bh</w:t>
      </w:r>
      <w:proofErr w:type="spellEnd"/>
      <w:r>
        <w:t xml:space="preserve"> exhibits higher growth rates on glucose compared to trehalose and pyruvate:</w:t>
      </w:r>
    </w:p>
    <w:p w14:paraId="5E67A621" w14:textId="77777777" w:rsidR="00533FF9" w:rsidRDefault="00533FF9" w:rsidP="00533FF9">
      <w:pPr>
        <w:numPr>
          <w:ilvl w:val="1"/>
          <w:numId w:val="2"/>
        </w:numPr>
      </w:pPr>
      <w:r>
        <w:t>We observed higher growth-rates during the glucose-consuming stage compared to the trehalose-consuming stage.</w:t>
      </w:r>
    </w:p>
    <w:p w14:paraId="495D32B4" w14:textId="77777777" w:rsidR="00533FF9" w:rsidRDefault="00533FF9" w:rsidP="00533FF9">
      <w:pPr>
        <w:numPr>
          <w:ilvl w:val="0"/>
          <w:numId w:val="11"/>
        </w:numPr>
      </w:pPr>
      <w:proofErr w:type="spellStart"/>
      <w:r>
        <w:t>Bh</w:t>
      </w:r>
      <w:proofErr w:type="spellEnd"/>
      <w:r>
        <w:t xml:space="preserve"> exhibits glucose co-limitation: </w:t>
      </w:r>
    </w:p>
    <w:p w14:paraId="176F00C1" w14:textId="6E387532" w:rsidR="00533FF9" w:rsidRDefault="00533FF9" w:rsidP="00533FF9">
      <w:pPr>
        <w:numPr>
          <w:ilvl w:val="1"/>
          <w:numId w:val="2"/>
        </w:numPr>
      </w:pPr>
      <w:r>
        <w:t xml:space="preserve">Not all of the glucose is consumed from the media before the culture enters the stationary and death phases, suggesting co-limitation with another substrate. The </w:t>
      </w:r>
      <w:r w:rsidRPr="00533FF9">
        <w:t>core-metabolic pathway</w:t>
      </w:r>
      <w:r>
        <w:t xml:space="preserve">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187CAC08" w14:textId="77777777" w:rsidR="00533FF9" w:rsidRDefault="00533FF9" w:rsidP="00533FF9">
      <w:pPr>
        <w:pStyle w:val="FirstParagraph"/>
      </w:pPr>
    </w:p>
    <w:p w14:paraId="01E06010" w14:textId="544AFF30" w:rsidR="00533FF9" w:rsidRDefault="00533FF9" w:rsidP="00533FF9">
      <w:pPr>
        <w:pStyle w:val="Heading5"/>
      </w:pPr>
      <w:bookmarkStart w:id="18" w:name="X1eed2e2a00097b039c9ce686dad62a9bd9dc8be"/>
      <w:bookmarkEnd w:id="17"/>
      <w:r>
        <w:rPr>
          <w:i/>
        </w:rPr>
        <w:t xml:space="preserve">Bacteroides </w:t>
      </w:r>
      <w:proofErr w:type="spellStart"/>
      <w:r>
        <w:rPr>
          <w:i/>
        </w:rPr>
        <w:t>thetaiotaomicron</w:t>
      </w:r>
      <w:proofErr w:type="spellEnd"/>
      <w:r>
        <w:t xml:space="preserve"> VPI-5482 (referred to as "</w:t>
      </w:r>
      <w:proofErr w:type="spellStart"/>
      <w:r>
        <w:t>Bt</w:t>
      </w:r>
      <w:proofErr w:type="spellEnd"/>
      <w:r>
        <w:t>")</w:t>
      </w:r>
    </w:p>
    <w:p w14:paraId="5C2CC727" w14:textId="77777777" w:rsidR="00DF3030" w:rsidRPr="00DF3030" w:rsidRDefault="00DF3030" w:rsidP="00DF3030">
      <w:pPr>
        <w:pStyle w:val="BodyText"/>
      </w:pPr>
    </w:p>
    <w:p w14:paraId="17D1FF49" w14:textId="77777777" w:rsidR="00533FF9" w:rsidRDefault="00533FF9" w:rsidP="00533FF9">
      <w:pPr>
        <w:numPr>
          <w:ilvl w:val="0"/>
          <w:numId w:val="12"/>
        </w:numPr>
      </w:pPr>
      <w:proofErr w:type="spellStart"/>
      <w:r>
        <w:t>Bt</w:t>
      </w:r>
      <w:proofErr w:type="spellEnd"/>
      <w:r>
        <w:t xml:space="preserve"> produces a range of fermentation acids that significantly decrease the medium pH:</w:t>
      </w:r>
    </w:p>
    <w:p w14:paraId="6E3B5335" w14:textId="77777777" w:rsidR="00533FF9" w:rsidRDefault="00533FF9" w:rsidP="00533FF9">
      <w:pPr>
        <w:numPr>
          <w:ilvl w:val="1"/>
          <w:numId w:val="2"/>
        </w:numPr>
      </w:pPr>
      <w:r>
        <w:t xml:space="preserve">In our experiments, </w:t>
      </w:r>
      <w:proofErr w:type="spellStart"/>
      <w:r>
        <w:t>Bt</w:t>
      </w:r>
      <w:proofErr w:type="spellEnd"/>
      <w:r>
        <w:t xml:space="preserve"> was observed to rapidly consume glucose and pyruvate, while producing a variety of fermentation acids. This resulted in a swift drop in the medium's </w:t>
      </w:r>
      <w:proofErr w:type="spellStart"/>
      <w:r>
        <w:t>pH.</w:t>
      </w:r>
      <w:proofErr w:type="spellEnd"/>
    </w:p>
    <w:p w14:paraId="74F4183B" w14:textId="77777777" w:rsidR="00533FF9" w:rsidRDefault="00533FF9" w:rsidP="00533FF9">
      <w:pPr>
        <w:numPr>
          <w:ilvl w:val="0"/>
          <w:numId w:val="12"/>
        </w:numPr>
      </w:pPr>
      <w:proofErr w:type="spellStart"/>
      <w:r>
        <w:t>Bt</w:t>
      </w:r>
      <w:proofErr w:type="spellEnd"/>
      <w:r>
        <w:t xml:space="preserve"> is inhibited by low pH values:</w:t>
      </w:r>
    </w:p>
    <w:p w14:paraId="53527290" w14:textId="4AB11E4E" w:rsidR="00533FF9" w:rsidRDefault="00533FF9" w:rsidP="00533FF9">
      <w:pPr>
        <w:numPr>
          <w:ilvl w:val="1"/>
          <w:numId w:val="2"/>
        </w:numPr>
      </w:pPr>
      <w:proofErr w:type="spellStart"/>
      <w:r>
        <w:t>Bt</w:t>
      </w:r>
      <w:proofErr w:type="spellEnd"/>
      <w:r>
        <w:t xml:space="preserve"> is known to be sensitive to low pH levels</w:t>
      </w:r>
      <w:r w:rsidR="00DF3030">
        <w:t xml:space="preserve"> ()</w:t>
      </w:r>
      <w: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Default="00533FF9" w:rsidP="00533FF9">
      <w:pPr>
        <w:numPr>
          <w:ilvl w:val="1"/>
          <w:numId w:val="2"/>
        </w:numPr>
      </w:pPr>
      <w:r>
        <w:t xml:space="preserve">But we also found that when carbon sources are exhausted most </w:t>
      </w:r>
      <w:proofErr w:type="spellStart"/>
      <w:r>
        <w:t>Bt</w:t>
      </w:r>
      <w:proofErr w:type="spellEnd"/>
      <w:r>
        <w:t xml:space="preserve"> cells lose their viability. This was confirmed through assessing cell permeability with PI staining. To represent this in our model, we introduced transition functions from active to inactive subpopulations that are triggered by nutrient depletion at low </w:t>
      </w:r>
      <w:proofErr w:type="spellStart"/>
      <w:r>
        <w:t>pH.</w:t>
      </w:r>
      <w:proofErr w:type="spellEnd"/>
    </w:p>
    <w:p w14:paraId="6C9A0D25" w14:textId="77777777" w:rsidR="00533FF9" w:rsidRDefault="00533FF9" w:rsidP="00533FF9">
      <w:pPr>
        <w:numPr>
          <w:ilvl w:val="0"/>
          <w:numId w:val="12"/>
        </w:numPr>
      </w:pPr>
      <w:proofErr w:type="spellStart"/>
      <w:r>
        <w:t>Bt</w:t>
      </w:r>
      <w:proofErr w:type="spellEnd"/>
      <w:r>
        <w:t xml:space="preserve"> fixes CO2, producing succinate:</w:t>
      </w:r>
    </w:p>
    <w:p w14:paraId="6CF73D00" w14:textId="61594BF4" w:rsidR="00533FF9" w:rsidRDefault="00533FF9" w:rsidP="00533FF9">
      <w:pPr>
        <w:numPr>
          <w:ilvl w:val="1"/>
          <w:numId w:val="2"/>
        </w:numPr>
      </w:pPr>
      <w:proofErr w:type="spellStart"/>
      <w:r>
        <w:t>Bt</w:t>
      </w:r>
      <w:proofErr w:type="spellEnd"/>
      <w:r>
        <w:t xml:space="preserve"> fixes CO2 by converting phosphoenolpyruvate (a C3 molecule) into oxaloacetate (a C4 molecule) in a process that mirrors carbon fixation in plants. Via the </w:t>
      </w:r>
      <w:r w:rsidRPr="00DF3030">
        <w:t>reductive carboxylation of phosphoenolpyruvate</w:t>
      </w:r>
      <w:r w:rsidR="00DF3030">
        <w:t xml:space="preserve"> ()</w:t>
      </w:r>
      <w:r>
        <w:t xml:space="preserve">, </w:t>
      </w:r>
      <w:proofErr w:type="spellStart"/>
      <w:r>
        <w:t>Bt</w:t>
      </w:r>
      <w:proofErr w:type="spellEnd"/>
      <w:r>
        <w:t xml:space="preserve"> generates ATP and produces succinate.</w:t>
      </w:r>
    </w:p>
    <w:p w14:paraId="63EC0CE1" w14:textId="77777777" w:rsidR="00533FF9" w:rsidRDefault="00533FF9" w:rsidP="00533FF9">
      <w:pPr>
        <w:numPr>
          <w:ilvl w:val="0"/>
          <w:numId w:val="12"/>
        </w:numPr>
      </w:pPr>
      <w:proofErr w:type="spellStart"/>
      <w:r>
        <w:t>Bt</w:t>
      </w:r>
      <w:proofErr w:type="spellEnd"/>
      <w:r>
        <w:t xml:space="preserve"> shows a second growth peak in WC medium:</w:t>
      </w:r>
    </w:p>
    <w:p w14:paraId="71B6F285" w14:textId="3308188D" w:rsidR="00533FF9" w:rsidRDefault="00533FF9" w:rsidP="00533FF9">
      <w:pPr>
        <w:numPr>
          <w:ilvl w:val="1"/>
          <w:numId w:val="2"/>
        </w:numPr>
      </w:pPr>
      <w:r>
        <w:t xml:space="preserve">We consistently observed a </w:t>
      </w:r>
      <w:r w:rsidRPr="00DF3030">
        <w:t>second growth peak</w:t>
      </w:r>
      <w:r>
        <w:t xml:space="preserve">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w:t>
      </w:r>
      <w:r w:rsidRPr="00DF3030">
        <w:t>gene expression data</w:t>
      </w:r>
      <w:r>
        <w:t>.</w:t>
      </w:r>
    </w:p>
    <w:p w14:paraId="1282CFE8" w14:textId="77777777" w:rsidR="00533FF9" w:rsidRDefault="00533FF9" w:rsidP="00533FF9">
      <w:pPr>
        <w:pStyle w:val="FirstParagraph"/>
      </w:pPr>
    </w:p>
    <w:p w14:paraId="3F6EA6DC" w14:textId="77777777" w:rsidR="00533FF9" w:rsidRDefault="00533FF9" w:rsidP="00533FF9">
      <w:pPr>
        <w:pStyle w:val="Heading5"/>
      </w:pPr>
      <w:bookmarkStart w:id="19" w:name="X9a9d9f6ed551f4a20d4dd32b81cbe3f13549f08"/>
      <w:bookmarkEnd w:id="18"/>
      <w:proofErr w:type="spellStart"/>
      <w:r>
        <w:rPr>
          <w:i/>
        </w:rPr>
        <w:t>Roseburia</w:t>
      </w:r>
      <w:proofErr w:type="spellEnd"/>
      <w:r>
        <w:rPr>
          <w:i/>
        </w:rPr>
        <w:t xml:space="preserve"> intestinalis</w:t>
      </w:r>
      <w:r>
        <w:t xml:space="preserve"> L1-82 (referred to as "Ri")</w:t>
      </w:r>
    </w:p>
    <w:p w14:paraId="13042CE0" w14:textId="77777777" w:rsidR="00533FF9" w:rsidRDefault="00533FF9" w:rsidP="00533FF9">
      <w:pPr>
        <w:numPr>
          <w:ilvl w:val="0"/>
          <w:numId w:val="13"/>
        </w:numPr>
      </w:pPr>
      <w:r>
        <w:t>Ri is a butyrate producer:</w:t>
      </w:r>
    </w:p>
    <w:p w14:paraId="223A56E2" w14:textId="0D20AD5B" w:rsidR="00533FF9" w:rsidRDefault="00533FF9" w:rsidP="00533FF9">
      <w:pPr>
        <w:numPr>
          <w:ilvl w:val="1"/>
          <w:numId w:val="2"/>
        </w:numPr>
      </w:pPr>
      <w:r>
        <w:t xml:space="preserve">By studying its core </w:t>
      </w:r>
      <w:r w:rsidRPr="00DF3030">
        <w:t>metabolic pathway</w:t>
      </w:r>
      <w:r>
        <w:t>, we found that Ri produces butyrate through the reverse beta oxidation pathway. In our experiments, Ri quickly consumed glucose and pyruvate and produced butyrate, acetate, and lactate.</w:t>
      </w:r>
    </w:p>
    <w:p w14:paraId="3323D6D9" w14:textId="77777777" w:rsidR="00533FF9" w:rsidRDefault="00533FF9" w:rsidP="00533FF9">
      <w:pPr>
        <w:numPr>
          <w:ilvl w:val="0"/>
          <w:numId w:val="13"/>
        </w:numPr>
      </w:pPr>
      <w:r>
        <w:t>Ri has lesser impact on the medium pH</w:t>
      </w:r>
    </w:p>
    <w:p w14:paraId="00F605E6" w14:textId="77777777" w:rsidR="00533FF9" w:rsidRDefault="00533FF9" w:rsidP="00533FF9">
      <w:pPr>
        <w:numPr>
          <w:ilvl w:val="1"/>
          <w:numId w:val="2"/>
        </w:numPr>
      </w:pPr>
      <w:r>
        <w:t xml:space="preserve">Unlike </w:t>
      </w:r>
      <w:proofErr w:type="spellStart"/>
      <w:r>
        <w:t>Bt</w:t>
      </w:r>
      <w:proofErr w:type="spellEnd"/>
      <w:r>
        <w:t>, Ri exerts a weaker effect on the pH of the medium despite its high growth rate.</w:t>
      </w:r>
    </w:p>
    <w:p w14:paraId="794CEB78" w14:textId="77777777" w:rsidR="00533FF9" w:rsidRDefault="00533FF9" w:rsidP="00533FF9">
      <w:pPr>
        <w:numPr>
          <w:ilvl w:val="0"/>
          <w:numId w:val="13"/>
        </w:numPr>
      </w:pPr>
      <w:r>
        <w:t>Ri enters a slow growth mode characterized by the consumption of lactate and acetate:</w:t>
      </w:r>
    </w:p>
    <w:p w14:paraId="16F24D2A" w14:textId="77777777" w:rsidR="00533FF9" w:rsidRDefault="00533FF9" w:rsidP="00533FF9">
      <w:pPr>
        <w:numPr>
          <w:ilvl w:val="1"/>
          <w:numId w:val="2"/>
        </w:numPr>
      </w:pPr>
      <w:r>
        <w:t>We observed that some of the lactate and acetate that are produced during growth in glucose and pyruvate, later get consumed, leading to a gradual increase in butyrate.</w:t>
      </w:r>
    </w:p>
    <w:p w14:paraId="6886F8EE" w14:textId="77777777" w:rsidR="00533FF9" w:rsidRDefault="00533FF9" w:rsidP="00533FF9">
      <w:pPr>
        <w:numPr>
          <w:ilvl w:val="1"/>
          <w:numId w:val="1"/>
        </w:numPr>
      </w:pPr>
    </w:p>
    <w:p w14:paraId="1D08B6E7" w14:textId="5D69A751" w:rsidR="00533FF9" w:rsidRDefault="00533FF9" w:rsidP="00533FF9">
      <w:pPr>
        <w:numPr>
          <w:ilvl w:val="1"/>
          <w:numId w:val="2"/>
        </w:numPr>
      </w:pPr>
      <w:r>
        <w:t>Following the consumption of glucose and pyruvate and production of butyrate, lactate, and acetate, most cells burst and are no longer detected by flow cytometry. However, a subset of cells can persist for several days, possibly entering a slow growth mode</w:t>
      </w:r>
      <w:r w:rsidR="00DF3030">
        <w:t xml:space="preserve"> ()</w:t>
      </w:r>
      <w:r>
        <w:t>. We modeled this behavior by having cells quickly die in the absence of glucose and transition to a slow growth mode when triggered by lactate.</w:t>
      </w:r>
    </w:p>
    <w:p w14:paraId="725D79BB" w14:textId="3944C99C" w:rsidR="00533FF9" w:rsidRDefault="00533FF9" w:rsidP="00533FF9">
      <w:pPr>
        <w:pStyle w:val="FirstParagraph"/>
      </w:pPr>
    </w:p>
    <w:p w14:paraId="1EF730D4" w14:textId="0C18EF9D" w:rsidR="00DF3030" w:rsidRDefault="00DF3030" w:rsidP="00DF3030">
      <w:pPr>
        <w:pStyle w:val="BodyText"/>
      </w:pPr>
    </w:p>
    <w:p w14:paraId="33AD0F29" w14:textId="1AA4BB9F" w:rsidR="00DF3030" w:rsidRDefault="00DF3030" w:rsidP="00DF3030">
      <w:pPr>
        <w:pStyle w:val="BodyText"/>
      </w:pPr>
    </w:p>
    <w:p w14:paraId="3CBE8DC4" w14:textId="77777777" w:rsidR="00DF3030" w:rsidRPr="00DF3030" w:rsidRDefault="00DF3030" w:rsidP="00DF3030">
      <w:pPr>
        <w:pStyle w:val="BodyText"/>
      </w:pPr>
    </w:p>
    <w:p w14:paraId="0713F585" w14:textId="77777777" w:rsidR="00533FF9" w:rsidRDefault="00533FF9" w:rsidP="00533FF9">
      <w:pPr>
        <w:pStyle w:val="Heading3"/>
      </w:pPr>
      <w:bookmarkStart w:id="20" w:name="states"/>
      <w:bookmarkEnd w:id="19"/>
      <w: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3BEA917" w14:textId="7777777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2A094F07" w14:textId="77777777" w:rsidR="00533FF9" w:rsidRDefault="00533FF9" w:rsidP="00533FF9">
      <w:pPr>
        <w:pStyle w:val="Heading3"/>
      </w:pPr>
      <w:bookmarkStart w:id="21" w:name="equations"/>
      <w:bookmarkEnd w:id="20"/>
      <w:r>
        <w:t>Equations</w:t>
      </w:r>
    </w:p>
    <w:p w14:paraId="422978F0" w14:textId="77777777" w:rsidR="00533FF9" w:rsidRDefault="00533FF9" w:rsidP="00533FF9">
      <w:pPr>
        <w:pStyle w:val="FirstParagraph"/>
      </w:pPr>
      <w:r>
        <w:br/>
      </w:r>
    </w:p>
    <w:bookmarkStart w:id="22" w:name="𝑥-𝑎"/>
    <w:bookmarkEnd w:id="21"/>
    <w:p w14:paraId="4C116E45"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976"/>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23">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p w14:paraId="4E0E64FB" w14:textId="7B3BF3EE" w:rsidR="00DF3030" w:rsidRPr="00DF3030" w:rsidRDefault="00DF3030"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BodyText"/>
      </w:pPr>
      <w:r>
        <w:br/>
      </w:r>
    </w:p>
    <w:p w14:paraId="6140E3D3" w14:textId="41823C40" w:rsidR="00533FF9" w:rsidRPr="00DF3030" w:rsidRDefault="00DF3030"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Default="00533FF9" w:rsidP="00533FF9">
      <w:pPr>
        <w:pStyle w:val="BodyText"/>
      </w:pPr>
      <w:r>
        <w:t xml:space="preserve">The </w:t>
      </w:r>
      <m:oMath>
        <m:r>
          <w:rPr>
            <w:rFonts w:ascii="Cambria Math" w:hAnsi="Cambria Math"/>
          </w:rPr>
          <m:t>φ</m:t>
        </m:r>
      </m:oMath>
      <w:r>
        <w:t xml:space="preserve"> function</w:t>
      </w:r>
      <w:r w:rsidR="00DF3030">
        <w:t xml:space="preserve"> is explained in the “pH limitation” section of the generic model.</w:t>
      </w:r>
    </w:p>
    <w:p w14:paraId="02F65CBD" w14:textId="7A008926" w:rsidR="00533FF9" w:rsidRDefault="00533FF9" w:rsidP="00533FF9">
      <w:pPr>
        <w:pStyle w:val="BodyText"/>
      </w:pPr>
      <w:r>
        <w:t xml:space="preserve"> </w:t>
      </w:r>
    </w:p>
    <w:p w14:paraId="7E482AEC" w14:textId="5C0FC1C5" w:rsidR="00533FF9" w:rsidRDefault="00533FF9" w:rsidP="00533FF9">
      <w:pPr>
        <w:pStyle w:val="BodyText"/>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r>
        <w:t>, triggered by low trehalose concentration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p w14:paraId="31A3AE53" w14:textId="13383038"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Default="00533FF9" w:rsidP="00533FF9">
      <w:pPr>
        <w:pStyle w:val="BodyText"/>
      </w:pPr>
      <w:r>
        <w:t xml:space="preserve">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triggered by high trehalose concentration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p w14:paraId="6E37086D" w14:textId="77777777" w:rsidR="00533FF9" w:rsidRDefault="00533FF9" w:rsidP="00533FF9">
      <w:pPr>
        <w:pStyle w:val="BodyText"/>
      </w:pPr>
    </w:p>
    <w:p w14:paraId="504B1F61" w14:textId="6D9E8D5D"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Default="00533FF9" w:rsidP="00533FF9">
      <w:pPr>
        <w:pStyle w:val="BodyText"/>
      </w:pPr>
      <w:r>
        <w:t xml:space="preserve">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r>
        <w:t>:</w:t>
      </w:r>
    </w:p>
    <w:p w14:paraId="4BF5FE74" w14:textId="0D4D7643" w:rsidR="00533FF9" w:rsidRDefault="00533FF9" w:rsidP="00533FF9">
      <w:pPr>
        <w:pStyle w:val="BodyText"/>
      </w:pPr>
    </w:p>
    <w:p w14:paraId="372F734B" w14:textId="2E0EC763"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671A75C2" w14:textId="727BE119" w:rsidR="00533FF9" w:rsidRDefault="00533FF9" w:rsidP="00533FF9">
      <w:pPr>
        <w:pStyle w:val="BodyText"/>
      </w:pPr>
      <w:r>
        <w:t xml:space="preserve"> </w:t>
      </w:r>
      <w:r>
        <w:br/>
      </w:r>
    </w:p>
    <w:bookmarkStart w:id="23" w:name="𝑥-𝑏"/>
    <w:bookmarkEnd w:id="22"/>
    <w:p w14:paraId="7D24854A"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819"/>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24">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br/>
      </w:r>
    </w:p>
    <w:p w14:paraId="05F4289A" w14:textId="48FC7ED9" w:rsidR="00533FF9" w:rsidRPr="00C80BD5" w:rsidRDefault="00C80BD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C80BD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5288C9C8" w14:textId="098869AC" w:rsidR="00533FF9" w:rsidRDefault="00533FF9" w:rsidP="00533FF9">
      <w:pPr>
        <w:pStyle w:val="BodyText"/>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triggered by low concentrations of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or </w:t>
      </w:r>
      <w:r w:rsidR="00B440FE">
        <w:t>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r>
        <w:br/>
      </w:r>
    </w:p>
    <w:p w14:paraId="64B1E1E9" w14:textId="0803F351"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BodyText"/>
      </w:pPr>
      <w:r>
        <w:t xml:space="preserve"> </w:t>
      </w:r>
    </w:p>
    <w:bookmarkStart w:id="24" w:name="𝑥-𝑐"/>
    <w:bookmarkEnd w:id="23"/>
    <w:p w14:paraId="1A1E3545"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993"/>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5">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533FF9"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t xml:space="preserve"> </w:t>
      </w:r>
      <w:r>
        <w:br/>
      </w:r>
    </w:p>
    <w:p w14:paraId="7CBC4B43" w14:textId="234F318D" w:rsidR="00533FF9" w:rsidRDefault="00533FF9"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Default="00533FF9" w:rsidP="00533FF9">
      <w:pPr>
        <w:pStyle w:val="BodyText"/>
      </w:pPr>
      <w:r>
        <w:t>fixed burst rate:</w:t>
      </w:r>
    </w:p>
    <w:p w14:paraId="403BCDA5" w14:textId="302CBD59"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25" w:name="𝑥-𝑒"/>
      <w:bookmarkEnd w:id="24"/>
    </w:p>
    <w:p w14:paraId="514D0057" w14:textId="3C54B205"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3072"/>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6">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533FF9"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C80BD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5415A943" w14:textId="77777777" w:rsidR="00C80BD5" w:rsidRPr="00C80BD5" w:rsidRDefault="00C80BD5" w:rsidP="00533FF9">
      <w:pPr>
        <w:pStyle w:val="BodyText"/>
        <w:rPr>
          <w:rFonts w:eastAsiaTheme="minorEastAsia"/>
        </w:rPr>
      </w:pPr>
    </w:p>
    <w:p w14:paraId="3C004719" w14:textId="77777777" w:rsidR="00533FF9" w:rsidRDefault="00533FF9" w:rsidP="00533FF9">
      <w:pPr>
        <w:pStyle w:val="BodyText"/>
      </w:pPr>
      <w:r>
        <w:t xml:space="preserve"> </w:t>
      </w:r>
    </w:p>
    <w:p w14:paraId="211FA989" w14:textId="4EED236C" w:rsidR="00533FF9" w:rsidRDefault="00533FF9" w:rsidP="00533FF9">
      <w:pPr>
        <w:pStyle w:val="BodyText"/>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triggered by low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high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concentrations:</w:t>
      </w:r>
    </w:p>
    <w:p w14:paraId="7A74D4FA" w14:textId="77777777" w:rsidR="00F57BFA" w:rsidRDefault="00F57BFA" w:rsidP="00533FF9">
      <w:pPr>
        <w:pStyle w:val="BodyText"/>
      </w:pPr>
    </w:p>
    <w:p w14:paraId="56B7A6EA" w14:textId="6F1B667D"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2A6976E1" w14:textId="0E60C4ED" w:rsidR="00533FF9" w:rsidRDefault="00533FF9" w:rsidP="00533FF9">
      <w:pPr>
        <w:pStyle w:val="BodyText"/>
      </w:pPr>
      <w:r>
        <w:t xml:space="preserve">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Default="00533FF9" w:rsidP="00533FF9">
      <w:pPr>
        <w:pStyle w:val="BodyText"/>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triggered by high glucose:</w:t>
      </w:r>
    </w:p>
    <w:p w14:paraId="0A51C33A" w14:textId="57DC0D07"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26" w:name="𝑥-𝑓"/>
    <w:bookmarkEnd w:id="25"/>
    <w:p w14:paraId="09CE0935"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305"/>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7">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533FF9"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C80BD5"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Default="00533FF9" w:rsidP="00533FF9">
      <w:pPr>
        <w:pStyle w:val="BodyText"/>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triggered by low mannose concentration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low pH:</w:t>
      </w:r>
    </w:p>
    <w:p w14:paraId="72EE18B6" w14:textId="77777777" w:rsidR="00533FF9" w:rsidRDefault="00533FF9" w:rsidP="00533FF9">
      <w:pPr>
        <w:pStyle w:val="BodyText"/>
      </w:pPr>
      <w:r>
        <w:br/>
      </w:r>
    </w:p>
    <w:p w14:paraId="3336F089" w14:textId="753BD3C5"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27" w:name="𝑥-𝑔"/>
    <w:bookmarkEnd w:id="26"/>
    <w:p w14:paraId="737E71F3"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g</m:t>
              </m:r>
            </m:sub>
          </m:sSub>
        </m:oMath>
      </m:oMathPara>
    </w:p>
    <w:p w14:paraId="54E65F80" w14:textId="77777777" w:rsidR="00533FF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541"/>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8">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533FF9"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533FF9"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Default="00533FF9" w:rsidP="00533FF9">
      <w:pPr>
        <w:pStyle w:val="BodyText"/>
      </w:pPr>
      <w:r>
        <w:t>Fixed burst rate:</w:t>
      </w:r>
    </w:p>
    <w:p w14:paraId="6A37A4F9" w14:textId="43635FCD" w:rsidR="00533FF9" w:rsidRDefault="00533FF9" w:rsidP="00533FF9">
      <w:pPr>
        <w:pStyle w:val="BodyText"/>
      </w:pPr>
    </w:p>
    <w:p w14:paraId="29B3C2FA" w14:textId="2B09815B" w:rsidR="00533FF9" w:rsidRDefault="00533FF9"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t xml:space="preserve">   (20)</w:t>
      </w:r>
      <w:r>
        <w:br/>
      </w:r>
    </w:p>
    <w:bookmarkStart w:id="28" w:name="𝑥-𝑖"/>
    <w:bookmarkEnd w:id="27"/>
    <w:p w14:paraId="704BB620"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763"/>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9">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533FF9"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F57BFA"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Default="00533FF9" w:rsidP="00533FF9">
      <w:pPr>
        <w:pStyle w:val="BodyText"/>
      </w:pPr>
      <w:r>
        <w:t xml:space="preserve">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triggered by high lactate concentration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p w14:paraId="50DB814C" w14:textId="175DCDBF" w:rsidR="00533FF9" w:rsidRDefault="00533FF9" w:rsidP="00533FF9">
      <w:pPr>
        <w:pStyle w:val="BodyText"/>
      </w:pPr>
    </w:p>
    <w:p w14:paraId="0FFC119C" w14:textId="7080C6F6" w:rsidR="00533FF9" w:rsidRDefault="00533FF9"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Default="00533FF9" w:rsidP="00533FF9">
      <w:pPr>
        <w:pStyle w:val="BodyText"/>
      </w:pPr>
      <w:r>
        <w:t xml:space="preserve">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r>
        <w:t xml:space="preserve"> triggered by low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concentration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r>
        <w:br/>
      </w:r>
    </w:p>
    <w:p w14:paraId="605C2612" w14:textId="297DF284" w:rsidR="00B440FE" w:rsidRDefault="00533FF9"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t xml:space="preserve">  </w:t>
      </w:r>
    </w:p>
    <w:p w14:paraId="1611829C" w14:textId="45F197DF" w:rsidR="00533FF9" w:rsidRDefault="00533FF9" w:rsidP="00B440FE">
      <w:pPr>
        <w:pStyle w:val="BodyText"/>
        <w:jc w:val="center"/>
      </w:pPr>
      <w:r>
        <w:t xml:space="preserve">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triggered by high concentration of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p w14:paraId="38CC46BB" w14:textId="77777777" w:rsidR="00533FF9" w:rsidRDefault="00533FF9" w:rsidP="00533FF9">
      <w:pPr>
        <w:pStyle w:val="BodyText"/>
      </w:pPr>
    </w:p>
    <w:p w14:paraId="0FC251C9" w14:textId="381E3972" w:rsidR="00533FF9" w:rsidRDefault="00533FF9"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29" w:name="𝑥-𝑗"/>
    <w:bookmarkEnd w:id="28"/>
    <w:p w14:paraId="7B836842"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3077"/>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30">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533FF9"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B440F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Default="00533FF9" w:rsidP="00533FF9">
      <w:pPr>
        <w:pStyle w:val="BodyText"/>
      </w:pPr>
      <w:r>
        <w:t>Fixed death rate:</w:t>
      </w:r>
    </w:p>
    <w:p w14:paraId="1B6E6F1D" w14:textId="6D0A6E2C" w:rsidR="00533FF9" w:rsidRDefault="00533FF9"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30" w:name="𝑥-𝑘"/>
    <w:bookmarkEnd w:id="29"/>
    <w:p w14:paraId="76A96DB2"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708"/>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31">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533FF9"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533FF9"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533FF9"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F9E220C" w14:textId="77777777" w:rsidR="00533FF9" w:rsidRDefault="00533FF9" w:rsidP="00533FF9">
      <w:pPr>
        <w:pStyle w:val="BodyText"/>
      </w:pPr>
      <w:r>
        <w:t xml:space="preserve"> </w:t>
      </w:r>
    </w:p>
    <w:p w14:paraId="508D1D1F" w14:textId="77777777" w:rsidR="00533FF9" w:rsidRDefault="00533FF9" w:rsidP="00533FF9">
      <w:pPr>
        <w:pStyle w:val="BodyText"/>
      </w:pPr>
      <w:r>
        <w:br/>
      </w:r>
    </w:p>
    <w:p w14:paraId="50A30447" w14:textId="6A3E857F" w:rsidR="00533FF9" w:rsidRDefault="00533FF9"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E805B7" w14:textId="77777777" w:rsidR="00533FF9" w:rsidRDefault="00533FF9" w:rsidP="00533FF9">
      <w:pPr>
        <w:pStyle w:val="BodyText"/>
      </w:pPr>
      <w:r>
        <w:t xml:space="preserve"> </w:t>
      </w:r>
    </w:p>
    <w:p w14:paraId="183002DE" w14:textId="77777777" w:rsidR="00533FF9" w:rsidRDefault="00533FF9" w:rsidP="00533FF9">
      <w:pPr>
        <w:pStyle w:val="BodyText"/>
      </w:pPr>
    </w:p>
    <w:p w14:paraId="04EAB9C5" w14:textId="77777777" w:rsidR="00533FF9" w:rsidRDefault="00533FF9" w:rsidP="00533FF9">
      <w:pPr>
        <w:pStyle w:val="BodyText"/>
      </w:pPr>
      <w:r>
        <w:t>Fixed burst rate:</w:t>
      </w:r>
    </w:p>
    <w:p w14:paraId="3BE57A1B" w14:textId="77777777" w:rsidR="00533FF9" w:rsidRDefault="00533FF9" w:rsidP="00533FF9">
      <w:pPr>
        <w:pStyle w:val="BodyText"/>
      </w:pPr>
      <w:r>
        <w:br/>
      </w:r>
    </w:p>
    <w:p w14:paraId="6D8A38D8" w14:textId="7B944F85" w:rsidR="00533FF9" w:rsidRDefault="00533FF9"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Default="00533FF9" w:rsidP="00533FF9">
      <w:pPr>
        <w:pStyle w:val="BodyText"/>
      </w:pPr>
      <w:r>
        <w:br/>
      </w:r>
    </w:p>
    <w:p w14:paraId="37762CE4" w14:textId="77777777" w:rsidR="00B440FE" w:rsidRDefault="00B440FE" w:rsidP="00533FF9">
      <w:pPr>
        <w:pStyle w:val="BodyText"/>
      </w:pPr>
    </w:p>
    <w:bookmarkStart w:id="31" w:name="𝑠-1"/>
    <w:bookmarkEnd w:id="30"/>
    <w:p w14:paraId="4FF6C4D4"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32">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B440F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32" w:name="𝑠-2"/>
    <w:bookmarkEnd w:id="31"/>
    <w:p w14:paraId="3646C3EF"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33">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33" w:name="𝑠-3"/>
    <w:bookmarkEnd w:id="32"/>
    <w:p w14:paraId="753E7DB9"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70"/>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952EB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34" w:name="𝑠-4"/>
    <w:bookmarkEnd w:id="33"/>
    <w:p w14:paraId="381D93E0"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5">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35" w:name="𝑠-5"/>
    <w:bookmarkEnd w:id="34"/>
    <w:p w14:paraId="275A0DC3"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6">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77777777" w:rsidR="00A02C05" w:rsidRPr="00A02C05" w:rsidRDefault="00A02C0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A6E5BE2" w14:textId="27B98C79" w:rsidR="00533FF9" w:rsidRPr="00A02C05" w:rsidRDefault="00533FF9" w:rsidP="00533FF9">
      <w:pPr>
        <w:pStyle w:val="BodyText"/>
        <w:rPr>
          <w:rFonts w:eastAsiaTheme="minorEastAsia"/>
        </w:rPr>
      </w:pPr>
    </w:p>
    <w:p w14:paraId="5E77B732" w14:textId="77777777" w:rsidR="00A02C05" w:rsidRDefault="00A02C05" w:rsidP="00533FF9">
      <w:pPr>
        <w:pStyle w:val="Heading1"/>
        <w:rPr>
          <w:rFonts w:asciiTheme="minorHAnsi" w:eastAsiaTheme="minorEastAsia" w:hAnsiTheme="minorHAnsi" w:cstheme="minorBidi"/>
        </w:rPr>
      </w:pPr>
      <w:bookmarkStart w:id="36" w:name="𝑠-6"/>
      <w:bookmarkEnd w:id="35"/>
    </w:p>
    <w:p w14:paraId="0D38E370" w14:textId="77777777" w:rsidR="00A02C05" w:rsidRPr="00A02C05" w:rsidRDefault="00A02C05" w:rsidP="00533FF9">
      <w:pPr>
        <w:pStyle w:val="Heading1"/>
        <w:rPr>
          <w:rFonts w:asciiTheme="minorHAnsi" w:eastAsiaTheme="minorEastAsia" w:hAnsiTheme="minorHAnsi" w:cstheme="minorBidi"/>
        </w:rPr>
      </w:pPr>
    </w:p>
    <w:p w14:paraId="15E0D41B" w14:textId="7480EBEE" w:rsidR="00A02C05" w:rsidRDefault="00A02C05" w:rsidP="00533FF9">
      <w:pPr>
        <w:pStyle w:val="Heading1"/>
        <w:rPr>
          <w:rFonts w:asciiTheme="minorHAnsi" w:eastAsiaTheme="minorEastAsia" w:hAnsiTheme="minorHAnsi" w:cstheme="minorBidi"/>
        </w:rPr>
      </w:pPr>
    </w:p>
    <w:p w14:paraId="10E8040C" w14:textId="2FEFFA21" w:rsidR="00A02C05" w:rsidRDefault="00A02C05" w:rsidP="00A02C05">
      <w:pPr>
        <w:pStyle w:val="BodyText"/>
      </w:pPr>
    </w:p>
    <w:p w14:paraId="245B9F8D" w14:textId="77777777" w:rsidR="00A02C05" w:rsidRPr="00A02C05" w:rsidRDefault="00A02C05" w:rsidP="00A02C05">
      <w:pPr>
        <w:pStyle w:val="BodyText"/>
      </w:pPr>
    </w:p>
    <w:p w14:paraId="66C7B93A" w14:textId="355EEE18"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6</m:t>
              </m:r>
            </m:sub>
          </m:sSub>
        </m:oMath>
      </m:oMathPara>
    </w:p>
    <w:p w14:paraId="1719D4E4" w14:textId="77777777" w:rsidR="00533FF9" w:rsidRDefault="00533FF9" w:rsidP="00533FF9">
      <w:pPr>
        <w:pStyle w:val="FirstParagraph"/>
      </w:pPr>
    </w:p>
    <w:tbl>
      <w:tblPr>
        <w:tblStyle w:val="Table"/>
        <w:tblW w:w="0" w:type="auto"/>
        <w:tblLook w:val="0020" w:firstRow="1" w:lastRow="0" w:firstColumn="0" w:lastColumn="0" w:noHBand="0" w:noVBand="0"/>
      </w:tblPr>
      <w:tblGrid>
        <w:gridCol w:w="6539"/>
        <w:gridCol w:w="716"/>
        <w:gridCol w:w="631"/>
        <w:gridCol w:w="169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08132CC8">
                  <wp:extent cx="4015154" cy="263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7">
                            <a:extLst>
                              <a:ext uri="{28A0092B-C50C-407E-A947-70E740481C1C}">
                                <a14:useLocalDpi xmlns:a14="http://schemas.microsoft.com/office/drawing/2010/main" val="0"/>
                              </a:ext>
                            </a:extLst>
                          </a:blip>
                          <a:stretch>
                            <a:fillRect/>
                          </a:stretch>
                        </pic:blipFill>
                        <pic:spPr>
                          <a:xfrm>
                            <a:off x="0" y="0"/>
                            <a:ext cx="4047237" cy="2657945"/>
                          </a:xfrm>
                          <a:prstGeom prst="rect">
                            <a:avLst/>
                          </a:prstGeom>
                        </pic:spPr>
                      </pic:pic>
                    </a:graphicData>
                  </a:graphic>
                </wp:inline>
              </w:drawing>
            </w:r>
          </w:p>
        </w:tc>
        <w:tc>
          <w:tcPr>
            <w:tcW w:w="0" w:type="auto"/>
          </w:tcPr>
          <w:p w14:paraId="0FEAF511"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t xml:space="preserve"> </w:t>
      </w:r>
    </w:p>
    <w:p w14:paraId="2D8D594A" w14:textId="77777777" w:rsidR="00533FF9" w:rsidRDefault="00533FF9" w:rsidP="00533FF9">
      <w:pPr>
        <w:pStyle w:val="BodyText"/>
      </w:pPr>
      <w:r>
        <w:br/>
      </w:r>
    </w:p>
    <w:p w14:paraId="04368963" w14:textId="4524B07B" w:rsidR="00533FF9" w:rsidRPr="00A02C05" w:rsidRDefault="00A02C0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37" w:name="𝑠-7"/>
    <w:bookmarkEnd w:id="36"/>
    <w:p w14:paraId="55F7995D"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8">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A02C0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38" w:name="𝑠-8"/>
    <w:bookmarkEnd w:id="37"/>
    <w:p w14:paraId="18323E23"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9">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A02C05"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39" w:name="𝑠-9"/>
    <w:bookmarkEnd w:id="38"/>
    <w:p w14:paraId="52BDD988"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40">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A02C05"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40" w:name="𝑠-10"/>
    <w:bookmarkEnd w:id="39"/>
    <w:p w14:paraId="4DB4828A" w14:textId="77777777" w:rsidR="00533FF9" w:rsidRDefault="00533FF9" w:rsidP="00533FF9">
      <w:pPr>
        <w:pStyle w:val="Heading1"/>
      </w:pPr>
      <m:oMathPara>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41">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533FF9"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A02C05"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Default="00533FF9" w:rsidP="00533FF9">
      <w:pPr>
        <w:pStyle w:val="Heading3"/>
      </w:pPr>
      <w:bookmarkStart w:id="41" w:name="parameters"/>
      <w:r>
        <w:t>Parameters</w:t>
      </w:r>
    </w:p>
    <w:tbl>
      <w:tblPr>
        <w:tblStyle w:val="Table"/>
        <w:tblW w:w="0" w:type="auto"/>
        <w:tblLook w:val="0020" w:firstRow="1" w:lastRow="0" w:firstColumn="0" w:lastColumn="0" w:noHBand="0" w:noVBand="0"/>
      </w:tblPr>
      <w:tblGrid>
        <w:gridCol w:w="615"/>
        <w:gridCol w:w="963"/>
        <w:gridCol w:w="1646"/>
        <w:gridCol w:w="1132"/>
        <w:gridCol w:w="1190"/>
        <w:gridCol w:w="4030"/>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w:t>
            </w:r>
            <w:proofErr w:type="spellStart"/>
            <w:r>
              <w:t>ose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cons</w:t>
            </w:r>
            <w:proofErr w:type="spellStart"/>
            <w:r>
              <w:t>umption</w:t>
            </w:r>
            <w:proofErr w:type="spellEnd"/>
            <w:r>
              <w:t xml:space="preserve">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m:t>
                </m:r>
                <m:r>
                  <w:rPr>
                    <w:rFonts w:ascii="Cambria Math" w:hAnsi="Cambria Math"/>
                  </w:rPr>
                  <m:t>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consu</w:t>
            </w:r>
            <w:proofErr w:type="spellStart"/>
            <w:r>
              <w:t>mption</w:t>
            </w:r>
            <w:proofErr w:type="spellEnd"/>
            <w:r>
              <w:t xml:space="preserve">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optimal pH</w:t>
            </w:r>
          </w:p>
        </w:tc>
      </w:tr>
      <w:tr w:rsidR="00533FF9" w14:paraId="46E53A16" w14:textId="77777777" w:rsidTr="00533FF9">
        <w:tc>
          <w:tcPr>
            <w:tcW w:w="0" w:type="auto"/>
          </w:tcPr>
          <w:p w14:paraId="02E371DF" w14:textId="77777777" w:rsidR="00533FF9" w:rsidRDefault="00533FF9" w:rsidP="00533FF9">
            <w:pPr>
              <w:pStyle w:val="Compact"/>
            </w:pPr>
            <w:r>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533FF9"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533FF9"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533FF9"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533FF9"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533FF9"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533FF9"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533FF9"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533FF9"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BodyText"/>
      </w:pPr>
    </w:p>
    <w:bookmarkEnd w:id="40"/>
    <w:bookmarkEnd w:id="41"/>
    <w:p w14:paraId="1B30E042" w14:textId="3E2C0E42" w:rsidR="00533FF9" w:rsidRDefault="00533FF9" w:rsidP="00533FF9">
      <w:pPr>
        <w:pStyle w:val="BodyText"/>
      </w:pPr>
    </w:p>
    <w:p w14:paraId="3B2BD1F1" w14:textId="1B21EDD5" w:rsidR="00D437B5" w:rsidRDefault="00D437B5" w:rsidP="00533FF9">
      <w:pPr>
        <w:pStyle w:val="BodyText"/>
      </w:pPr>
    </w:p>
    <w:p w14:paraId="7FADD1B4" w14:textId="4A52D19D" w:rsidR="00D437B5" w:rsidRDefault="00D437B5" w:rsidP="00533FF9">
      <w:pPr>
        <w:pStyle w:val="BodyText"/>
      </w:pPr>
    </w:p>
    <w:p w14:paraId="4B2A79AD" w14:textId="107EBA78" w:rsidR="00D437B5" w:rsidRDefault="003E754C" w:rsidP="00D437B5">
      <w:pPr>
        <w:pStyle w:val="Heading2"/>
      </w:pPr>
      <w:bookmarkStart w:id="42" w:name="experiments"/>
      <w:r>
        <w:t>Finding model parameters</w:t>
      </w:r>
    </w:p>
    <w:p w14:paraId="378AB94A" w14:textId="77777777" w:rsidR="00D437B5" w:rsidRDefault="00D437B5" w:rsidP="00D437B5">
      <w:pPr>
        <w:pStyle w:val="FirstParagraph"/>
      </w:pPr>
      <w:r>
        <w:t xml:space="preserve">We used batch monoculture </w:t>
      </w:r>
      <w:hyperlink r:id="rId42">
        <w:r>
          <w:rPr>
            <w:rStyle w:val="Hyperlink"/>
          </w:rPr>
          <w:t>experiments</w:t>
        </w:r>
      </w:hyperlink>
      <w:r>
        <w:t xml:space="preserve"> to estimate the </w:t>
      </w:r>
      <w:hyperlink r:id="rId43" w:anchor="parameters">
        <w:r>
          <w:rPr>
            <w:rStyle w:val="Hyperlink"/>
          </w:rPr>
          <w:t>parameters</w:t>
        </w:r>
      </w:hyperlink>
      <w:r>
        <w:t xml:space="preserve"> for the state equations in our model. The codes that execute the complete procedure described below for each of the strains are available </w:t>
      </w:r>
      <w:hyperlink r:id="rId44">
        <w:r>
          <w:rPr>
            <w:rStyle w:val="Hyperlink"/>
          </w:rPr>
          <w:t>here</w:t>
        </w:r>
      </w:hyperlink>
      <w:r>
        <w:t>.</w:t>
      </w:r>
    </w:p>
    <w:p w14:paraId="5FF324BF" w14:textId="77777777" w:rsidR="00D437B5" w:rsidRDefault="00D437B5" w:rsidP="00D437B5">
      <w:pPr>
        <w:pStyle w:val="Heading3"/>
      </w:pPr>
      <w:bookmarkStart w:id="43" w:name="moving-average"/>
      <w:r>
        <w:t>Moving average</w:t>
      </w:r>
    </w:p>
    <w:p w14:paraId="0DD59D90" w14:textId="16BF2284" w:rsidR="00D437B5" w:rsidRDefault="00D437B5" w:rsidP="00D437B5">
      <w:pPr>
        <w:pStyle w:val="FirstParagraph"/>
      </w:pPr>
      <w: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w:t>
      </w:r>
      <w:hyperlink r:id="rId45">
        <w:r>
          <w:rPr>
            <w:rStyle w:val="Hyperlink"/>
          </w:rPr>
          <w:t>lactate</w:t>
        </w:r>
      </w:hyperlink>
      <w:r>
        <w:t xml:space="preserve">). We averaged measurements within regular intervals to establish a consensus kinetic curve for each state, which was used to estimate the model's kinetic parameters. Below, we provide a </w:t>
      </w:r>
      <w:r w:rsidR="003E754C">
        <w:t xml:space="preserve">python </w:t>
      </w:r>
      <w:r>
        <w:t xml:space="preserve">code example of how we derived the moving average from three independent experiments, where we measured the concentration of live </w:t>
      </w:r>
      <w:proofErr w:type="spellStart"/>
      <w:r>
        <w:rPr>
          <w:i/>
          <w:iCs/>
        </w:rPr>
        <w:t>Roseburia</w:t>
      </w:r>
      <w:proofErr w:type="spellEnd"/>
      <w:r>
        <w:rPr>
          <w:i/>
          <w:iCs/>
        </w:rPr>
        <w:t xml:space="preserve"> intestinalis</w:t>
      </w:r>
      <w:r>
        <w:t xml:space="preserve"> cells:</w:t>
      </w:r>
    </w:p>
    <w:p w14:paraId="570A5F8C" w14:textId="77777777" w:rsidR="00D437B5" w:rsidRDefault="00D437B5" w:rsidP="00D437B5">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parseTable</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#chose a species</w:t>
      </w:r>
      <w:r>
        <w:br/>
      </w:r>
      <w:proofErr w:type="spellStart"/>
      <w:r>
        <w:rPr>
          <w:rStyle w:val="NormalTok"/>
        </w:rPr>
        <w:t>species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ri</w:t>
      </w:r>
      <w:proofErr w:type="spellEnd"/>
      <w:r>
        <w:rPr>
          <w:rStyle w:val="StringTok"/>
        </w:rPr>
        <w:t>'</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w:t>
      </w:r>
      <w:proofErr w:type="spellStart"/>
      <w:r>
        <w:rPr>
          <w:rStyle w:val="StringTok"/>
        </w:rPr>
        <w:t>bhri</w:t>
      </w:r>
      <w:proofErr w:type="spellEnd"/>
      <w:r>
        <w:rPr>
          <w:rStyle w:val="StringTok"/>
        </w:rPr>
        <w:t>'</w:t>
      </w:r>
      <w:r>
        <w:rPr>
          <w:rStyle w:val="NormalTok"/>
        </w:rPr>
        <w:t xml:space="preserve">, </w:t>
      </w:r>
      <w:r>
        <w:rPr>
          <w:rStyle w:val="StringTok"/>
        </w:rPr>
        <w:t>'</w:t>
      </w:r>
      <w:proofErr w:type="spellStart"/>
      <w:r>
        <w:rPr>
          <w:rStyle w:val="StringTok"/>
        </w:rPr>
        <w:t>btri</w:t>
      </w:r>
      <w:proofErr w:type="spellEnd"/>
      <w:r>
        <w:rPr>
          <w:rStyle w:val="StringTok"/>
        </w:rPr>
        <w:t>'</w:t>
      </w:r>
      <w:r>
        <w:rPr>
          <w:rStyle w:val="NormalTok"/>
        </w:rPr>
        <w:t xml:space="preserve">, </w:t>
      </w:r>
      <w:r>
        <w:rPr>
          <w:rStyle w:val="StringTok"/>
        </w:rPr>
        <w:t>'</w:t>
      </w:r>
      <w:proofErr w:type="spellStart"/>
      <w:r>
        <w:rPr>
          <w:rStyle w:val="StringTok"/>
        </w:rPr>
        <w:t>bhbtri</w:t>
      </w:r>
      <w:proofErr w:type="spellEnd"/>
      <w:r>
        <w:rPr>
          <w:rStyle w:val="StringTok"/>
        </w:rPr>
        <w:t>'</w:t>
      </w:r>
      <w:r>
        <w:rPr>
          <w:rStyle w:val="NormalTok"/>
        </w:rPr>
        <w:t>]</w:t>
      </w:r>
      <w:r>
        <w:br/>
      </w:r>
      <w:r>
        <w:br/>
      </w:r>
      <w:r>
        <w:br/>
      </w:r>
      <w:r>
        <w:rPr>
          <w:rStyle w:val="CommentTok"/>
        </w:rPr>
        <w:t>#location of the experiment data folder</w:t>
      </w:r>
      <w:r>
        <w:br/>
      </w:r>
      <w:proofErr w:type="spellStart"/>
      <w:r>
        <w:rPr>
          <w:rStyle w:val="NormalTok"/>
        </w:rPr>
        <w:t>strainSummaryFolder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species)</w:t>
      </w:r>
      <w:r>
        <w:br/>
      </w:r>
      <w:r>
        <w:br/>
      </w:r>
      <w:r>
        <w:br/>
      </w:r>
      <w:r>
        <w:rPr>
          <w:rStyle w:val="CommentTok"/>
        </w:rPr>
        <w:t>#chose the state ('live', 'dead', 'glucose', 'acetate', 'pH', etc.)</w:t>
      </w:r>
      <w:r>
        <w:br/>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'live'</w:t>
      </w:r>
      <w:r>
        <w:br/>
      </w:r>
      <w:r>
        <w:br/>
      </w:r>
      <w:r>
        <w:rPr>
          <w:rStyle w:val="CommentTok"/>
        </w:rPr>
        <w:t>#chose the state type for the plot</w:t>
      </w:r>
      <w:r>
        <w:br/>
      </w:r>
      <w:proofErr w:type="spellStart"/>
      <w:r>
        <w:rPr>
          <w:rStyle w:val="NormalTok"/>
        </w:rPr>
        <w:t>stateType</w:t>
      </w:r>
      <w:proofErr w:type="spellEnd"/>
      <w:r>
        <w:rPr>
          <w:rStyle w:val="NormalTok"/>
        </w:rPr>
        <w:t xml:space="preserv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t>#get the data</w:t>
      </w:r>
      <w:r>
        <w:br/>
      </w:r>
      <w:proofErr w:type="spellStart"/>
      <w:r>
        <w:rPr>
          <w:rStyle w:val="NormalTok"/>
        </w:rPr>
        <w:t>stFile</w:t>
      </w:r>
      <w:proofErr w:type="spellEnd"/>
      <w:r>
        <w:rPr>
          <w:rStyle w:val="NormalTok"/>
        </w:rPr>
        <w:t xml:space="preserve"> </w:t>
      </w:r>
      <w:r>
        <w:rPr>
          <w:rStyle w:val="OperatorTok"/>
        </w:rPr>
        <w:t>=</w:t>
      </w:r>
      <w:r>
        <w:rPr>
          <w:rStyle w:val="NormalTok"/>
        </w:rPr>
        <w:t xml:space="preserve"> </w:t>
      </w:r>
      <w:proofErr w:type="spellStart"/>
      <w:r>
        <w:rPr>
          <w:rStyle w:val="NormalTok"/>
        </w:rPr>
        <w:t>parseTable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strainSummaryFolder</w:t>
      </w:r>
      <w:proofErr w:type="spellEnd"/>
      <w:r>
        <w:rPr>
          <w:rStyle w:val="NormalTok"/>
        </w:rPr>
        <w:t xml:space="preserve">, </w:t>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tsv</w:t>
      </w:r>
      <w:proofErr w:type="spellEnd"/>
      <w:r>
        <w:rPr>
          <w:rStyle w:val="StringTok"/>
        </w:rPr>
        <w:t>'</w:t>
      </w:r>
      <w:r>
        <w:rPr>
          <w:rStyle w:val="NormalTok"/>
        </w:rPr>
        <w:t>))</w:t>
      </w:r>
      <w:r>
        <w:br/>
      </w:r>
      <w:proofErr w:type="spellStart"/>
      <w:r>
        <w:rPr>
          <w:rStyle w:val="NormalTok"/>
        </w:rPr>
        <w:t>df_state</w:t>
      </w:r>
      <w:proofErr w:type="spellEnd"/>
      <w:r>
        <w:rPr>
          <w:rStyle w:val="NormalTok"/>
        </w:rPr>
        <w:t xml:space="preserve"> </w:t>
      </w:r>
      <w:r>
        <w:rPr>
          <w:rStyle w:val="OperatorTok"/>
        </w:rPr>
        <w:t>=</w:t>
      </w:r>
      <w:r>
        <w:rPr>
          <w:rStyle w:val="NormalTok"/>
        </w:rPr>
        <w:t xml:space="preserve"> </w:t>
      </w:r>
      <w:proofErr w:type="spellStart"/>
      <w:r>
        <w:rPr>
          <w:rStyle w:val="NormalTok"/>
        </w:rPr>
        <w:t>getDFdict</w:t>
      </w:r>
      <w:proofErr w:type="spellEnd"/>
      <w:r>
        <w:rPr>
          <w:rStyle w:val="NormalTok"/>
        </w:rPr>
        <w:t>(</w:t>
      </w:r>
      <w:proofErr w:type="spellStart"/>
      <w:r>
        <w:rPr>
          <w:rStyle w:val="NormalTok"/>
        </w:rPr>
        <w:t>stFile</w:t>
      </w:r>
      <w:proofErr w:type="spellEnd"/>
      <w:r>
        <w:rPr>
          <w:rStyle w:val="NormalTok"/>
        </w:rPr>
        <w:t xml:space="preserve">, </w:t>
      </w:r>
      <w:proofErr w:type="spellStart"/>
      <w:r>
        <w:rPr>
          <w:rStyle w:val="NormalTok"/>
        </w:rPr>
        <w:t>measuredState</w:t>
      </w:r>
      <w:proofErr w:type="spellEnd"/>
      <w:r>
        <w:rPr>
          <w:rStyle w:val="NormalTok"/>
        </w:rPr>
        <w:t xml:space="preserv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w:t>
      </w:r>
      <w:proofErr w:type="spellStart"/>
      <w:r>
        <w:rPr>
          <w:rStyle w:val="NormalTok"/>
        </w:rPr>
        <w:t>summarizeExperiments</w:t>
      </w:r>
      <w:proofErr w:type="spellEnd"/>
      <w:r>
        <w:rPr>
          <w:rStyle w:val="NormalTok"/>
        </w:rPr>
        <w:t>(</w:t>
      </w:r>
      <w:proofErr w:type="spellStart"/>
      <w:r>
        <w:rPr>
          <w:rStyle w:val="NormalTok"/>
        </w:rPr>
        <w:t>df_state</w:t>
      </w:r>
      <w:proofErr w:type="spellEnd"/>
      <w:r>
        <w:rPr>
          <w:rStyle w:val="NormalTok"/>
        </w:rPr>
        <w:t xml:space="preserve">, </w:t>
      </w:r>
      <w:r>
        <w:rPr>
          <w:rStyle w:val="StringTok"/>
        </w:rPr>
        <w:t>'</w:t>
      </w:r>
      <w:proofErr w:type="spellStart"/>
      <w:r>
        <w:rPr>
          <w:rStyle w:val="StringTok"/>
        </w:rPr>
        <w:t>ri_live</w:t>
      </w:r>
      <w:proofErr w:type="spellEnd"/>
      <w:r>
        <w:rPr>
          <w:rStyle w:val="StringTok"/>
        </w:rPr>
        <w:t>'</w:t>
      </w:r>
      <w:r>
        <w:rPr>
          <w:rStyle w:val="NormalTok"/>
        </w:rPr>
        <w:t xml:space="preserve">, experiments, interval </w:t>
      </w:r>
      <w:r>
        <w:rPr>
          <w:rStyle w:val="OperatorTok"/>
        </w:rPr>
        <w:t>=</w:t>
      </w:r>
      <w:r>
        <w:rPr>
          <w:rStyle w:val="NormalTok"/>
        </w:rPr>
        <w:t xml:space="preserve"> intervals)</w:t>
      </w:r>
      <w:r>
        <w:br/>
      </w:r>
      <w:r>
        <w:br/>
      </w:r>
      <w:proofErr w:type="spellStart"/>
      <w:r>
        <w:rPr>
          <w:rStyle w:val="NormalTok"/>
        </w:rPr>
        <w:t>makeExperimentPlot</w:t>
      </w:r>
      <w:proofErr w:type="spellEnd"/>
      <w:r>
        <w:rPr>
          <w:rStyle w:val="NormalTok"/>
        </w:rPr>
        <w:t xml:space="preserve">(species, </w:t>
      </w:r>
      <w:proofErr w:type="spellStart"/>
      <w:r>
        <w:rPr>
          <w:rStyle w:val="NormalTok"/>
        </w:rPr>
        <w:t>measuredState</w:t>
      </w:r>
      <w:proofErr w:type="spellEnd"/>
      <w:r>
        <w:rPr>
          <w:rStyle w:val="NormalTok"/>
        </w:rPr>
        <w:t xml:space="preserve">, </w:t>
      </w:r>
      <w:proofErr w:type="spellStart"/>
      <w:r>
        <w:rPr>
          <w:rStyle w:val="NormalTok"/>
        </w:rPr>
        <w:t>stateType</w:t>
      </w:r>
      <w:proofErr w:type="spellEnd"/>
      <w:r>
        <w:rPr>
          <w:rStyle w:val="NormalTok"/>
        </w:rPr>
        <w:t xml:space="preserve">, </w:t>
      </w:r>
      <w:proofErr w:type="spellStart"/>
      <w:r>
        <w:rPr>
          <w:rStyle w:val="NormalTok"/>
        </w:rPr>
        <w:t>stFile</w:t>
      </w:r>
      <w:proofErr w:type="spellEnd"/>
      <w:r>
        <w:rPr>
          <w:rStyle w:val="NormalTok"/>
        </w:rPr>
        <w:t>, labels, colors)</w:t>
      </w:r>
      <w:r>
        <w:br/>
      </w:r>
      <w:proofErr w:type="spellStart"/>
      <w:r>
        <w:rPr>
          <w:rStyle w:val="NormalTok"/>
        </w:rPr>
        <w:t>plt.plot</w:t>
      </w:r>
      <w:proofErr w:type="spellEnd"/>
      <w:r>
        <w:rPr>
          <w:rStyle w:val="NormalTok"/>
        </w:rPr>
        <w:t xml:space="preserve">(s,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Default="003E754C" w:rsidP="00D437B5">
      <w:pPr>
        <w:pStyle w:val="BodyText"/>
      </w:pPr>
      <w:r>
        <w:rPr>
          <w:noProof/>
        </w:rPr>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4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Default="00D437B5" w:rsidP="00D437B5">
      <w:pPr>
        <w:pStyle w:val="Heading3"/>
      </w:pPr>
      <w:bookmarkStart w:id="44" w:name="cubic-splines"/>
      <w:bookmarkEnd w:id="43"/>
      <w:r>
        <w:t>Cubic splines</w:t>
      </w:r>
    </w:p>
    <w:p w14:paraId="5E47454D" w14:textId="77777777" w:rsidR="00D437B5" w:rsidRDefault="00D437B5" w:rsidP="00D437B5">
      <w:pPr>
        <w:pStyle w:val="FirstParagraph"/>
      </w:pPr>
      <w: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Default="00D437B5" w:rsidP="00D437B5">
      <w:pPr>
        <w:pStyle w:val="BodyText"/>
      </w:pPr>
      <w: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Default="00D437B5" w:rsidP="00D437B5">
      <w:pPr>
        <w:pStyle w:val="BodyText"/>
      </w:pPr>
      <w: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proofErr w:type="spellStart"/>
      <w:r>
        <w:rPr>
          <w:rStyle w:val="NormalTok"/>
        </w:rPr>
        <w:t>sp</w:t>
      </w:r>
      <w:proofErr w:type="spellEnd"/>
      <w:r>
        <w:rPr>
          <w:rStyle w:val="NormalTok"/>
        </w:rPr>
        <w:t xml:space="preserve"> </w:t>
      </w:r>
      <w:r>
        <w:rPr>
          <w:rStyle w:val="OperatorTok"/>
        </w:rPr>
        <w:t>=</w:t>
      </w:r>
      <w:r>
        <w:rPr>
          <w:rStyle w:val="NormalTok"/>
        </w:rPr>
        <w:t xml:space="preserve"> </w:t>
      </w:r>
      <w:proofErr w:type="spellStart"/>
      <w:r>
        <w:rPr>
          <w:rStyle w:val="NormalTok"/>
        </w:rPr>
        <w:t>get_spline</w:t>
      </w:r>
      <w:proofErr w:type="spellEnd"/>
      <w:r>
        <w:rPr>
          <w:rStyle w:val="NormalTok"/>
        </w:rPr>
        <w:t>(</w:t>
      </w:r>
      <w:r>
        <w:rPr>
          <w:rStyle w:val="StringTok"/>
        </w:rPr>
        <w:t>'live'</w:t>
      </w:r>
      <w:r>
        <w:rPr>
          <w:rStyle w:val="NormalTok"/>
        </w:rPr>
        <w:t xml:space="preserve">, </w:t>
      </w:r>
      <w:proofErr w:type="spellStart"/>
      <w:r>
        <w:rPr>
          <w:rStyle w:val="NormalTok"/>
        </w:rPr>
        <w:t>strainSummaryFolder</w:t>
      </w:r>
      <w:proofErr w:type="spellEnd"/>
      <w:r>
        <w:rPr>
          <w:rStyle w:val="NormalTok"/>
        </w:rPr>
        <w:t xml:space="preserve">, labels, </w:t>
      </w:r>
      <w:proofErr w:type="spellStart"/>
      <w:r>
        <w:rPr>
          <w:rStyle w:val="NormalTok"/>
        </w:rPr>
        <w:t>df_state</w:t>
      </w:r>
      <w:proofErr w:type="spellEnd"/>
      <w:r>
        <w:rPr>
          <w:rStyle w:val="NormalTok"/>
        </w:rPr>
        <w:t xml:space="preserv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w:t>
      </w:r>
      <w:proofErr w:type="spellStart"/>
      <w:r>
        <w:rPr>
          <w:rStyle w:val="NormalTok"/>
        </w:rPr>
        <w:t>np.linspace</w:t>
      </w:r>
      <w:proofErr w:type="spellEnd"/>
      <w:r>
        <w:rPr>
          <w:rStyle w:val="NormalTok"/>
        </w:rPr>
        <w:t>(</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t>#get spline points</w:t>
      </w:r>
      <w:r>
        <w:br/>
      </w:r>
      <w:r>
        <w:rPr>
          <w:rStyle w:val="NormalTok"/>
        </w:rPr>
        <w:t xml:space="preserve">live </w:t>
      </w:r>
      <w:r>
        <w:rPr>
          <w:rStyle w:val="OperatorTok"/>
        </w:rPr>
        <w:t>=</w:t>
      </w:r>
      <w:r>
        <w:rPr>
          <w:rStyle w:val="NormalTok"/>
        </w:rPr>
        <w:t xml:space="preserve"> </w:t>
      </w:r>
      <w:proofErr w:type="spellStart"/>
      <w:r>
        <w:rPr>
          <w:rStyle w:val="NormalTok"/>
        </w:rPr>
        <w:t>sp</w:t>
      </w:r>
      <w:proofErr w:type="spellEnd"/>
      <w:r>
        <w:rPr>
          <w:rStyle w:val="NormalTok"/>
        </w:rPr>
        <w:t>(t)</w:t>
      </w:r>
      <w:r>
        <w:br/>
      </w:r>
      <w:r>
        <w:br/>
      </w:r>
      <w:r>
        <w:rPr>
          <w:rStyle w:val="CommentTok"/>
        </w:rPr>
        <w:t>#add to plot</w:t>
      </w:r>
      <w:r>
        <w:br/>
      </w:r>
      <w:proofErr w:type="spellStart"/>
      <w:r>
        <w:rPr>
          <w:rStyle w:val="NormalTok"/>
        </w:rPr>
        <w:t>plt.plot</w:t>
      </w:r>
      <w:proofErr w:type="spellEnd"/>
      <w:r>
        <w:rPr>
          <w:rStyle w:val="NormalTok"/>
        </w:rPr>
        <w:t xml:space="preserve">(t, live,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Default="00D437B5" w:rsidP="00D437B5">
      <w:pPr>
        <w:pStyle w:val="FirstParagraph"/>
      </w:pPr>
      <w:r>
        <w:t>The orange line is the spline:</w:t>
      </w:r>
    </w:p>
    <w:p w14:paraId="4CFEE4BF" w14:textId="1E45A160" w:rsidR="00D437B5" w:rsidRDefault="003E754C" w:rsidP="00D437B5">
      <w:pPr>
        <w:pStyle w:val="BodyText"/>
      </w:pPr>
      <w:r>
        <w:rPr>
          <w:noProof/>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4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Default="00D437B5" w:rsidP="00D437B5">
      <w:pPr>
        <w:pStyle w:val="Heading3"/>
      </w:pPr>
      <w:bookmarkStart w:id="45" w:name="optimization"/>
      <w:bookmarkEnd w:id="44"/>
      <w:r>
        <w:t xml:space="preserve">Optimization </w:t>
      </w:r>
    </w:p>
    <w:p w14:paraId="5F2160C9" w14:textId="77777777" w:rsidR="00D437B5" w:rsidRDefault="00D437B5" w:rsidP="00D437B5">
      <w:pPr>
        <w:pStyle w:val="FirstParagraph"/>
      </w:pPr>
      <w:r>
        <w:t xml:space="preserve">Finally, we searched for the parameter set that minimizes the difference between the </w:t>
      </w:r>
      <w:hyperlink r:id="rId48" w:anchor="states">
        <w:r>
          <w:rPr>
            <w:rStyle w:val="Hyperlink"/>
          </w:rPr>
          <w:t>states</w:t>
        </w:r>
      </w:hyperlink>
      <w:r>
        <w:t xml:space="preserve"> in our model simulations and their corresponding smoothed moving averages. To compute the discrepancy between the model simulations and the experimental data, we used the Hubber loss function, which is a function known to be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Default="00D437B5" w:rsidP="00D437B5">
      <w:pPr>
        <w:pStyle w:val="BodyText"/>
      </w:pPr>
      <w:r>
        <w:t>In summary, the process of fitting our model to sets of experimental data involved the following steps:</w:t>
      </w:r>
    </w:p>
    <w:p w14:paraId="50B3D5D3" w14:textId="77777777" w:rsidR="00D437B5" w:rsidRDefault="00D437B5" w:rsidP="00D437B5">
      <w:pPr>
        <w:numPr>
          <w:ilvl w:val="0"/>
          <w:numId w:val="14"/>
        </w:numPr>
      </w:pPr>
      <w:r>
        <w:t>Acquiring the moving average from experimental data that represent our model states</w:t>
      </w:r>
    </w:p>
    <w:p w14:paraId="1E1EE1A9" w14:textId="77777777" w:rsidR="00D437B5" w:rsidRDefault="00D437B5" w:rsidP="00D437B5">
      <w:pPr>
        <w:numPr>
          <w:ilvl w:val="0"/>
          <w:numId w:val="14"/>
        </w:numPr>
      </w:pPr>
      <w:r>
        <w:t>Fitting cubic splines to these averages to enable a smooth estimation of their values within their measured time frames;</w:t>
      </w:r>
    </w:p>
    <w:p w14:paraId="21C3DA5A" w14:textId="77777777" w:rsidR="00D437B5" w:rsidRDefault="00D437B5" w:rsidP="00D437B5">
      <w:pPr>
        <w:numPr>
          <w:ilvl w:val="0"/>
          <w:numId w:val="14"/>
        </w:numPr>
      </w:pPr>
      <w: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42"/>
    <w:bookmarkEnd w:id="45"/>
    <w:p w14:paraId="66404B2D" w14:textId="4B90E0B4" w:rsidR="00D437B5" w:rsidRDefault="00D437B5" w:rsidP="00533FF9">
      <w:pPr>
        <w:pStyle w:val="BodyText"/>
      </w:pPr>
    </w:p>
    <w:p w14:paraId="10092DB0" w14:textId="77777777" w:rsidR="00D437B5" w:rsidRPr="00533FF9" w:rsidRDefault="00D437B5" w:rsidP="00533FF9">
      <w:pPr>
        <w:pStyle w:val="BodyText"/>
      </w:pPr>
    </w:p>
    <w:sectPr w:rsidR="00D437B5" w:rsidRPr="00533F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17676" w14:textId="77777777" w:rsidR="00A02C05" w:rsidRDefault="00A02C05">
      <w:pPr>
        <w:spacing w:after="0"/>
      </w:pPr>
      <w:r>
        <w:separator/>
      </w:r>
    </w:p>
  </w:endnote>
  <w:endnote w:type="continuationSeparator" w:id="0">
    <w:p w14:paraId="49017678" w14:textId="77777777" w:rsidR="00A02C05" w:rsidRDefault="00A02C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17672" w14:textId="77777777" w:rsidR="00A02C05" w:rsidRDefault="00A02C05">
      <w:r>
        <w:separator/>
      </w:r>
    </w:p>
  </w:footnote>
  <w:footnote w:type="continuationSeparator" w:id="0">
    <w:p w14:paraId="49017673" w14:textId="77777777" w:rsidR="00A02C05" w:rsidRDefault="00A02C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32A3"/>
    <w:rsid w:val="001E58D6"/>
    <w:rsid w:val="002310AC"/>
    <w:rsid w:val="003E754C"/>
    <w:rsid w:val="005339E9"/>
    <w:rsid w:val="00533FF9"/>
    <w:rsid w:val="00692DAC"/>
    <w:rsid w:val="00794BAF"/>
    <w:rsid w:val="00800F12"/>
    <w:rsid w:val="00801BFE"/>
    <w:rsid w:val="00925BD6"/>
    <w:rsid w:val="00952EBE"/>
    <w:rsid w:val="00A02C05"/>
    <w:rsid w:val="00B440FE"/>
    <w:rsid w:val="00C24E68"/>
    <w:rsid w:val="00C632A3"/>
    <w:rsid w:val="00C80BD5"/>
    <w:rsid w:val="00D35775"/>
    <w:rsid w:val="00D437B5"/>
    <w:rsid w:val="00D632B9"/>
    <w:rsid w:val="00DF3030"/>
    <w:rsid w:val="00E34F65"/>
    <w:rsid w:val="00F57BF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nielriosgarza/hungerGamesModel/wiki/Experimen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danielriosgarza/hungerGamesModel/wiki/Experiments" TargetMode="External"/><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hyperlink" Target="https://bmcsystbiol.biomedcentral.com/articles/10.1186/1752-0509-3-51"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danielriosgarza/hungerGamesModel/blob/main/files/Figures/riExperiments/lactate.png"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github.com/danielriosgarza/hungerGamesModel/wiki/State-equation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danielriosgarza/hungerGamesModel/tree/main/scripts/parameterFIt" TargetMode="External"/><Relationship Id="rId4" Type="http://schemas.openxmlformats.org/officeDocument/2006/relationships/webSettings" Target="webSettings.xml"/><Relationship Id="rId9" Type="http://schemas.openxmlformats.org/officeDocument/2006/relationships/hyperlink" Target="https://www.thermofisher.com/order/catalog/product/CM0643B" TargetMode="External"/><Relationship Id="rId14" Type="http://schemas.openxmlformats.org/officeDocument/2006/relationships/hyperlink" Target="https://github.com/danielriosgarza/hungerGamesModel/wiki/State-equation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danielriosgarza/hungerGamesModel/wiki/State-equations" TargetMode="External"/><Relationship Id="rId48" Type="http://schemas.openxmlformats.org/officeDocument/2006/relationships/hyperlink" Target="https://github.com/danielriosgarza/hungerGamesModel/wiki/State-equations" TargetMode="External"/><Relationship Id="rId8" Type="http://schemas.openxmlformats.org/officeDocument/2006/relationships/hyperlink" Target="https://github.com/danielriosgarza/hungerGamesModel/wiki/Fitting-models-to-experimental-data" TargetMode="External"/><Relationship Id="rId3" Type="http://schemas.openxmlformats.org/officeDocument/2006/relationships/settings" Target="settings.xml"/><Relationship Id="rId12" Type="http://schemas.openxmlformats.org/officeDocument/2006/relationships/hyperlink" Target="https://www.annualreviews.org/doi/pdf/10.1146/annurev.mi.03.100149.00210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700</TotalTime>
  <Pages>41</Pages>
  <Words>7769</Words>
  <Characters>44287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Daniel-Rios Garza</cp:lastModifiedBy>
  <cp:revision>4</cp:revision>
  <dcterms:created xsi:type="dcterms:W3CDTF">2023-12-11T02:10:00Z</dcterms:created>
  <dcterms:modified xsi:type="dcterms:W3CDTF">2023-12-11T14:48:00Z</dcterms:modified>
</cp:coreProperties>
</file>