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4DDFB" w14:textId="77777777" w:rsidR="0031642E" w:rsidRDefault="002D2ADD" w:rsidP="002D2ADD">
      <w:pPr>
        <w:jc w:val="center"/>
        <w:rPr>
          <w:rFonts w:ascii="Times New Roman" w:hAnsi="Times New Roman" w:cs="Times New Roman"/>
          <w:b/>
          <w:sz w:val="36"/>
          <w:lang w:val="en-US"/>
        </w:rPr>
      </w:pPr>
      <w:r w:rsidRPr="002D2ADD">
        <w:rPr>
          <w:rFonts w:ascii="Times New Roman" w:hAnsi="Times New Roman" w:cs="Times New Roman"/>
          <w:b/>
          <w:sz w:val="36"/>
          <w:lang w:val="en-US"/>
        </w:rPr>
        <w:t>Supplementary Figures and Movies</w:t>
      </w:r>
    </w:p>
    <w:p w14:paraId="0D54DD06" w14:textId="77777777" w:rsidR="002D2ADD" w:rsidRDefault="002D2ADD" w:rsidP="002D2ADD">
      <w:pPr>
        <w:rPr>
          <w:rFonts w:ascii="Times New Roman" w:hAnsi="Times New Roman" w:cs="Times New Roman"/>
          <w:b/>
          <w:sz w:val="36"/>
          <w:lang w:val="en-US"/>
        </w:rPr>
      </w:pPr>
    </w:p>
    <w:p w14:paraId="0BAFE5F5" w14:textId="77777777" w:rsidR="002D2ADD" w:rsidRDefault="002D2ADD" w:rsidP="002D2ADD">
      <w:pPr>
        <w:rPr>
          <w:rFonts w:ascii="Times New Roman" w:hAnsi="Times New Roman" w:cs="Times New Roman"/>
          <w:b/>
          <w:sz w:val="36"/>
          <w:lang w:val="en-US"/>
        </w:rPr>
      </w:pPr>
    </w:p>
    <w:p w14:paraId="76159303" w14:textId="77777777" w:rsidR="002D2ADD" w:rsidRPr="002D2ADD" w:rsidRDefault="002D2ADD" w:rsidP="002D2ADD">
      <w:pPr>
        <w:rPr>
          <w:rFonts w:ascii="Times New Roman" w:hAnsi="Times New Roman" w:cs="Times New Roman"/>
          <w:sz w:val="24"/>
          <w:szCs w:val="24"/>
          <w:lang w:val="en-US"/>
        </w:rPr>
      </w:pPr>
      <w:r w:rsidRPr="002D2ADD">
        <w:rPr>
          <w:rFonts w:ascii="Times New Roman" w:hAnsi="Times New Roman" w:cs="Times New Roman"/>
          <w:b/>
          <w:bCs/>
          <w:sz w:val="24"/>
          <w:szCs w:val="24"/>
          <w:lang w:val="en-US"/>
        </w:rPr>
        <w:t>Supplementary Fig. S1</w:t>
      </w:r>
      <w:r w:rsidRPr="002D2ADD">
        <w:rPr>
          <w:rFonts w:ascii="Times New Roman" w:hAnsi="Times New Roman" w:cs="Times New Roman"/>
          <w:bCs/>
          <w:sz w:val="24"/>
          <w:szCs w:val="24"/>
          <w:lang w:val="en-US"/>
        </w:rPr>
        <w:t xml:space="preserve">: </w:t>
      </w:r>
      <w:r w:rsidRPr="002D2ADD">
        <w:rPr>
          <w:rFonts w:ascii="Times New Roman" w:hAnsi="Times New Roman" w:cs="Times New Roman"/>
          <w:i/>
          <w:iCs/>
          <w:sz w:val="24"/>
          <w:szCs w:val="24"/>
          <w:lang w:val="en-US"/>
        </w:rPr>
        <w:t xml:space="preserve">Blautia hydrogenotrophica </w:t>
      </w:r>
      <w:r w:rsidRPr="002D2ADD">
        <w:rPr>
          <w:rFonts w:ascii="Times New Roman" w:hAnsi="Times New Roman" w:cs="Times New Roman"/>
          <w:sz w:val="24"/>
          <w:szCs w:val="24"/>
          <w:lang w:val="en-US"/>
        </w:rPr>
        <w:t>neglects glucose when trehalose is present in the medium. (</w:t>
      </w:r>
      <w:r w:rsidRPr="002D2ADD">
        <w:rPr>
          <w:rFonts w:ascii="Times New Roman" w:hAnsi="Times New Roman" w:cs="Times New Roman"/>
          <w:b/>
          <w:sz w:val="24"/>
          <w:szCs w:val="24"/>
          <w:lang w:val="en-US"/>
        </w:rPr>
        <w:t>A</w:t>
      </w:r>
      <w:r w:rsidRPr="002D2ADD">
        <w:rPr>
          <w:rFonts w:ascii="Times New Roman" w:hAnsi="Times New Roman" w:cs="Times New Roman"/>
          <w:sz w:val="24"/>
          <w:szCs w:val="24"/>
          <w:lang w:val="en-US"/>
        </w:rPr>
        <w:t xml:space="preserve">) Illustration of a hypothetical PTS system that detects trehalose and inhibits the expression of the ABC transporter responsible for importing glucose. Although the detailed molecular mechanisms of this inhibition have not been fully elucidated, </w:t>
      </w:r>
      <w:proofErr w:type="spellStart"/>
      <w:r w:rsidRPr="002D2ADD">
        <w:rPr>
          <w:rFonts w:ascii="Times New Roman" w:hAnsi="Times New Roman" w:cs="Times New Roman"/>
          <w:sz w:val="24"/>
          <w:szCs w:val="24"/>
          <w:lang w:val="en-US"/>
        </w:rPr>
        <w:t>RNAseq</w:t>
      </w:r>
      <w:proofErr w:type="spellEnd"/>
      <w:r w:rsidRPr="002D2ADD">
        <w:rPr>
          <w:rFonts w:ascii="Times New Roman" w:hAnsi="Times New Roman" w:cs="Times New Roman"/>
          <w:sz w:val="24"/>
          <w:szCs w:val="24"/>
          <w:lang w:val="en-US"/>
        </w:rPr>
        <w:t xml:space="preserve"> data clearly show inhibition of the ABC transporter when trehalose is present (refer to main Fig</w:t>
      </w:r>
      <w:r>
        <w:rPr>
          <w:rFonts w:ascii="Times New Roman" w:hAnsi="Times New Roman" w:cs="Times New Roman"/>
          <w:sz w:val="24"/>
          <w:szCs w:val="24"/>
          <w:lang w:val="en-US"/>
        </w:rPr>
        <w:t>.</w:t>
      </w:r>
      <w:r w:rsidRPr="002D2ADD">
        <w:rPr>
          <w:rFonts w:ascii="Times New Roman" w:hAnsi="Times New Roman" w:cs="Times New Roman"/>
          <w:sz w:val="24"/>
          <w:szCs w:val="24"/>
          <w:lang w:val="en-US"/>
        </w:rPr>
        <w:t xml:space="preserve"> 1A). Moreover, (</w:t>
      </w:r>
      <w:r w:rsidRPr="002D2ADD">
        <w:rPr>
          <w:rFonts w:ascii="Times New Roman" w:hAnsi="Times New Roman" w:cs="Times New Roman"/>
          <w:b/>
          <w:sz w:val="24"/>
          <w:szCs w:val="24"/>
          <w:lang w:val="en-US"/>
        </w:rPr>
        <w:t>B</w:t>
      </w:r>
      <w:r w:rsidRPr="002D2ADD">
        <w:rPr>
          <w:rFonts w:ascii="Times New Roman" w:hAnsi="Times New Roman" w:cs="Times New Roman"/>
          <w:sz w:val="24"/>
          <w:szCs w:val="24"/>
          <w:lang w:val="en-US"/>
        </w:rPr>
        <w:t>) supplementing WC medium with additional trehalose results in the (</w:t>
      </w:r>
      <w:r w:rsidRPr="002D2ADD">
        <w:rPr>
          <w:rFonts w:ascii="Times New Roman" w:hAnsi="Times New Roman" w:cs="Times New Roman"/>
          <w:b/>
          <w:sz w:val="24"/>
          <w:szCs w:val="24"/>
          <w:lang w:val="en-US"/>
        </w:rPr>
        <w:t>C</w:t>
      </w:r>
      <w:r w:rsidRPr="002D2ADD">
        <w:rPr>
          <w:rFonts w:ascii="Times New Roman" w:hAnsi="Times New Roman" w:cs="Times New Roman"/>
          <w:sz w:val="24"/>
          <w:szCs w:val="24"/>
          <w:lang w:val="en-US"/>
        </w:rPr>
        <w:t>) complete inhibition of glucose consumption (as compared with the 'glucose' plot in</w:t>
      </w:r>
      <w:r>
        <w:rPr>
          <w:rFonts w:ascii="Times New Roman" w:hAnsi="Times New Roman" w:cs="Times New Roman"/>
          <w:sz w:val="24"/>
          <w:szCs w:val="24"/>
          <w:lang w:val="en-US"/>
        </w:rPr>
        <w:t xml:space="preserve"> main</w:t>
      </w:r>
      <w:r w:rsidRPr="002D2ADD">
        <w:rPr>
          <w:rFonts w:ascii="Times New Roman" w:hAnsi="Times New Roman" w:cs="Times New Roman"/>
          <w:sz w:val="24"/>
          <w:szCs w:val="24"/>
          <w:lang w:val="en-US"/>
        </w:rPr>
        <w:t xml:space="preserve"> Fig</w:t>
      </w:r>
      <w:r>
        <w:rPr>
          <w:rFonts w:ascii="Times New Roman" w:hAnsi="Times New Roman" w:cs="Times New Roman"/>
          <w:sz w:val="24"/>
          <w:szCs w:val="24"/>
          <w:lang w:val="en-US"/>
        </w:rPr>
        <w:t>.</w:t>
      </w:r>
      <w:r w:rsidRPr="002D2ADD">
        <w:rPr>
          <w:rFonts w:ascii="Times New Roman" w:hAnsi="Times New Roman" w:cs="Times New Roman"/>
          <w:sz w:val="24"/>
          <w:szCs w:val="24"/>
          <w:lang w:val="en-US"/>
        </w:rPr>
        <w:t xml:space="preserve"> 1D).</w:t>
      </w:r>
    </w:p>
    <w:p w14:paraId="34B5BDF8" w14:textId="77777777" w:rsidR="002D2ADD" w:rsidRPr="002D2ADD" w:rsidRDefault="002D2ADD" w:rsidP="002D2ADD">
      <w:pPr>
        <w:rPr>
          <w:rFonts w:ascii="Times New Roman" w:hAnsi="Times New Roman" w:cs="Times New Roman"/>
          <w:b/>
          <w:sz w:val="36"/>
          <w:lang w:val="en-US"/>
        </w:rPr>
      </w:pPr>
    </w:p>
    <w:p w14:paraId="3B45B1E1" w14:textId="77777777" w:rsidR="002D2ADD" w:rsidRDefault="002D2ADD" w:rsidP="002D2ADD">
      <w:pPr>
        <w:jc w:val="center"/>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14:anchorId="79BE5833" wp14:editId="164A8F65">
            <wp:extent cx="5760720" cy="4719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4719955"/>
                    </a:xfrm>
                    <a:prstGeom prst="rect">
                      <a:avLst/>
                    </a:prstGeom>
                  </pic:spPr>
                </pic:pic>
              </a:graphicData>
            </a:graphic>
          </wp:inline>
        </w:drawing>
      </w:r>
    </w:p>
    <w:p w14:paraId="7BC5D5F5" w14:textId="77777777" w:rsidR="002D2ADD" w:rsidRDefault="002D2ADD" w:rsidP="002D2ADD">
      <w:pPr>
        <w:jc w:val="center"/>
        <w:rPr>
          <w:rFonts w:ascii="Times New Roman" w:hAnsi="Times New Roman" w:cs="Times New Roman"/>
          <w:b/>
          <w:sz w:val="24"/>
          <w:lang w:val="en-US"/>
        </w:rPr>
      </w:pPr>
    </w:p>
    <w:p w14:paraId="6FAE144F" w14:textId="77777777" w:rsidR="002D2ADD" w:rsidRDefault="002D2ADD" w:rsidP="002D2ADD">
      <w:pPr>
        <w:jc w:val="center"/>
        <w:rPr>
          <w:rFonts w:ascii="Times New Roman" w:hAnsi="Times New Roman" w:cs="Times New Roman"/>
          <w:b/>
          <w:sz w:val="24"/>
          <w:lang w:val="en-US"/>
        </w:rPr>
      </w:pPr>
    </w:p>
    <w:p w14:paraId="044E01BB" w14:textId="77777777" w:rsidR="002D2ADD" w:rsidRDefault="002D2ADD" w:rsidP="002D2ADD">
      <w:pPr>
        <w:jc w:val="center"/>
        <w:rPr>
          <w:rFonts w:ascii="Times New Roman" w:hAnsi="Times New Roman" w:cs="Times New Roman"/>
          <w:b/>
          <w:sz w:val="24"/>
          <w:lang w:val="en-US"/>
        </w:rPr>
      </w:pPr>
    </w:p>
    <w:p w14:paraId="3FA50D1E" w14:textId="77777777" w:rsidR="002D2ADD" w:rsidRPr="002D2ADD" w:rsidRDefault="002D2ADD" w:rsidP="002D2ADD">
      <w:pPr>
        <w:rPr>
          <w:rFonts w:ascii="Times New Roman" w:hAnsi="Times New Roman" w:cs="Times New Roman"/>
          <w:sz w:val="24"/>
          <w:lang w:val="en-US"/>
        </w:rPr>
      </w:pPr>
      <w:r w:rsidRPr="002D2ADD">
        <w:rPr>
          <w:rFonts w:ascii="Times New Roman" w:hAnsi="Times New Roman" w:cs="Times New Roman"/>
          <w:b/>
          <w:bCs/>
          <w:sz w:val="24"/>
          <w:lang w:val="en-US"/>
        </w:rPr>
        <w:lastRenderedPageBreak/>
        <w:t>Supplementary Fig. S2</w:t>
      </w:r>
      <w:r w:rsidRPr="002D2ADD">
        <w:rPr>
          <w:rFonts w:ascii="Times New Roman" w:hAnsi="Times New Roman" w:cs="Times New Roman"/>
          <w:bCs/>
          <w:sz w:val="24"/>
          <w:lang w:val="en-US"/>
        </w:rPr>
        <w:t>:</w:t>
      </w:r>
      <w:r w:rsidRPr="002D2ADD">
        <w:rPr>
          <w:rFonts w:ascii="Times New Roman" w:hAnsi="Times New Roman" w:cs="Times New Roman"/>
          <w:sz w:val="24"/>
          <w:lang w:val="en-US"/>
        </w:rPr>
        <w:t xml:space="preserve"> Growth kinetics and model validation for three human gut bacteria in co-culture. This figure presents experimental growth data over time alongside model simulations (indicated by dashed lines) for pairs of species and all three species co-cultured in WC medium. The growth data represent averages from six biological replicates. Simulation </w:t>
      </w:r>
      <w:r>
        <w:rPr>
          <w:rFonts w:ascii="Times New Roman" w:hAnsi="Times New Roman" w:cs="Times New Roman"/>
          <w:sz w:val="24"/>
          <w:lang w:val="en-US"/>
        </w:rPr>
        <w:t xml:space="preserve">of </w:t>
      </w:r>
      <w:r w:rsidRPr="002D2ADD">
        <w:rPr>
          <w:rFonts w:ascii="Times New Roman" w:hAnsi="Times New Roman" w:cs="Times New Roman"/>
          <w:sz w:val="24"/>
          <w:lang w:val="en-US"/>
        </w:rPr>
        <w:t>initial conditions matched those of the experimental setups. In experiment (</w:t>
      </w:r>
      <w:r w:rsidRPr="002D2ADD">
        <w:rPr>
          <w:rFonts w:ascii="Times New Roman" w:hAnsi="Times New Roman" w:cs="Times New Roman"/>
          <w:b/>
          <w:sz w:val="24"/>
          <w:lang w:val="en-US"/>
        </w:rPr>
        <w:t>A</w:t>
      </w:r>
      <w:r w:rsidRPr="002D2ADD">
        <w:rPr>
          <w:rFonts w:ascii="Times New Roman" w:hAnsi="Times New Roman" w:cs="Times New Roman"/>
          <w:sz w:val="24"/>
          <w:lang w:val="en-US"/>
        </w:rPr>
        <w:t xml:space="preserve">), the HPLC analysis for </w:t>
      </w:r>
      <w:proofErr w:type="spellStart"/>
      <w:r w:rsidRPr="002D2ADD">
        <w:rPr>
          <w:rFonts w:ascii="Times New Roman" w:hAnsi="Times New Roman" w:cs="Times New Roman"/>
          <w:sz w:val="24"/>
          <w:lang w:val="en-US"/>
        </w:rPr>
        <w:t>formate</w:t>
      </w:r>
      <w:proofErr w:type="spellEnd"/>
      <w:r w:rsidRPr="002D2ADD">
        <w:rPr>
          <w:rFonts w:ascii="Times New Roman" w:hAnsi="Times New Roman" w:cs="Times New Roman"/>
          <w:sz w:val="24"/>
          <w:lang w:val="en-US"/>
        </w:rPr>
        <w:t xml:space="preserve"> failed, resulting in the absence of experimental data points. Only the metabolites that showed changes relative to the blank control are depicted. Other metabolites, such as propionate in all experiments, and trehalose in the co-culture of </w:t>
      </w:r>
      <w:r w:rsidRPr="002D2ADD">
        <w:rPr>
          <w:rFonts w:ascii="Times New Roman" w:hAnsi="Times New Roman" w:cs="Times New Roman"/>
          <w:i/>
          <w:iCs/>
          <w:sz w:val="24"/>
          <w:lang w:val="en-US"/>
        </w:rPr>
        <w:t xml:space="preserve">Bacteroides </w:t>
      </w:r>
      <w:proofErr w:type="spellStart"/>
      <w:r w:rsidRPr="002D2ADD">
        <w:rPr>
          <w:rFonts w:ascii="Times New Roman" w:hAnsi="Times New Roman" w:cs="Times New Roman"/>
          <w:i/>
          <w:iCs/>
          <w:sz w:val="24"/>
          <w:lang w:val="en-US"/>
        </w:rPr>
        <w:t>thetaiotaomicron</w:t>
      </w:r>
      <w:proofErr w:type="spellEnd"/>
      <w:r w:rsidRPr="002D2ADD">
        <w:rPr>
          <w:rFonts w:ascii="Times New Roman" w:hAnsi="Times New Roman" w:cs="Times New Roman"/>
          <w:sz w:val="24"/>
          <w:lang w:val="en-US"/>
        </w:rPr>
        <w:t xml:space="preserve"> and </w:t>
      </w:r>
      <w:proofErr w:type="spellStart"/>
      <w:r w:rsidRPr="002D2ADD">
        <w:rPr>
          <w:rFonts w:ascii="Times New Roman" w:hAnsi="Times New Roman" w:cs="Times New Roman"/>
          <w:i/>
          <w:iCs/>
          <w:sz w:val="24"/>
          <w:lang w:val="en-US"/>
        </w:rPr>
        <w:t>Roseburia</w:t>
      </w:r>
      <w:proofErr w:type="spellEnd"/>
      <w:r w:rsidRPr="002D2ADD">
        <w:rPr>
          <w:rFonts w:ascii="Times New Roman" w:hAnsi="Times New Roman" w:cs="Times New Roman"/>
          <w:i/>
          <w:iCs/>
          <w:sz w:val="24"/>
          <w:lang w:val="en-US"/>
        </w:rPr>
        <w:t xml:space="preserve"> intestinalis</w:t>
      </w:r>
      <w:r w:rsidRPr="002D2ADD">
        <w:rPr>
          <w:rFonts w:ascii="Times New Roman" w:hAnsi="Times New Roman" w:cs="Times New Roman"/>
          <w:sz w:val="24"/>
          <w:lang w:val="en-US"/>
        </w:rPr>
        <w:t>, were measured but remained at levels equivalent to the blank, which consisted of pure WC medium; hence, they are not included in these plots.</w:t>
      </w:r>
    </w:p>
    <w:p w14:paraId="39F51BDA" w14:textId="77777777" w:rsidR="00885E5C" w:rsidRDefault="00885E5C" w:rsidP="002D2ADD">
      <w:pPr>
        <w:rPr>
          <w:rFonts w:ascii="Times New Roman" w:hAnsi="Times New Roman" w:cs="Times New Roman"/>
          <w:b/>
          <w:sz w:val="24"/>
          <w:lang w:val="en-US"/>
        </w:rPr>
      </w:pPr>
    </w:p>
    <w:p w14:paraId="0B3A5FE0" w14:textId="77777777" w:rsidR="00885E5C" w:rsidRDefault="00885E5C" w:rsidP="002D2ADD">
      <w:pPr>
        <w:rPr>
          <w:rFonts w:ascii="Times New Roman" w:hAnsi="Times New Roman" w:cs="Times New Roman"/>
          <w:b/>
          <w:sz w:val="24"/>
          <w:lang w:val="en-US"/>
        </w:rPr>
      </w:pPr>
    </w:p>
    <w:p w14:paraId="597CDA82" w14:textId="77777777" w:rsidR="002D2ADD" w:rsidRDefault="002D2ADD" w:rsidP="002D2ADD">
      <w:pPr>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14:anchorId="456BDAB3" wp14:editId="55B1EA08">
            <wp:extent cx="5760525" cy="41726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_A.png"/>
                    <pic:cNvPicPr/>
                  </pic:nvPicPr>
                  <pic:blipFill rotWithShape="1">
                    <a:blip r:embed="rId5" cstate="print">
                      <a:extLst>
                        <a:ext uri="{28A0092B-C50C-407E-A947-70E740481C1C}">
                          <a14:useLocalDpi xmlns:a14="http://schemas.microsoft.com/office/drawing/2010/main" val="0"/>
                        </a:ext>
                      </a:extLst>
                    </a:blip>
                    <a:srcRect t="1" b="49852"/>
                    <a:stretch/>
                  </pic:blipFill>
                  <pic:spPr bwMode="auto">
                    <a:xfrm>
                      <a:off x="0" y="0"/>
                      <a:ext cx="5760720" cy="4172814"/>
                    </a:xfrm>
                    <a:prstGeom prst="rect">
                      <a:avLst/>
                    </a:prstGeom>
                    <a:ln>
                      <a:noFill/>
                    </a:ln>
                    <a:extLst>
                      <a:ext uri="{53640926-AAD7-44D8-BBD7-CCE9431645EC}">
                        <a14:shadowObscured xmlns:a14="http://schemas.microsoft.com/office/drawing/2010/main"/>
                      </a:ext>
                    </a:extLst>
                  </pic:spPr>
                </pic:pic>
              </a:graphicData>
            </a:graphic>
          </wp:inline>
        </w:drawing>
      </w:r>
    </w:p>
    <w:p w14:paraId="25D787AB" w14:textId="77777777" w:rsidR="00885E5C" w:rsidRDefault="00885E5C" w:rsidP="002D2ADD">
      <w:pPr>
        <w:rPr>
          <w:rFonts w:ascii="Times New Roman" w:hAnsi="Times New Roman" w:cs="Times New Roman"/>
          <w:b/>
          <w:sz w:val="24"/>
          <w:lang w:val="en-US"/>
        </w:rPr>
      </w:pPr>
    </w:p>
    <w:p w14:paraId="587C67D0" w14:textId="77777777" w:rsidR="00885E5C" w:rsidRDefault="00885E5C" w:rsidP="002D2ADD">
      <w:pPr>
        <w:rPr>
          <w:rFonts w:ascii="Times New Roman" w:hAnsi="Times New Roman" w:cs="Times New Roman"/>
          <w:b/>
          <w:noProof/>
          <w:sz w:val="24"/>
          <w:lang w:val="en-US"/>
        </w:rPr>
      </w:pPr>
    </w:p>
    <w:p w14:paraId="37A77559" w14:textId="77777777" w:rsidR="00885E5C" w:rsidRDefault="00885E5C" w:rsidP="00885E5C">
      <w:pPr>
        <w:rPr>
          <w:rFonts w:ascii="Times New Roman" w:hAnsi="Times New Roman" w:cs="Times New Roman"/>
          <w:b/>
          <w:noProof/>
          <w:sz w:val="24"/>
          <w:lang w:val="en-US"/>
        </w:rPr>
      </w:pPr>
      <w:r>
        <w:rPr>
          <w:rFonts w:ascii="Times New Roman" w:hAnsi="Times New Roman" w:cs="Times New Roman"/>
          <w:b/>
          <w:noProof/>
          <w:sz w:val="24"/>
          <w:lang w:val="en-US"/>
        </w:rPr>
        <w:lastRenderedPageBreak/>
        <w:drawing>
          <wp:inline distT="0" distB="0" distL="0" distR="0" wp14:anchorId="256C090D" wp14:editId="3CA410E3">
            <wp:extent cx="5760720" cy="41425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2_A.png"/>
                    <pic:cNvPicPr/>
                  </pic:nvPicPr>
                  <pic:blipFill rotWithShape="1">
                    <a:blip r:embed="rId5" cstate="print">
                      <a:extLst>
                        <a:ext uri="{28A0092B-C50C-407E-A947-70E740481C1C}">
                          <a14:useLocalDpi xmlns:a14="http://schemas.microsoft.com/office/drawing/2010/main" val="0"/>
                        </a:ext>
                      </a:extLst>
                    </a:blip>
                    <a:srcRect t="50216"/>
                    <a:stretch/>
                  </pic:blipFill>
                  <pic:spPr bwMode="auto">
                    <a:xfrm>
                      <a:off x="0" y="0"/>
                      <a:ext cx="5760720" cy="414257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lang w:val="en-US"/>
        </w:rPr>
        <w:tab/>
      </w:r>
      <w:r>
        <w:rPr>
          <w:rFonts w:ascii="Times New Roman" w:hAnsi="Times New Roman" w:cs="Times New Roman"/>
          <w:b/>
          <w:noProof/>
          <w:sz w:val="24"/>
          <w:lang w:val="en-US"/>
        </w:rPr>
        <w:lastRenderedPageBreak/>
        <w:drawing>
          <wp:inline distT="0" distB="0" distL="0" distR="0" wp14:anchorId="046AA465" wp14:editId="0A3174F6">
            <wp:extent cx="5760720" cy="538801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_B.png"/>
                    <pic:cNvPicPr/>
                  </pic:nvPicPr>
                  <pic:blipFill rotWithShape="1">
                    <a:blip r:embed="rId6" cstate="print">
                      <a:extLst>
                        <a:ext uri="{28A0092B-C50C-407E-A947-70E740481C1C}">
                          <a14:useLocalDpi xmlns:a14="http://schemas.microsoft.com/office/drawing/2010/main" val="0"/>
                        </a:ext>
                      </a:extLst>
                    </a:blip>
                    <a:srcRect b="35248"/>
                    <a:stretch/>
                  </pic:blipFill>
                  <pic:spPr bwMode="auto">
                    <a:xfrm>
                      <a:off x="0" y="0"/>
                      <a:ext cx="5760720" cy="5388015"/>
                    </a:xfrm>
                    <a:prstGeom prst="rect">
                      <a:avLst/>
                    </a:prstGeom>
                    <a:ln>
                      <a:noFill/>
                    </a:ln>
                    <a:extLst>
                      <a:ext uri="{53640926-AAD7-44D8-BBD7-CCE9431645EC}">
                        <a14:shadowObscured xmlns:a14="http://schemas.microsoft.com/office/drawing/2010/main"/>
                      </a:ext>
                    </a:extLst>
                  </pic:spPr>
                </pic:pic>
              </a:graphicData>
            </a:graphic>
          </wp:inline>
        </w:drawing>
      </w:r>
    </w:p>
    <w:p w14:paraId="2E4DA88E" w14:textId="77777777" w:rsidR="00885E5C" w:rsidRPr="00885E5C" w:rsidRDefault="00885E5C" w:rsidP="00885E5C">
      <w:pPr>
        <w:rPr>
          <w:rFonts w:ascii="Times New Roman" w:hAnsi="Times New Roman" w:cs="Times New Roman"/>
          <w:sz w:val="24"/>
          <w:lang w:val="en-US"/>
        </w:rPr>
      </w:pPr>
    </w:p>
    <w:p w14:paraId="74482587" w14:textId="77777777" w:rsidR="00885E5C" w:rsidRDefault="00885E5C" w:rsidP="00885E5C">
      <w:pPr>
        <w:rPr>
          <w:rFonts w:ascii="Times New Roman" w:hAnsi="Times New Roman" w:cs="Times New Roman"/>
          <w:sz w:val="24"/>
          <w:lang w:val="en-US"/>
        </w:rPr>
      </w:pPr>
    </w:p>
    <w:p w14:paraId="0ED492FF" w14:textId="77777777" w:rsidR="00885E5C" w:rsidRDefault="00885E5C" w:rsidP="00885E5C">
      <w:pPr>
        <w:tabs>
          <w:tab w:val="left" w:pos="3390"/>
        </w:tabs>
        <w:rPr>
          <w:rFonts w:ascii="Times New Roman" w:hAnsi="Times New Roman" w:cs="Times New Roman"/>
          <w:noProof/>
          <w:sz w:val="24"/>
          <w:lang w:val="en-US"/>
        </w:rPr>
      </w:pPr>
    </w:p>
    <w:p w14:paraId="0C180A4B" w14:textId="77777777" w:rsidR="00885E5C" w:rsidRDefault="00885E5C" w:rsidP="00885E5C">
      <w:pPr>
        <w:tabs>
          <w:tab w:val="left" w:pos="3390"/>
        </w:tabs>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4F1B4196" wp14:editId="63B002F0">
            <wp:extent cx="5760720" cy="53822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C.png"/>
                    <pic:cNvPicPr/>
                  </pic:nvPicPr>
                  <pic:blipFill rotWithShape="1">
                    <a:blip r:embed="rId7" cstate="print">
                      <a:extLst>
                        <a:ext uri="{28A0092B-C50C-407E-A947-70E740481C1C}">
                          <a14:useLocalDpi xmlns:a14="http://schemas.microsoft.com/office/drawing/2010/main" val="0"/>
                        </a:ext>
                      </a:extLst>
                    </a:blip>
                    <a:srcRect b="35318"/>
                    <a:stretch/>
                  </pic:blipFill>
                  <pic:spPr bwMode="auto">
                    <a:xfrm>
                      <a:off x="0" y="0"/>
                      <a:ext cx="5760720" cy="53822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lang w:val="en-US"/>
        </w:rPr>
        <w:tab/>
      </w:r>
    </w:p>
    <w:p w14:paraId="114FA7EE" w14:textId="77777777" w:rsidR="00885E5C" w:rsidRDefault="00885E5C" w:rsidP="00885E5C">
      <w:pPr>
        <w:tabs>
          <w:tab w:val="left" w:pos="3390"/>
        </w:tabs>
        <w:rPr>
          <w:rFonts w:ascii="Times New Roman" w:hAnsi="Times New Roman" w:cs="Times New Roman"/>
          <w:sz w:val="24"/>
          <w:lang w:val="en-US"/>
        </w:rPr>
      </w:pPr>
    </w:p>
    <w:p w14:paraId="37EA1048" w14:textId="77777777" w:rsidR="00885E5C" w:rsidRDefault="00885E5C" w:rsidP="00885E5C">
      <w:pPr>
        <w:tabs>
          <w:tab w:val="left" w:pos="3390"/>
        </w:tabs>
        <w:rPr>
          <w:rFonts w:ascii="Times New Roman" w:hAnsi="Times New Roman" w:cs="Times New Roman"/>
          <w:sz w:val="24"/>
          <w:lang w:val="en-US"/>
        </w:rPr>
      </w:pPr>
    </w:p>
    <w:p w14:paraId="297F6430" w14:textId="77777777" w:rsidR="00885E5C" w:rsidRDefault="00885E5C" w:rsidP="00885E5C">
      <w:pPr>
        <w:tabs>
          <w:tab w:val="left" w:pos="3390"/>
        </w:tabs>
        <w:rPr>
          <w:rFonts w:ascii="Times New Roman" w:hAnsi="Times New Roman" w:cs="Times New Roman"/>
          <w:sz w:val="24"/>
          <w:lang w:val="en-US"/>
        </w:rPr>
      </w:pPr>
    </w:p>
    <w:p w14:paraId="17334A99" w14:textId="77777777" w:rsidR="00885E5C" w:rsidRDefault="00885E5C" w:rsidP="00885E5C">
      <w:pPr>
        <w:tabs>
          <w:tab w:val="left" w:pos="3390"/>
        </w:tabs>
        <w:rPr>
          <w:rFonts w:ascii="Times New Roman" w:hAnsi="Times New Roman" w:cs="Times New Roman"/>
          <w:sz w:val="24"/>
          <w:lang w:val="en-US"/>
        </w:rPr>
      </w:pPr>
    </w:p>
    <w:p w14:paraId="25C19C29" w14:textId="77777777" w:rsidR="00885E5C" w:rsidRDefault="00885E5C" w:rsidP="00885E5C">
      <w:pPr>
        <w:tabs>
          <w:tab w:val="left" w:pos="3390"/>
        </w:tabs>
        <w:rPr>
          <w:rFonts w:ascii="Times New Roman" w:hAnsi="Times New Roman" w:cs="Times New Roman"/>
          <w:sz w:val="24"/>
          <w:lang w:val="en-US"/>
        </w:rPr>
      </w:pPr>
    </w:p>
    <w:p w14:paraId="0F909CCD" w14:textId="77777777" w:rsidR="00885E5C" w:rsidRDefault="00885E5C" w:rsidP="00885E5C">
      <w:pPr>
        <w:tabs>
          <w:tab w:val="left" w:pos="3390"/>
        </w:tabs>
        <w:rPr>
          <w:rFonts w:ascii="Times New Roman" w:hAnsi="Times New Roman" w:cs="Times New Roman"/>
          <w:sz w:val="24"/>
          <w:lang w:val="en-US"/>
        </w:rPr>
      </w:pPr>
    </w:p>
    <w:p w14:paraId="39DC1806" w14:textId="77777777" w:rsidR="00885E5C" w:rsidRDefault="00885E5C" w:rsidP="00885E5C">
      <w:pPr>
        <w:tabs>
          <w:tab w:val="left" w:pos="3390"/>
        </w:tabs>
        <w:rPr>
          <w:rFonts w:ascii="Times New Roman" w:hAnsi="Times New Roman" w:cs="Times New Roman"/>
          <w:sz w:val="24"/>
          <w:lang w:val="en-US"/>
        </w:rPr>
      </w:pPr>
    </w:p>
    <w:p w14:paraId="4B9276D2" w14:textId="77777777" w:rsidR="00885E5C" w:rsidRDefault="00885E5C" w:rsidP="00885E5C">
      <w:pPr>
        <w:tabs>
          <w:tab w:val="left" w:pos="3390"/>
        </w:tabs>
        <w:rPr>
          <w:rFonts w:ascii="Times New Roman" w:hAnsi="Times New Roman" w:cs="Times New Roman"/>
          <w:sz w:val="24"/>
          <w:lang w:val="en-US"/>
        </w:rPr>
      </w:pPr>
    </w:p>
    <w:p w14:paraId="4CE52B8F" w14:textId="77777777" w:rsidR="00885E5C" w:rsidRDefault="00885E5C" w:rsidP="00885E5C">
      <w:pPr>
        <w:tabs>
          <w:tab w:val="left" w:pos="3390"/>
        </w:tabs>
        <w:rPr>
          <w:rFonts w:ascii="Times New Roman" w:hAnsi="Times New Roman" w:cs="Times New Roman"/>
          <w:sz w:val="24"/>
          <w:lang w:val="en-US"/>
        </w:rPr>
      </w:pPr>
    </w:p>
    <w:p w14:paraId="0EC4DB8D" w14:textId="77777777" w:rsidR="00885E5C" w:rsidRDefault="00885E5C" w:rsidP="00885E5C">
      <w:pPr>
        <w:tabs>
          <w:tab w:val="left" w:pos="3390"/>
        </w:tabs>
        <w:rPr>
          <w:rFonts w:ascii="Times New Roman" w:hAnsi="Times New Roman" w:cs="Times New Roman"/>
          <w:sz w:val="24"/>
          <w:lang w:val="en-US"/>
        </w:rPr>
      </w:pPr>
    </w:p>
    <w:p w14:paraId="31277874" w14:textId="77777777" w:rsidR="00885E5C" w:rsidRDefault="00885E5C" w:rsidP="00885E5C">
      <w:pPr>
        <w:tabs>
          <w:tab w:val="left" w:pos="3390"/>
        </w:tabs>
        <w:rPr>
          <w:rFonts w:ascii="Times New Roman" w:hAnsi="Times New Roman" w:cs="Times New Roman"/>
          <w:sz w:val="24"/>
          <w:lang w:val="en-US"/>
        </w:rPr>
      </w:pPr>
    </w:p>
    <w:p w14:paraId="5244D7E0" w14:textId="77777777" w:rsidR="00885E5C" w:rsidRPr="00885E5C" w:rsidRDefault="00885E5C" w:rsidP="00885E5C">
      <w:pPr>
        <w:tabs>
          <w:tab w:val="left" w:pos="3390"/>
        </w:tabs>
        <w:rPr>
          <w:rFonts w:ascii="Times New Roman" w:hAnsi="Times New Roman" w:cs="Times New Roman"/>
          <w:sz w:val="24"/>
          <w:lang w:val="en-US"/>
        </w:rPr>
      </w:pPr>
      <w:r w:rsidRPr="00885E5C">
        <w:rPr>
          <w:rFonts w:ascii="Times New Roman" w:hAnsi="Times New Roman" w:cs="Times New Roman"/>
          <w:b/>
          <w:bCs/>
          <w:sz w:val="24"/>
          <w:lang w:val="en-US"/>
        </w:rPr>
        <w:lastRenderedPageBreak/>
        <w:t>Supplementary Fig</w:t>
      </w:r>
      <w:r>
        <w:rPr>
          <w:rFonts w:ascii="Times New Roman" w:hAnsi="Times New Roman" w:cs="Times New Roman"/>
          <w:b/>
          <w:bCs/>
          <w:sz w:val="24"/>
          <w:lang w:val="en-US"/>
        </w:rPr>
        <w:t>.</w:t>
      </w:r>
      <w:r w:rsidRPr="00885E5C">
        <w:rPr>
          <w:rFonts w:ascii="Times New Roman" w:hAnsi="Times New Roman" w:cs="Times New Roman"/>
          <w:b/>
          <w:bCs/>
          <w:sz w:val="24"/>
          <w:lang w:val="en-US"/>
        </w:rPr>
        <w:t xml:space="preserve"> S3: </w:t>
      </w:r>
      <w:r w:rsidRPr="00885E5C">
        <w:rPr>
          <w:rFonts w:ascii="Times New Roman" w:hAnsi="Times New Roman" w:cs="Times New Roman"/>
          <w:sz w:val="24"/>
          <w:lang w:val="en-US"/>
        </w:rPr>
        <w:t>Two examples of history dependence in simulations using our mechanistic model. In (</w:t>
      </w:r>
      <w:r w:rsidRPr="00885E5C">
        <w:rPr>
          <w:rFonts w:ascii="Times New Roman" w:hAnsi="Times New Roman" w:cs="Times New Roman"/>
          <w:b/>
          <w:sz w:val="24"/>
          <w:lang w:val="en-US"/>
        </w:rPr>
        <w:t>A</w:t>
      </w:r>
      <w:r w:rsidRPr="00885E5C">
        <w:rPr>
          <w:rFonts w:ascii="Times New Roman" w:hAnsi="Times New Roman" w:cs="Times New Roman"/>
          <w:sz w:val="24"/>
          <w:lang w:val="en-US"/>
        </w:rPr>
        <w:t xml:space="preserve">), simulations began with dilution rates corresponding to the values on the x-axis and reached a steady state depicted in the top heatmap. After reaching this steady state, the dilution rate was set to zero for 24 hours and then restored to its previous value, allowing the system to achieve a second steady state </w:t>
      </w:r>
      <w:r>
        <w:rPr>
          <w:rFonts w:ascii="Times New Roman" w:hAnsi="Times New Roman" w:cs="Times New Roman"/>
          <w:sz w:val="24"/>
          <w:lang w:val="en-US"/>
        </w:rPr>
        <w:t>up until</w:t>
      </w:r>
      <w:r w:rsidRPr="00885E5C">
        <w:rPr>
          <w:rFonts w:ascii="Times New Roman" w:hAnsi="Times New Roman" w:cs="Times New Roman"/>
          <w:sz w:val="24"/>
          <w:lang w:val="en-US"/>
        </w:rPr>
        <w:t xml:space="preserve"> 600 hours. This second steady-state is shown in the lower heatmap. Within a certain range of dilution rate values (indicated by the area enclosed in the white traced lines), the system settles into a different steady state than in the case were no perturbation was introduced (notice, the higher concentration of </w:t>
      </w:r>
      <w:r w:rsidRPr="00885E5C">
        <w:rPr>
          <w:rFonts w:ascii="Times New Roman" w:hAnsi="Times New Roman" w:cs="Times New Roman"/>
          <w:i/>
          <w:iCs/>
          <w:sz w:val="24"/>
          <w:lang w:val="en-US"/>
        </w:rPr>
        <w:t>Blautia hydrogenotrophica</w:t>
      </w:r>
      <w:r w:rsidRPr="00885E5C">
        <w:rPr>
          <w:rFonts w:ascii="Times New Roman" w:hAnsi="Times New Roman" w:cs="Times New Roman"/>
          <w:sz w:val="24"/>
          <w:lang w:val="en-US"/>
        </w:rPr>
        <w:t xml:space="preserve"> and acetate and lower concentration of </w:t>
      </w:r>
      <w:proofErr w:type="spellStart"/>
      <w:r w:rsidRPr="00885E5C">
        <w:rPr>
          <w:rFonts w:ascii="Times New Roman" w:hAnsi="Times New Roman" w:cs="Times New Roman"/>
          <w:i/>
          <w:iCs/>
          <w:sz w:val="24"/>
          <w:lang w:val="en-US"/>
        </w:rPr>
        <w:t>Roseburia</w:t>
      </w:r>
      <w:proofErr w:type="spellEnd"/>
      <w:r w:rsidRPr="00885E5C">
        <w:rPr>
          <w:rFonts w:ascii="Times New Roman" w:hAnsi="Times New Roman" w:cs="Times New Roman"/>
          <w:i/>
          <w:iCs/>
          <w:sz w:val="24"/>
          <w:lang w:val="en-US"/>
        </w:rPr>
        <w:t xml:space="preserve"> intestinalis</w:t>
      </w:r>
      <w:r w:rsidRPr="00885E5C">
        <w:rPr>
          <w:rFonts w:ascii="Times New Roman" w:hAnsi="Times New Roman" w:cs="Times New Roman"/>
          <w:sz w:val="24"/>
          <w:lang w:val="en-US"/>
        </w:rPr>
        <w:t xml:space="preserve"> and butyrate). The two steady states have the same parameter values and emerge depending on the history of the system. This alternative steady state is maintained by feedback loops among phenotypically distinct subpopulations. For instance, if the initial population of </w:t>
      </w:r>
      <w:r w:rsidRPr="00885E5C">
        <w:rPr>
          <w:rFonts w:ascii="Times New Roman" w:hAnsi="Times New Roman" w:cs="Times New Roman"/>
          <w:i/>
          <w:iCs/>
          <w:sz w:val="24"/>
          <w:lang w:val="en-US"/>
        </w:rPr>
        <w:t xml:space="preserve">Blautia </w:t>
      </w:r>
      <w:proofErr w:type="spellStart"/>
      <w:r w:rsidRPr="00885E5C">
        <w:rPr>
          <w:rFonts w:ascii="Times New Roman" w:hAnsi="Times New Roman" w:cs="Times New Roman"/>
          <w:i/>
          <w:iCs/>
          <w:sz w:val="24"/>
          <w:lang w:val="en-US"/>
        </w:rPr>
        <w:t>hydrogenotrophica</w:t>
      </w:r>
      <w:r w:rsidRPr="00885E5C">
        <w:rPr>
          <w:rFonts w:ascii="Times New Roman" w:hAnsi="Times New Roman" w:cs="Times New Roman"/>
          <w:sz w:val="24"/>
          <w:lang w:val="en-US"/>
        </w:rPr>
        <w:t>'s</w:t>
      </w:r>
      <w:proofErr w:type="spellEnd"/>
      <w:r w:rsidRPr="00885E5C">
        <w:rPr>
          <w:rFonts w:ascii="Times New Roman" w:hAnsi="Times New Roman" w:cs="Times New Roman"/>
          <w:sz w:val="24"/>
          <w:lang w:val="en-US"/>
        </w:rPr>
        <w:t xml:space="preserve"> glucose-consuming cells exceeds a tipping point, an increase in the steady-state concentration of trehalose (achieved by increasing the dilution rate) prompts </w:t>
      </w:r>
      <w:r w:rsidRPr="00885E5C">
        <w:rPr>
          <w:rFonts w:ascii="Times New Roman" w:hAnsi="Times New Roman" w:cs="Times New Roman"/>
          <w:i/>
          <w:iCs/>
          <w:sz w:val="24"/>
          <w:lang w:val="en-US"/>
        </w:rPr>
        <w:t>B. hydrogenotrophica</w:t>
      </w:r>
      <w:r w:rsidRPr="00885E5C">
        <w:rPr>
          <w:rFonts w:ascii="Times New Roman" w:hAnsi="Times New Roman" w:cs="Times New Roman"/>
          <w:sz w:val="24"/>
          <w:lang w:val="en-US"/>
        </w:rPr>
        <w:t xml:space="preserve"> cells to switch to consuming the excess trehalose, keeping trehalose levels low and allowing glucose-consuming cells to persist. In other words, whether glucose-consuming cells persist or not depends on their initial population, which in turn depends on the history of the system. Using principal component analysis (PCA), the model state can be summarized by a single state value (its first principal component). In the lower plot, one clearly sees the coexistence of two states under the same parameter regime within the traced line (top unperturbed and bottom perturbed states).</w:t>
      </w:r>
    </w:p>
    <w:p w14:paraId="361A8F22" w14:textId="77777777" w:rsidR="00885E5C" w:rsidRPr="00885E5C" w:rsidRDefault="00885E5C" w:rsidP="00885E5C">
      <w:pPr>
        <w:tabs>
          <w:tab w:val="left" w:pos="3390"/>
        </w:tabs>
        <w:rPr>
          <w:rFonts w:ascii="Times New Roman" w:hAnsi="Times New Roman" w:cs="Times New Roman"/>
          <w:sz w:val="24"/>
          <w:lang w:val="en-US"/>
        </w:rPr>
      </w:pPr>
      <w:r w:rsidRPr="00885E5C">
        <w:rPr>
          <w:rFonts w:ascii="Times New Roman" w:hAnsi="Times New Roman" w:cs="Times New Roman"/>
          <w:sz w:val="24"/>
          <w:lang w:val="en-US"/>
        </w:rPr>
        <w:t xml:space="preserve">(B) A similar example of history dependency can be seen by controlling the system’s pH at specific values (for instance, by adding a buffer). In these simulations, in the top heatmap we show the steady state reached by the system when the pH is fixed from the beginning at the values in the x-axis. While in the lower one, we instead initialize the system with a fixed pH of 5.6 for 60h. A short time period that would not lead </w:t>
      </w:r>
      <w:proofErr w:type="spellStart"/>
      <w:r w:rsidRPr="00885E5C">
        <w:rPr>
          <w:rFonts w:ascii="Times New Roman" w:hAnsi="Times New Roman" w:cs="Times New Roman"/>
          <w:i/>
          <w:iCs/>
          <w:sz w:val="24"/>
          <w:lang w:val="en-US"/>
        </w:rPr>
        <w:t>Roseburia</w:t>
      </w:r>
      <w:proofErr w:type="spellEnd"/>
      <w:r w:rsidRPr="00885E5C">
        <w:rPr>
          <w:rFonts w:ascii="Times New Roman" w:hAnsi="Times New Roman" w:cs="Times New Roman"/>
          <w:i/>
          <w:iCs/>
          <w:sz w:val="24"/>
          <w:lang w:val="en-US"/>
        </w:rPr>
        <w:t xml:space="preserve"> intestinalis</w:t>
      </w:r>
      <w:r w:rsidRPr="00885E5C">
        <w:rPr>
          <w:rFonts w:ascii="Times New Roman" w:hAnsi="Times New Roman" w:cs="Times New Roman"/>
          <w:sz w:val="24"/>
          <w:lang w:val="en-US"/>
        </w:rPr>
        <w:t xml:space="preserve"> to extinction and not necessarily enough time to reach a steady state. After 60h, we set the pH to the specific value in the x-axis and allow the system to reach steady state (for 600 h). Here, once more within the range indicated by the white traced lines, two alternative states were reached that depend on the system’s history. In other words, the concentration of subpopulations that emerge after the initial incubation at pH 5.6 is more robust to pH changes and stabilizes the system in a different state compared to the initial populations of a standard incubation.</w:t>
      </w:r>
    </w:p>
    <w:p w14:paraId="33F1CE43" w14:textId="77777777" w:rsidR="00885E5C" w:rsidRDefault="00885E5C" w:rsidP="00885E5C">
      <w:pPr>
        <w:tabs>
          <w:tab w:val="left" w:pos="3390"/>
        </w:tabs>
        <w:rPr>
          <w:rFonts w:ascii="Times New Roman" w:hAnsi="Times New Roman" w:cs="Times New Roman"/>
          <w:sz w:val="24"/>
          <w:lang w:val="en-US"/>
        </w:rPr>
      </w:pPr>
    </w:p>
    <w:p w14:paraId="5E82C20B" w14:textId="02B833AA" w:rsidR="00885E5C" w:rsidRDefault="00BC48CA" w:rsidP="00885E5C">
      <w:pPr>
        <w:tabs>
          <w:tab w:val="left" w:pos="3390"/>
        </w:tabs>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6FA2C1DE" wp14:editId="06CC2A21">
            <wp:extent cx="5760720" cy="5225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225415"/>
                    </a:xfrm>
                    <a:prstGeom prst="rect">
                      <a:avLst/>
                    </a:prstGeom>
                  </pic:spPr>
                </pic:pic>
              </a:graphicData>
            </a:graphic>
          </wp:inline>
        </w:drawing>
      </w:r>
    </w:p>
    <w:p w14:paraId="595B1ACD" w14:textId="77777777" w:rsidR="00885E5C" w:rsidRDefault="00885E5C" w:rsidP="00885E5C">
      <w:pPr>
        <w:tabs>
          <w:tab w:val="left" w:pos="3390"/>
        </w:tabs>
        <w:rPr>
          <w:rFonts w:ascii="Times New Roman" w:hAnsi="Times New Roman" w:cs="Times New Roman"/>
          <w:sz w:val="24"/>
          <w:lang w:val="en-US"/>
        </w:rPr>
      </w:pPr>
    </w:p>
    <w:p w14:paraId="17201F83" w14:textId="77777777" w:rsidR="00885E5C" w:rsidRDefault="00885E5C" w:rsidP="00885E5C">
      <w:pPr>
        <w:tabs>
          <w:tab w:val="left" w:pos="3390"/>
        </w:tabs>
        <w:rPr>
          <w:rFonts w:ascii="Times New Roman" w:hAnsi="Times New Roman" w:cs="Times New Roman"/>
          <w:sz w:val="24"/>
          <w:lang w:val="en-US"/>
        </w:rPr>
      </w:pPr>
    </w:p>
    <w:p w14:paraId="4665B3CA" w14:textId="77777777" w:rsidR="00885E5C" w:rsidRDefault="00885E5C" w:rsidP="00885E5C">
      <w:pPr>
        <w:tabs>
          <w:tab w:val="left" w:pos="3390"/>
        </w:tabs>
        <w:rPr>
          <w:rFonts w:ascii="Times New Roman" w:hAnsi="Times New Roman" w:cs="Times New Roman"/>
          <w:sz w:val="24"/>
          <w:lang w:val="en-US"/>
        </w:rPr>
      </w:pPr>
    </w:p>
    <w:p w14:paraId="46AF25FF" w14:textId="77777777" w:rsidR="00885E5C" w:rsidRDefault="00885E5C" w:rsidP="00885E5C">
      <w:pPr>
        <w:tabs>
          <w:tab w:val="left" w:pos="3390"/>
        </w:tabs>
        <w:rPr>
          <w:rFonts w:ascii="Times New Roman" w:hAnsi="Times New Roman" w:cs="Times New Roman"/>
          <w:sz w:val="24"/>
          <w:lang w:val="en-US"/>
        </w:rPr>
      </w:pPr>
    </w:p>
    <w:p w14:paraId="48518AC4" w14:textId="77777777" w:rsidR="00885E5C" w:rsidRDefault="00885E5C" w:rsidP="00885E5C">
      <w:pPr>
        <w:tabs>
          <w:tab w:val="left" w:pos="3390"/>
        </w:tabs>
        <w:rPr>
          <w:rFonts w:ascii="Times New Roman" w:hAnsi="Times New Roman" w:cs="Times New Roman"/>
          <w:sz w:val="24"/>
          <w:lang w:val="en-US"/>
        </w:rPr>
      </w:pPr>
    </w:p>
    <w:p w14:paraId="7B4566F4" w14:textId="77777777" w:rsidR="00885E5C" w:rsidRDefault="00885E5C" w:rsidP="00885E5C">
      <w:pPr>
        <w:tabs>
          <w:tab w:val="left" w:pos="3390"/>
        </w:tabs>
        <w:rPr>
          <w:rFonts w:ascii="Times New Roman" w:hAnsi="Times New Roman" w:cs="Times New Roman"/>
          <w:sz w:val="24"/>
          <w:lang w:val="en-US"/>
        </w:rPr>
      </w:pPr>
    </w:p>
    <w:p w14:paraId="308B921B" w14:textId="77777777" w:rsidR="00885E5C" w:rsidRDefault="00885E5C" w:rsidP="00885E5C">
      <w:pPr>
        <w:tabs>
          <w:tab w:val="left" w:pos="3390"/>
        </w:tabs>
        <w:rPr>
          <w:rFonts w:ascii="Times New Roman" w:hAnsi="Times New Roman" w:cs="Times New Roman"/>
          <w:sz w:val="24"/>
          <w:lang w:val="en-US"/>
        </w:rPr>
      </w:pPr>
    </w:p>
    <w:p w14:paraId="7570EC33" w14:textId="77777777" w:rsidR="00885E5C" w:rsidRDefault="00885E5C" w:rsidP="00885E5C">
      <w:pPr>
        <w:tabs>
          <w:tab w:val="left" w:pos="3390"/>
        </w:tabs>
        <w:rPr>
          <w:rFonts w:ascii="Times New Roman" w:hAnsi="Times New Roman" w:cs="Times New Roman"/>
          <w:sz w:val="24"/>
          <w:lang w:val="en-US"/>
        </w:rPr>
      </w:pPr>
    </w:p>
    <w:p w14:paraId="08224AEE" w14:textId="77777777" w:rsidR="00885E5C" w:rsidRDefault="00885E5C" w:rsidP="00885E5C">
      <w:pPr>
        <w:tabs>
          <w:tab w:val="left" w:pos="3390"/>
        </w:tabs>
        <w:rPr>
          <w:rFonts w:ascii="Times New Roman" w:hAnsi="Times New Roman" w:cs="Times New Roman"/>
          <w:sz w:val="24"/>
          <w:lang w:val="en-US"/>
        </w:rPr>
      </w:pPr>
    </w:p>
    <w:p w14:paraId="26A13D3E" w14:textId="77777777" w:rsidR="00885E5C" w:rsidRDefault="00885E5C" w:rsidP="00885E5C">
      <w:pPr>
        <w:tabs>
          <w:tab w:val="left" w:pos="3390"/>
        </w:tabs>
        <w:rPr>
          <w:rFonts w:ascii="Times New Roman" w:hAnsi="Times New Roman" w:cs="Times New Roman"/>
          <w:sz w:val="24"/>
          <w:lang w:val="en-US"/>
        </w:rPr>
      </w:pPr>
    </w:p>
    <w:p w14:paraId="12B73085" w14:textId="77777777" w:rsidR="00885E5C" w:rsidRDefault="00885E5C" w:rsidP="00885E5C">
      <w:pPr>
        <w:tabs>
          <w:tab w:val="left" w:pos="3390"/>
        </w:tabs>
        <w:rPr>
          <w:rFonts w:ascii="Times New Roman" w:hAnsi="Times New Roman" w:cs="Times New Roman"/>
          <w:sz w:val="24"/>
          <w:lang w:val="en-US"/>
        </w:rPr>
      </w:pPr>
    </w:p>
    <w:p w14:paraId="18CD0C40" w14:textId="77777777" w:rsidR="00885E5C" w:rsidRDefault="00885E5C" w:rsidP="00885E5C">
      <w:pPr>
        <w:tabs>
          <w:tab w:val="left" w:pos="3390"/>
        </w:tabs>
        <w:rPr>
          <w:rFonts w:ascii="Times New Roman" w:hAnsi="Times New Roman" w:cs="Times New Roman"/>
          <w:sz w:val="24"/>
          <w:lang w:val="en-US"/>
        </w:rPr>
      </w:pPr>
    </w:p>
    <w:p w14:paraId="0D5BB3FE" w14:textId="7A754847" w:rsidR="00885E5C" w:rsidRPr="00885E5C" w:rsidRDefault="00885E5C" w:rsidP="00885E5C">
      <w:pPr>
        <w:tabs>
          <w:tab w:val="left" w:pos="3390"/>
        </w:tabs>
        <w:rPr>
          <w:rFonts w:ascii="Times New Roman" w:hAnsi="Times New Roman" w:cs="Times New Roman"/>
          <w:sz w:val="24"/>
          <w:lang w:val="en-US"/>
        </w:rPr>
      </w:pPr>
      <w:r w:rsidRPr="00885E5C">
        <w:rPr>
          <w:rFonts w:ascii="Times New Roman" w:hAnsi="Times New Roman" w:cs="Times New Roman"/>
          <w:b/>
          <w:bCs/>
          <w:sz w:val="24"/>
          <w:lang w:val="en-US"/>
        </w:rPr>
        <w:lastRenderedPageBreak/>
        <w:t>Supplementary Movie S1</w:t>
      </w:r>
      <w:r w:rsidRPr="00885E5C">
        <w:rPr>
          <w:rFonts w:ascii="Times New Roman" w:hAnsi="Times New Roman" w:cs="Times New Roman"/>
          <w:sz w:val="24"/>
          <w:lang w:val="en-US"/>
        </w:rPr>
        <w:t xml:space="preserve">: flow cytometry time series of </w:t>
      </w:r>
      <w:r w:rsidRPr="00885E5C">
        <w:rPr>
          <w:rFonts w:ascii="Times New Roman" w:hAnsi="Times New Roman" w:cs="Times New Roman"/>
          <w:i/>
          <w:iCs/>
          <w:sz w:val="24"/>
          <w:lang w:val="en-US"/>
        </w:rPr>
        <w:t xml:space="preserve">Blautia </w:t>
      </w:r>
      <w:proofErr w:type="spellStart"/>
      <w:r w:rsidRPr="00885E5C">
        <w:rPr>
          <w:rFonts w:ascii="Times New Roman" w:hAnsi="Times New Roman" w:cs="Times New Roman"/>
          <w:i/>
          <w:iCs/>
          <w:sz w:val="24"/>
          <w:lang w:val="en-US"/>
        </w:rPr>
        <w:t>hydrogenotrophica</w:t>
      </w:r>
      <w:r w:rsidRPr="00885E5C">
        <w:rPr>
          <w:rFonts w:ascii="Times New Roman" w:hAnsi="Times New Roman" w:cs="Times New Roman"/>
          <w:sz w:val="24"/>
          <w:lang w:val="en-US"/>
        </w:rPr>
        <w:t>'s</w:t>
      </w:r>
      <w:proofErr w:type="spellEnd"/>
      <w:r w:rsidRPr="00885E5C">
        <w:rPr>
          <w:rFonts w:ascii="Times New Roman" w:hAnsi="Times New Roman" w:cs="Times New Roman"/>
          <w:sz w:val="24"/>
          <w:lang w:val="en-US"/>
        </w:rPr>
        <w:t xml:space="preserve"> growth in WC medium, corresponding to experiment 1 shown in main Fig</w:t>
      </w:r>
      <w:r w:rsidR="00BC48CA">
        <w:rPr>
          <w:rFonts w:ascii="Times New Roman" w:hAnsi="Times New Roman" w:cs="Times New Roman"/>
          <w:sz w:val="24"/>
          <w:lang w:val="en-US"/>
        </w:rPr>
        <w:t>.</w:t>
      </w:r>
      <w:r w:rsidRPr="00885E5C">
        <w:rPr>
          <w:rFonts w:ascii="Times New Roman" w:hAnsi="Times New Roman" w:cs="Times New Roman"/>
          <w:sz w:val="24"/>
          <w:lang w:val="en-US"/>
        </w:rPr>
        <w:t xml:space="preserve"> 1D. ‘t' represents the hours of cultivation. The x-axis displays the intensity of the SYBR green staining, indicative of viable (non-permeable) cells, while the y-axis shows the intensity of propidium iodide staining, which marks non-viable (permeable) cells. Between 24 and 32 hours, two distinct subpopulations of similar sizes become apparent</w:t>
      </w:r>
      <w:r w:rsidR="00CA2ED0">
        <w:rPr>
          <w:rFonts w:ascii="Times New Roman" w:hAnsi="Times New Roman" w:cs="Times New Roman"/>
          <w:sz w:val="24"/>
          <w:lang w:val="en-US"/>
        </w:rPr>
        <w:t xml:space="preserve">, which coincides </w:t>
      </w:r>
      <w:r w:rsidR="0062289A">
        <w:rPr>
          <w:rFonts w:ascii="Times New Roman" w:hAnsi="Times New Roman" w:cs="Times New Roman"/>
          <w:sz w:val="24"/>
          <w:lang w:val="en-US"/>
        </w:rPr>
        <w:t>with the uptake of glucose (see main F</w:t>
      </w:r>
      <w:r w:rsidR="006952D5">
        <w:rPr>
          <w:rFonts w:ascii="Times New Roman" w:hAnsi="Times New Roman" w:cs="Times New Roman"/>
          <w:sz w:val="24"/>
          <w:lang w:val="en-US"/>
        </w:rPr>
        <w:t>ig.1 D)</w:t>
      </w:r>
      <w:r w:rsidRPr="00885E5C">
        <w:rPr>
          <w:rFonts w:ascii="Times New Roman" w:hAnsi="Times New Roman" w:cs="Times New Roman"/>
          <w:sz w:val="24"/>
          <w:lang w:val="en-US"/>
        </w:rPr>
        <w:t>. These subpopulations were not observed in the experiments where WC medium was supplemented with trehalose (see Supplementary Fig</w:t>
      </w:r>
      <w:r w:rsidR="00BC48CA">
        <w:rPr>
          <w:rFonts w:ascii="Times New Roman" w:hAnsi="Times New Roman" w:cs="Times New Roman"/>
          <w:sz w:val="24"/>
          <w:lang w:val="en-US"/>
        </w:rPr>
        <w:t>.</w:t>
      </w:r>
      <w:bookmarkStart w:id="0" w:name="_GoBack"/>
      <w:bookmarkEnd w:id="0"/>
      <w:r w:rsidRPr="00885E5C">
        <w:rPr>
          <w:rFonts w:ascii="Times New Roman" w:hAnsi="Times New Roman" w:cs="Times New Roman"/>
          <w:sz w:val="24"/>
          <w:lang w:val="en-US"/>
        </w:rPr>
        <w:t xml:space="preserve"> S1). </w:t>
      </w:r>
    </w:p>
    <w:p w14:paraId="1214C85B" w14:textId="77777777" w:rsidR="00885E5C" w:rsidRDefault="00971563" w:rsidP="00885E5C">
      <w:pPr>
        <w:tabs>
          <w:tab w:val="left" w:pos="3390"/>
        </w:tabs>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2943F9EA" wp14:editId="2FD73BE2">
            <wp:extent cx="5760720" cy="384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S1.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4256FD8F" w14:textId="77777777" w:rsidR="00885E5C" w:rsidRDefault="00885E5C" w:rsidP="00885E5C">
      <w:pPr>
        <w:tabs>
          <w:tab w:val="left" w:pos="3390"/>
        </w:tabs>
        <w:rPr>
          <w:rFonts w:ascii="Times New Roman" w:hAnsi="Times New Roman" w:cs="Times New Roman"/>
          <w:sz w:val="24"/>
          <w:lang w:val="en-US"/>
        </w:rPr>
      </w:pPr>
    </w:p>
    <w:p w14:paraId="1E4A4120" w14:textId="77777777" w:rsidR="00971563" w:rsidRDefault="00971563" w:rsidP="00885E5C">
      <w:pPr>
        <w:tabs>
          <w:tab w:val="left" w:pos="3390"/>
        </w:tabs>
        <w:rPr>
          <w:rFonts w:ascii="Times New Roman" w:hAnsi="Times New Roman" w:cs="Times New Roman"/>
          <w:sz w:val="24"/>
          <w:lang w:val="en-US"/>
        </w:rPr>
      </w:pPr>
    </w:p>
    <w:p w14:paraId="21B12ADD" w14:textId="77777777" w:rsidR="00971563" w:rsidRDefault="00971563" w:rsidP="00885E5C">
      <w:pPr>
        <w:tabs>
          <w:tab w:val="left" w:pos="3390"/>
        </w:tabs>
        <w:rPr>
          <w:rFonts w:ascii="Times New Roman" w:hAnsi="Times New Roman" w:cs="Times New Roman"/>
          <w:sz w:val="24"/>
          <w:lang w:val="en-US"/>
        </w:rPr>
      </w:pPr>
    </w:p>
    <w:p w14:paraId="24C629A4" w14:textId="77777777" w:rsidR="00971563" w:rsidRDefault="00971563" w:rsidP="00885E5C">
      <w:pPr>
        <w:tabs>
          <w:tab w:val="left" w:pos="3390"/>
        </w:tabs>
        <w:rPr>
          <w:rFonts w:ascii="Times New Roman" w:hAnsi="Times New Roman" w:cs="Times New Roman"/>
          <w:sz w:val="24"/>
          <w:lang w:val="en-US"/>
        </w:rPr>
      </w:pPr>
    </w:p>
    <w:p w14:paraId="61384BBF" w14:textId="77777777" w:rsidR="00971563" w:rsidRDefault="00971563" w:rsidP="00885E5C">
      <w:pPr>
        <w:tabs>
          <w:tab w:val="left" w:pos="3390"/>
        </w:tabs>
        <w:rPr>
          <w:rFonts w:ascii="Times New Roman" w:hAnsi="Times New Roman" w:cs="Times New Roman"/>
          <w:sz w:val="24"/>
          <w:lang w:val="en-US"/>
        </w:rPr>
      </w:pPr>
    </w:p>
    <w:p w14:paraId="47BED00E" w14:textId="77777777" w:rsidR="00971563" w:rsidRDefault="00971563" w:rsidP="00885E5C">
      <w:pPr>
        <w:tabs>
          <w:tab w:val="left" w:pos="3390"/>
        </w:tabs>
        <w:rPr>
          <w:rFonts w:ascii="Times New Roman" w:hAnsi="Times New Roman" w:cs="Times New Roman"/>
          <w:sz w:val="24"/>
          <w:lang w:val="en-US"/>
        </w:rPr>
      </w:pPr>
    </w:p>
    <w:p w14:paraId="7E40719D" w14:textId="77777777" w:rsidR="00971563" w:rsidRDefault="00971563" w:rsidP="00885E5C">
      <w:pPr>
        <w:tabs>
          <w:tab w:val="left" w:pos="3390"/>
        </w:tabs>
        <w:rPr>
          <w:rFonts w:ascii="Times New Roman" w:hAnsi="Times New Roman" w:cs="Times New Roman"/>
          <w:sz w:val="24"/>
          <w:lang w:val="en-US"/>
        </w:rPr>
      </w:pPr>
    </w:p>
    <w:p w14:paraId="09538DA6" w14:textId="77777777" w:rsidR="00971563" w:rsidRDefault="00971563" w:rsidP="00885E5C">
      <w:pPr>
        <w:tabs>
          <w:tab w:val="left" w:pos="3390"/>
        </w:tabs>
        <w:rPr>
          <w:rFonts w:ascii="Times New Roman" w:hAnsi="Times New Roman" w:cs="Times New Roman"/>
          <w:sz w:val="24"/>
          <w:lang w:val="en-US"/>
        </w:rPr>
      </w:pPr>
    </w:p>
    <w:p w14:paraId="656DC549" w14:textId="77777777" w:rsidR="00971563" w:rsidRDefault="00971563" w:rsidP="00885E5C">
      <w:pPr>
        <w:tabs>
          <w:tab w:val="left" w:pos="3390"/>
        </w:tabs>
        <w:rPr>
          <w:rFonts w:ascii="Times New Roman" w:hAnsi="Times New Roman" w:cs="Times New Roman"/>
          <w:sz w:val="24"/>
          <w:lang w:val="en-US"/>
        </w:rPr>
      </w:pPr>
    </w:p>
    <w:p w14:paraId="3F367343" w14:textId="77777777" w:rsidR="00971563" w:rsidRDefault="00971563" w:rsidP="00885E5C">
      <w:pPr>
        <w:tabs>
          <w:tab w:val="left" w:pos="3390"/>
        </w:tabs>
        <w:rPr>
          <w:rFonts w:ascii="Times New Roman" w:hAnsi="Times New Roman" w:cs="Times New Roman"/>
          <w:sz w:val="24"/>
          <w:lang w:val="en-US"/>
        </w:rPr>
      </w:pPr>
    </w:p>
    <w:p w14:paraId="26F0A0D7" w14:textId="77777777" w:rsidR="00971563" w:rsidRDefault="00971563" w:rsidP="00885E5C">
      <w:pPr>
        <w:tabs>
          <w:tab w:val="left" w:pos="3390"/>
        </w:tabs>
        <w:rPr>
          <w:rFonts w:ascii="Times New Roman" w:hAnsi="Times New Roman" w:cs="Times New Roman"/>
          <w:sz w:val="24"/>
          <w:lang w:val="en-US"/>
        </w:rPr>
      </w:pPr>
    </w:p>
    <w:p w14:paraId="7857273A" w14:textId="12062F31" w:rsidR="00971563" w:rsidRPr="000D7B90" w:rsidRDefault="00971563" w:rsidP="00971563">
      <w:pPr>
        <w:tabs>
          <w:tab w:val="left" w:pos="3390"/>
        </w:tabs>
        <w:rPr>
          <w:rFonts w:ascii="Times New Roman" w:hAnsi="Times New Roman" w:cs="Times New Roman"/>
          <w:sz w:val="24"/>
          <w:szCs w:val="24"/>
          <w:lang w:val="en-US"/>
        </w:rPr>
      </w:pPr>
      <w:r w:rsidRPr="00971563">
        <w:rPr>
          <w:rFonts w:ascii="Times New Roman" w:hAnsi="Times New Roman" w:cs="Times New Roman"/>
          <w:b/>
          <w:bCs/>
          <w:sz w:val="24"/>
          <w:lang w:val="en-US"/>
        </w:rPr>
        <w:lastRenderedPageBreak/>
        <w:t>Supplementary Movie S2:</w:t>
      </w:r>
      <w:r w:rsidRPr="00971563">
        <w:rPr>
          <w:rFonts w:ascii="Times New Roman" w:hAnsi="Times New Roman" w:cs="Times New Roman"/>
          <w:sz w:val="24"/>
          <w:lang w:val="en-US"/>
        </w:rPr>
        <w:t xml:space="preserve"> trajectories of two experiments in principal component analysis space. The measured state-space consisting of eight metabolite concentration (in mM) </w:t>
      </w:r>
      <w:proofErr w:type="gramStart"/>
      <w:r w:rsidRPr="00971563">
        <w:rPr>
          <w:rFonts w:ascii="Times New Roman" w:hAnsi="Times New Roman" w:cs="Times New Roman"/>
          <w:sz w:val="24"/>
          <w:lang w:val="en-US"/>
        </w:rPr>
        <w:t>and  three</w:t>
      </w:r>
      <w:proofErr w:type="gramEnd"/>
      <w:r w:rsidRPr="00971563">
        <w:rPr>
          <w:rFonts w:ascii="Times New Roman" w:hAnsi="Times New Roman" w:cs="Times New Roman"/>
          <w:sz w:val="24"/>
          <w:lang w:val="en-US"/>
        </w:rPr>
        <w:t xml:space="preserve"> species abundance (in 10</w:t>
      </w:r>
      <w:r w:rsidRPr="00971563">
        <w:rPr>
          <w:rFonts w:ascii="Times New Roman" w:hAnsi="Times New Roman" w:cs="Times New Roman"/>
          <w:sz w:val="24"/>
          <w:vertAlign w:val="superscript"/>
          <w:lang w:val="en-US"/>
        </w:rPr>
        <w:t>5</w:t>
      </w:r>
      <w:r w:rsidRPr="00971563">
        <w:rPr>
          <w:rFonts w:ascii="Times New Roman" w:hAnsi="Times New Roman" w:cs="Times New Roman"/>
          <w:sz w:val="24"/>
          <w:lang w:val="en-US"/>
        </w:rPr>
        <w:t xml:space="preserve"> cells uL</w:t>
      </w:r>
      <w:r w:rsidRPr="00971563">
        <w:rPr>
          <w:rFonts w:ascii="Times New Roman" w:hAnsi="Times New Roman" w:cs="Times New Roman"/>
          <w:sz w:val="24"/>
          <w:vertAlign w:val="superscript"/>
          <w:lang w:val="en-US"/>
        </w:rPr>
        <w:t>-1</w:t>
      </w:r>
      <w:r w:rsidRPr="00971563">
        <w:rPr>
          <w:rFonts w:ascii="Times New Roman" w:hAnsi="Times New Roman" w:cs="Times New Roman"/>
          <w:sz w:val="24"/>
          <w:lang w:val="en-US"/>
        </w:rPr>
        <w:t>) measured in 762 samples were scaled to zero mean and unit variance and used to generate a background PCA (green dots). The temporal dynamics of the experiments and their conditions are highlighted for experiment one (</w:t>
      </w:r>
      <w:r w:rsidRPr="00971563">
        <w:rPr>
          <w:rFonts w:ascii="Times New Roman" w:hAnsi="Times New Roman" w:cs="Times New Roman"/>
          <w:b/>
          <w:sz w:val="24"/>
          <w:lang w:val="en-US"/>
        </w:rPr>
        <w:t>A</w:t>
      </w:r>
      <w:r w:rsidRPr="00971563">
        <w:rPr>
          <w:rFonts w:ascii="Times New Roman" w:hAnsi="Times New Roman" w:cs="Times New Roman"/>
          <w:sz w:val="24"/>
          <w:lang w:val="en-US"/>
        </w:rPr>
        <w:t>) and two (</w:t>
      </w:r>
      <w:r w:rsidRPr="00971563">
        <w:rPr>
          <w:rFonts w:ascii="Times New Roman" w:hAnsi="Times New Roman" w:cs="Times New Roman"/>
          <w:b/>
          <w:sz w:val="24"/>
          <w:lang w:val="en-US"/>
        </w:rPr>
        <w:t>B</w:t>
      </w:r>
      <w:r w:rsidRPr="00971563">
        <w:rPr>
          <w:rFonts w:ascii="Times New Roman" w:hAnsi="Times New Roman" w:cs="Times New Roman"/>
          <w:sz w:val="24"/>
          <w:lang w:val="en-US"/>
        </w:rPr>
        <w:t>). Notice that the points corresponding to twelve control vessels in experiment two were not subject to the perturbation, but were used as a control during the full time of the experiment and are not highlighted during the perturbation, but remain in the same ellipse as the other perturbed vessels before the perturbation was applied. The points used to draw the ellipses are detailed in the second tab of the Supplementary Table S2</w:t>
      </w:r>
      <w:r w:rsidR="000D7B90">
        <w:rPr>
          <w:rFonts w:ascii="Times New Roman" w:hAnsi="Times New Roman" w:cs="Times New Roman"/>
          <w:sz w:val="24"/>
          <w:lang w:val="en-US"/>
        </w:rPr>
        <w:t xml:space="preserve">. </w:t>
      </w:r>
      <w:proofErr w:type="spellStart"/>
      <w:r w:rsidR="000D7B90" w:rsidRPr="000D7B90">
        <w:rPr>
          <w:rFonts w:ascii="Times New Roman" w:hAnsi="Times New Roman" w:cs="Times New Roman"/>
          <w:i/>
          <w:iCs/>
          <w:sz w:val="24"/>
          <w:szCs w:val="24"/>
          <w:lang w:val="en-US"/>
        </w:rPr>
        <w:t>Segatella</w:t>
      </w:r>
      <w:proofErr w:type="spellEnd"/>
      <w:r w:rsidR="000D7B90" w:rsidRPr="000D7B90">
        <w:rPr>
          <w:rFonts w:ascii="Times New Roman" w:hAnsi="Times New Roman" w:cs="Times New Roman"/>
          <w:i/>
          <w:iCs/>
          <w:sz w:val="24"/>
          <w:szCs w:val="24"/>
          <w:lang w:val="en-US"/>
        </w:rPr>
        <w:t xml:space="preserve"> </w:t>
      </w:r>
      <w:proofErr w:type="spellStart"/>
      <w:r w:rsidR="000D7B90" w:rsidRPr="000D7B90">
        <w:rPr>
          <w:rFonts w:ascii="Times New Roman" w:hAnsi="Times New Roman" w:cs="Times New Roman"/>
          <w:i/>
          <w:iCs/>
          <w:sz w:val="24"/>
          <w:szCs w:val="24"/>
          <w:lang w:val="en-US"/>
        </w:rPr>
        <w:t>copri</w:t>
      </w:r>
      <w:proofErr w:type="spellEnd"/>
      <w:r w:rsidR="000D7B90" w:rsidRPr="000D7B90">
        <w:rPr>
          <w:rFonts w:ascii="Times New Roman" w:hAnsi="Times New Roman" w:cs="Times New Roman"/>
          <w:i/>
          <w:iCs/>
          <w:sz w:val="24"/>
          <w:szCs w:val="24"/>
          <w:lang w:val="en-US"/>
        </w:rPr>
        <w:t xml:space="preserve"> </w:t>
      </w:r>
      <w:r w:rsidR="000D7B90" w:rsidRPr="000D7B90">
        <w:rPr>
          <w:rFonts w:ascii="Times New Roman" w:hAnsi="Times New Roman" w:cs="Times New Roman"/>
          <w:sz w:val="24"/>
          <w:szCs w:val="24"/>
          <w:lang w:val="en-US"/>
        </w:rPr>
        <w:t xml:space="preserve">(DSM 18205, previously </w:t>
      </w:r>
      <w:proofErr w:type="spellStart"/>
      <w:r w:rsidR="000D7B90" w:rsidRPr="000D7B90">
        <w:rPr>
          <w:rFonts w:ascii="Times New Roman" w:hAnsi="Times New Roman" w:cs="Times New Roman"/>
          <w:i/>
          <w:sz w:val="24"/>
          <w:szCs w:val="24"/>
          <w:lang w:val="en-US"/>
        </w:rPr>
        <w:t>Prevotella</w:t>
      </w:r>
      <w:proofErr w:type="spellEnd"/>
      <w:r w:rsidR="000D7B90" w:rsidRPr="000D7B90">
        <w:rPr>
          <w:rFonts w:ascii="Times New Roman" w:hAnsi="Times New Roman" w:cs="Times New Roman"/>
          <w:sz w:val="24"/>
          <w:szCs w:val="24"/>
          <w:lang w:val="en-US"/>
        </w:rPr>
        <w:t xml:space="preserve">) and </w:t>
      </w:r>
      <w:proofErr w:type="spellStart"/>
      <w:r w:rsidR="000D7B90" w:rsidRPr="000D7B90">
        <w:rPr>
          <w:rFonts w:ascii="Times New Roman" w:hAnsi="Times New Roman" w:cs="Times New Roman"/>
          <w:i/>
          <w:iCs/>
          <w:sz w:val="24"/>
          <w:szCs w:val="24"/>
          <w:lang w:val="en-US"/>
        </w:rPr>
        <w:t>Faecalibacterium</w:t>
      </w:r>
      <w:proofErr w:type="spellEnd"/>
      <w:r w:rsidR="000D7B90" w:rsidRPr="000D7B90">
        <w:rPr>
          <w:rFonts w:ascii="Times New Roman" w:hAnsi="Times New Roman" w:cs="Times New Roman"/>
          <w:i/>
          <w:iCs/>
          <w:sz w:val="24"/>
          <w:szCs w:val="24"/>
          <w:lang w:val="en-US"/>
        </w:rPr>
        <w:t xml:space="preserve"> </w:t>
      </w:r>
      <w:proofErr w:type="spellStart"/>
      <w:r w:rsidR="000D7B90" w:rsidRPr="000D7B90">
        <w:rPr>
          <w:rFonts w:ascii="Times New Roman" w:hAnsi="Times New Roman" w:cs="Times New Roman"/>
          <w:i/>
          <w:iCs/>
          <w:sz w:val="24"/>
          <w:szCs w:val="24"/>
          <w:lang w:val="en-US"/>
        </w:rPr>
        <w:t>duncaniae</w:t>
      </w:r>
      <w:proofErr w:type="spellEnd"/>
      <w:r w:rsidR="000D7B90" w:rsidRPr="000D7B90">
        <w:rPr>
          <w:rFonts w:ascii="Times New Roman" w:hAnsi="Times New Roman" w:cs="Times New Roman"/>
          <w:i/>
          <w:iCs/>
          <w:sz w:val="24"/>
          <w:szCs w:val="24"/>
          <w:lang w:val="en-US"/>
        </w:rPr>
        <w:t xml:space="preserve"> </w:t>
      </w:r>
      <w:r w:rsidR="000D7B90" w:rsidRPr="000D7B90">
        <w:rPr>
          <w:rFonts w:ascii="Times New Roman" w:hAnsi="Times New Roman" w:cs="Times New Roman"/>
          <w:sz w:val="24"/>
          <w:szCs w:val="24"/>
          <w:lang w:val="en-US"/>
        </w:rPr>
        <w:t xml:space="preserve">(DSM 17677, previously </w:t>
      </w:r>
      <w:r w:rsidR="000D7B90" w:rsidRPr="000D7B90">
        <w:rPr>
          <w:rFonts w:ascii="Times New Roman" w:hAnsi="Times New Roman" w:cs="Times New Roman"/>
          <w:i/>
          <w:sz w:val="24"/>
          <w:szCs w:val="24"/>
          <w:lang w:val="en-US"/>
        </w:rPr>
        <w:t xml:space="preserve">F. </w:t>
      </w:r>
      <w:proofErr w:type="spellStart"/>
      <w:r w:rsidR="000D7B90" w:rsidRPr="000D7B90">
        <w:rPr>
          <w:rFonts w:ascii="Times New Roman" w:hAnsi="Times New Roman" w:cs="Times New Roman"/>
          <w:i/>
          <w:sz w:val="24"/>
          <w:szCs w:val="24"/>
          <w:lang w:val="en-US"/>
        </w:rPr>
        <w:t>prausnitzii</w:t>
      </w:r>
      <w:proofErr w:type="spellEnd"/>
      <w:r w:rsidR="000D7B90" w:rsidRPr="000D7B90">
        <w:rPr>
          <w:rFonts w:ascii="Times New Roman" w:hAnsi="Times New Roman" w:cs="Times New Roman"/>
          <w:sz w:val="24"/>
          <w:szCs w:val="24"/>
          <w:lang w:val="en-US"/>
        </w:rPr>
        <w:t>) were also inoculated into the system, respectively, at experiment 1 and 2. However they maintained negligible abundance and were thus ignored. This is further justified by the fact that we report absolute abundances based on flow cytometry measurements.</w:t>
      </w:r>
    </w:p>
    <w:p w14:paraId="4288D514" w14:textId="77777777" w:rsidR="00971563" w:rsidRDefault="00971563" w:rsidP="00885E5C">
      <w:pPr>
        <w:tabs>
          <w:tab w:val="left" w:pos="3390"/>
        </w:tabs>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6F211794" wp14:editId="639277BC">
            <wp:extent cx="5760720" cy="8150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S2.gif"/>
                    <pic:cNvPicPr/>
                  </pic:nvPicPr>
                  <pic:blipFill>
                    <a:blip r:embed="rId10">
                      <a:extLst>
                        <a:ext uri="{28A0092B-C50C-407E-A947-70E740481C1C}">
                          <a14:useLocalDpi xmlns:a14="http://schemas.microsoft.com/office/drawing/2010/main" val="0"/>
                        </a:ext>
                      </a:extLst>
                    </a:blip>
                    <a:stretch>
                      <a:fillRect/>
                    </a:stretch>
                  </pic:blipFill>
                  <pic:spPr>
                    <a:xfrm>
                      <a:off x="0" y="0"/>
                      <a:ext cx="5760720" cy="8150860"/>
                    </a:xfrm>
                    <a:prstGeom prst="rect">
                      <a:avLst/>
                    </a:prstGeom>
                  </pic:spPr>
                </pic:pic>
              </a:graphicData>
            </a:graphic>
          </wp:inline>
        </w:drawing>
      </w:r>
    </w:p>
    <w:p w14:paraId="16634798" w14:textId="77777777" w:rsidR="00971563" w:rsidRPr="00885E5C" w:rsidRDefault="00971563" w:rsidP="00885E5C">
      <w:pPr>
        <w:tabs>
          <w:tab w:val="left" w:pos="3390"/>
        </w:tabs>
        <w:rPr>
          <w:rFonts w:ascii="Times New Roman" w:hAnsi="Times New Roman" w:cs="Times New Roman"/>
          <w:sz w:val="24"/>
          <w:lang w:val="en-US"/>
        </w:rPr>
      </w:pPr>
    </w:p>
    <w:sectPr w:rsidR="00971563" w:rsidRPr="00885E5C">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ADD"/>
    <w:rsid w:val="000D7B90"/>
    <w:rsid w:val="002D2ADD"/>
    <w:rsid w:val="0031642E"/>
    <w:rsid w:val="0062289A"/>
    <w:rsid w:val="006952D5"/>
    <w:rsid w:val="00885E5C"/>
    <w:rsid w:val="00971563"/>
    <w:rsid w:val="00BC48CA"/>
    <w:rsid w:val="00CA2ED0"/>
    <w:rsid w:val="00EE64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C6CD5"/>
  <w15:chartTrackingRefBased/>
  <w15:docId w15:val="{23BB4B26-181A-4814-918B-CCEC6F641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5071">
      <w:bodyDiv w:val="1"/>
      <w:marLeft w:val="0"/>
      <w:marRight w:val="0"/>
      <w:marTop w:val="0"/>
      <w:marBottom w:val="0"/>
      <w:divBdr>
        <w:top w:val="none" w:sz="0" w:space="0" w:color="auto"/>
        <w:left w:val="none" w:sz="0" w:space="0" w:color="auto"/>
        <w:bottom w:val="none" w:sz="0" w:space="0" w:color="auto"/>
        <w:right w:val="none" w:sz="0" w:space="0" w:color="auto"/>
      </w:divBdr>
    </w:div>
    <w:div w:id="738788791">
      <w:bodyDiv w:val="1"/>
      <w:marLeft w:val="0"/>
      <w:marRight w:val="0"/>
      <w:marTop w:val="0"/>
      <w:marBottom w:val="0"/>
      <w:divBdr>
        <w:top w:val="none" w:sz="0" w:space="0" w:color="auto"/>
        <w:left w:val="none" w:sz="0" w:space="0" w:color="auto"/>
        <w:bottom w:val="none" w:sz="0" w:space="0" w:color="auto"/>
        <w:right w:val="none" w:sz="0" w:space="0" w:color="auto"/>
      </w:divBdr>
    </w:div>
    <w:div w:id="971518925">
      <w:bodyDiv w:val="1"/>
      <w:marLeft w:val="0"/>
      <w:marRight w:val="0"/>
      <w:marTop w:val="0"/>
      <w:marBottom w:val="0"/>
      <w:divBdr>
        <w:top w:val="none" w:sz="0" w:space="0" w:color="auto"/>
        <w:left w:val="none" w:sz="0" w:space="0" w:color="auto"/>
        <w:bottom w:val="none" w:sz="0" w:space="0" w:color="auto"/>
        <w:right w:val="none" w:sz="0" w:space="0" w:color="auto"/>
      </w:divBdr>
    </w:div>
    <w:div w:id="1235043553">
      <w:bodyDiv w:val="1"/>
      <w:marLeft w:val="0"/>
      <w:marRight w:val="0"/>
      <w:marTop w:val="0"/>
      <w:marBottom w:val="0"/>
      <w:divBdr>
        <w:top w:val="none" w:sz="0" w:space="0" w:color="auto"/>
        <w:left w:val="none" w:sz="0" w:space="0" w:color="auto"/>
        <w:bottom w:val="none" w:sz="0" w:space="0" w:color="auto"/>
        <w:right w:val="none" w:sz="0" w:space="0" w:color="auto"/>
      </w:divBdr>
    </w:div>
    <w:div w:id="173743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gif"/><Relationship Id="rId4" Type="http://schemas.openxmlformats.org/officeDocument/2006/relationships/image" Target="media/image1.png"/><Relationship Id="rId9" Type="http://schemas.openxmlformats.org/officeDocument/2006/relationships/image" Target="media/image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10</Pages>
  <Words>975</Words>
  <Characters>5560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3</cp:revision>
  <dcterms:created xsi:type="dcterms:W3CDTF">2024-02-08T12:31:00Z</dcterms:created>
  <dcterms:modified xsi:type="dcterms:W3CDTF">2024-02-09T08:25:00Z</dcterms:modified>
</cp:coreProperties>
</file>