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03 — Arquitectura y seguridad de licencias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0.10 · </w:t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Borrador técnico para V1 web/intranet · </w:t>
      </w: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14 de octubre de 2026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Base:</w:t>
      </w:r>
      <w:r w:rsidDel="00000000" w:rsidR="00000000" w:rsidRPr="00000000">
        <w:rPr>
          <w:rtl w:val="0"/>
        </w:rPr>
        <w:t xml:space="preserve"> arquitectura actual de Frubber POS descrita por el titular y ADR-011, ADR-013 y ADR-020. Este documento registra la línea base; no modifica ni reemplaza esos ADR.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Decisión de arquitectura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License Manager V1 será un sitio web privado de intranet con varios administradores. Lo alojará un servidor local dedicado dentro de una LAN; no se expondrá a internet público. El backend se ejecutará como un servicio Windows bajo una cuenta de servicio dedicada. Los administradores necesitan acceder a la misma LAN para operar el sitio.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La activación de Frubber POS sigue siendo local/offline: el sitio firma el texto de licencia y lo entrega al cliente; POS lo verifica con su llave pública, sin llamar a ningún servidor. El requisito “sin servidores” se mantiene para POS, pero deja de aplicar a License Manager porque el sitio requiere un host local.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Diagrama lógico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PC de administrador A ─┐</w:t>
        <w:br w:type="textWrapping"/>
        <w:t xml:space="preserve">                       ├── navegador (LAN privada) ── servidor local dedicado ── base de datos local</w:t>
        <w:br w:type="textWrapping"/>
        <w:t xml:space="preserve">PC de administrador B ─┘              │                         │</w:t>
        <w:br w:type="textWrapping"/>
        <w:t xml:space="preserve">                                      │                         └── servicio de firma</w:t>
        <w:br w:type="textWrapping"/>
        <w:t xml:space="preserve">                                      └── backend web (Servidor Cloud / VPS Linux con HTTPS y variables seguras/KMS)</w:t>
        <w:br w:type="textWrapping"/>
        <w:br w:type="textWrapping"/>
        <w:t xml:space="preserve">Backend firma FRB1 ──► administrador entrega licencia ──► cliente la pega en Frubber POS</w:t>
        <w:br w:type="textWrapping"/>
        <w:t xml:space="preserve">POS: huella del equipo + llave pública + DPAPI; no consulta el servidor ni requiere internet.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Componentes y límites de confianza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Navegador de administrador:</w:t>
      </w:r>
      <w:r w:rsidDel="00000000" w:rsidR="00000000" w:rsidRPr="00000000">
        <w:rPr>
          <w:rtl w:val="0"/>
        </w:rPr>
        <w:t xml:space="preserve"> presenta formularios, tablas, historial y dashboard. Nunca recibe ni almacena la llave privada.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Servidor dedicado:</w:t>
      </w:r>
      <w:r w:rsidDel="00000000" w:rsidR="00000000" w:rsidRPr="00000000">
        <w:rPr>
          <w:rtl w:val="0"/>
        </w:rPr>
        <w:t xml:space="preserve"> ejecuta el backend web y el servicio de firma; debe estar encendido y disponible para operar License Manager.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Backend local:</w:t>
      </w:r>
      <w:r w:rsidDel="00000000" w:rsidR="00000000" w:rsidRPr="00000000">
        <w:rPr>
          <w:rtl w:val="0"/>
        </w:rPr>
        <w:t xml:space="preserve"> autentica administradores, aplica permisos, registra auditoría, guarda datos y solicita la firma de licencias.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Base de datos local:</w:t>
      </w:r>
      <w:r w:rsidDel="00000000" w:rsidR="00000000" w:rsidRPr="00000000">
        <w:rPr>
          <w:rtl w:val="0"/>
        </w:rPr>
        <w:t xml:space="preserve"> contiene clientes/negocios, códigos de equipo, licencias y estados, historial y datos financieros manuales.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Llave de firma:</w:t>
      </w:r>
      <w:r w:rsidDel="00000000" w:rsidR="00000000" w:rsidRPr="00000000">
        <w:rPr>
          <w:rtl w:val="0"/>
        </w:rPr>
        <w:t xml:space="preserve"> la llave privada ECDSA se resguarda en variables protegidas del servidor Cloud/VPS que ejecuta el backend; la llave pública correspondiente permanece en Frubber POS.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Red:</w:t>
      </w:r>
      <w:r w:rsidDel="00000000" w:rsidR="00000000" w:rsidRPr="00000000">
        <w:rPr>
          <w:rtl w:val="0"/>
        </w:rPr>
        <w:t xml:space="preserve"> solo LAN/intranet privada en V1. No se habilitan hosting público ni acceso remoto fuera de esa red.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Frubber POS:</w:t>
      </w:r>
      <w:r w:rsidDel="00000000" w:rsidR="00000000" w:rsidRPr="00000000">
        <w:rPr>
          <w:rtl w:val="0"/>
        </w:rPr>
        <w:t xml:space="preserve"> recibe el texto firmado y valida formato, huella, fecha y firma offline.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Flujo de emisión y activación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El cliente obtiene en POS el código de equipo y lo comunica al administrador por un canal definido fuera del sitio.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El administrador inicia sesión, registra/selecciona cliente o negocio, pega el código de equipo y captura los datos de la operación.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El backend valida la entrada, genera keyId y toma automáticamente la fecha/hora UTC del servidor (el usuario no digita fechas). Con este timestamp del sistema, el backend firma ECDSA P-256/SHA-256 con la llave privada ECDSA en memoria del servidor Cloud, guarda la emisión y activa internamente el cómputo de días del cronómetro para seguimiento de cobro.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El backend devuelve el texto firmado al navegador para copiar/entregar al cliente.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El cliente pega el texto en POS; POS valida y sella la activación local con DPAPI. No hay notificación automática de POS al sitio; el administrador actualiza el estado si el cliente confirma.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Usuarios y permisos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El titular crea/desactiva cuentas de administrador.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Los administradores creados pueden emitir licencias y consultar registros e ingresos.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En V1, los administradores creados no gestionan cuentas de usuario.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El historial registra el usuario que hizo cada cambio o emisión.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Historial e ingresos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El dashboard muestra equipos/licencias registrados e historial filtrable.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El ingreso se captura manualmente asociado a una licencia/operación; registrar importe, moneda y estado de pago.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Licencia gratuita, reemplazo, anulación o reembolso se distingue para que no se contabilice como ingreso pagado.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Las reglas exactas de reportes, impuestos, descuentos y periodo quedan pendientes.</w:t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 DPAPI, respaldos y recuperación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La llave privada permanece en el servidor/backend, nunca en JavaScript/navegador, Google Drive, el ejecutable POS ni paquetes para clientes.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DPAPI CurrentUser protege la llave bajo la cuenta de servicio Windows dedicada del backend; las cuentas de administrador del sitio son identidades distintas y no reciben la llave.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El titular inicia manualmente respaldos cifrados a medio externo. Se mantienen archivos separados para base/registro y llave privada; el mismo código físico de recuperación desbloquea ambos y se guarda aparte.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Tras una instalación limpia del servidor, el backend restaura la base y la llave desde sus archivos; el proceso vuelve a proteger la llave con DPAPI bajo la cuenta de servicio Windows del nuevo host.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Google Drive es solo para documentación; no contiene datos operativos ni llaves.</w:t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8. Línea base actual de Frubber POS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8.1 Código de equipo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La app obtiene mediante WMI UUID SMBIOS de placa, serial de placa y serial de disco, los combina y calcula SHA-256. Usa 16 caracteres hexadecimales como código de equipo, presentado en grupos. Los seriales crudos no salen de la capa de huella. Si WMI falla, se usa el nombre del computador.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8.2 Licencia firmada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Formato comunicado: FRB1|id-de-clave|CODIGOEQUIPO16|FECHA.firma. Firma ECDSA P-256/SHA-256 sobre la representación exacta que espera POS. La fecha de emisión no puede estar en el futuro; la licencia descrita es vitalicia.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8.3 Verificación y almacenamiento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POS valida formato, código de equipo, fecha y firma, y no guarda nada si una comprobación falla. Si todo pasa, protege la licencia con DPAPI de la cuenta Windows y la guarda en una fila local bajo C:\ProgramData\FrubberPOS. Al iniciar, la vuelve a descifrar y validar; si la fila falta, está alterada, no se abre o corresponde a otro equipo, queda sin licencia (fail-closed). No consulta al sitio web.</w:t>
      </w:r>
    </w:p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9. Riesgos y decisiones pendientes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Definir hardware/sistema operativo del servidor, configuración de la cuenta de servicio, mantenimiento y respaldos de recuperación.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Confirmar que todos los administradores estarán en la misma LAN; si estarán en otra ubicación, se requiere una decisión nueva sobre VPN/acceso remoto, fuera de V1.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Definir autenticación, recuperación de cuentas, política de sesiones y registro de auditoría.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Elegir formato de cifrado de los archivos de respaldo y probar restauración completa de base y llave con el código físico.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Definir datos financieros, moneda, estados, límites de licencia y reemisiones.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 POS vitalicio, offline y sin consulta a servidor, una revocación del sitio no desactiva inmediatamente una licencia ya activada.</w:t>
      </w:r>
    </w:p>
    <w:p w:rsidR="00000000" w:rsidDel="00000000" w:rsidP="00000000" w:rsidRDefault="00000000" w:rsidRPr="00000000" w14:paraId="0000003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 Pruebas antes de implementar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Desde un navegador de la LAN, un administrador crea una licencia que POS acepta offline.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La emisión queda guardada y aparece en historial con usuario/fecha; ingresos manuales se reflejan en dashboard.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La llave privada nunca aparece en respuestas del navegador.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Usuarios administradores no pueden gestionar otras cuentas; el titular sí.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El sitio no es accesible desde internet público en V1.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Tras una instalación limpia del servidor, el mismo código físico restaura base y llave separadamente; DPAPI vuelve a proteger la llave bajo la cuenta de servicio y el backend firma licencias aceptadas por la llave pública ya incluida en POS.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