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3EC" w:rsidRDefault="00A713DE" w:rsidP="00A713DE">
      <w:pPr>
        <w:jc w:val="center"/>
      </w:pPr>
      <w:r>
        <w:t>Sveučilište u Zagrebu</w:t>
      </w:r>
    </w:p>
    <w:p w:rsidR="00A713DE" w:rsidRDefault="00A713DE" w:rsidP="00A713DE">
      <w:pPr>
        <w:jc w:val="center"/>
      </w:pPr>
    </w:p>
    <w:p w:rsidR="00A713DE" w:rsidRDefault="00A713DE" w:rsidP="00A713DE">
      <w:pPr>
        <w:jc w:val="center"/>
      </w:pPr>
      <w:r>
        <w:t>Fakultet političkih znanosti</w:t>
      </w:r>
    </w:p>
    <w:p w:rsidR="00A713DE" w:rsidRDefault="00A713DE" w:rsidP="00A713DE">
      <w:pPr>
        <w:jc w:val="center"/>
      </w:pPr>
    </w:p>
    <w:p w:rsidR="00A713DE" w:rsidRDefault="00A713DE" w:rsidP="00A713DE">
      <w:pPr>
        <w:jc w:val="center"/>
      </w:pPr>
      <w:r>
        <w:t>Prijediplomski studij Novinarstvo</w:t>
      </w:r>
    </w:p>
    <w:p w:rsidR="00A713DE" w:rsidRDefault="00A713DE" w:rsidP="00A713DE">
      <w:pPr>
        <w:jc w:val="center"/>
      </w:pPr>
    </w:p>
    <w:p w:rsidR="00A713DE" w:rsidRDefault="00A713DE" w:rsidP="00A713DE">
      <w:pPr>
        <w:jc w:val="center"/>
      </w:pPr>
      <w:r>
        <w:t>OD VRATARA DO ALGORITMA: REKONCEPTUALIZACIJA GATEKEEPINGA U DIGITALNOME NOVINARSTVU</w:t>
      </w:r>
    </w:p>
    <w:p w:rsidR="00A713DE" w:rsidRDefault="00A713DE" w:rsidP="00A713DE">
      <w:pPr>
        <w:jc w:val="center"/>
      </w:pPr>
    </w:p>
    <w:p w:rsidR="00A713DE" w:rsidRDefault="00A713DE" w:rsidP="00A713DE">
      <w:pPr>
        <w:jc w:val="center"/>
      </w:pPr>
      <w:r>
        <w:t>ZAVRŠNI RAD</w:t>
      </w:r>
    </w:p>
    <w:p w:rsidR="00A713DE" w:rsidRDefault="00A713DE" w:rsidP="00A713DE">
      <w:pPr>
        <w:jc w:val="center"/>
      </w:pPr>
    </w:p>
    <w:p w:rsidR="00A713DE" w:rsidRDefault="00A713DE" w:rsidP="00A713DE">
      <w:pPr>
        <w:jc w:val="center"/>
      </w:pPr>
      <w:r>
        <w:t>Mentor: doc. dr. sc. Marin Šestak</w:t>
      </w:r>
    </w:p>
    <w:p w:rsidR="00A713DE" w:rsidRDefault="00A713DE" w:rsidP="00A713DE">
      <w:pPr>
        <w:jc w:val="center"/>
      </w:pPr>
    </w:p>
    <w:p w:rsidR="00A713DE" w:rsidRDefault="00A713DE" w:rsidP="00A713DE">
      <w:pPr>
        <w:jc w:val="center"/>
      </w:pPr>
      <w:r>
        <w:t>Nika Vrbanić</w:t>
      </w:r>
    </w:p>
    <w:p w:rsidR="00A713DE" w:rsidRDefault="00A713DE" w:rsidP="00A713DE">
      <w:pPr>
        <w:jc w:val="center"/>
      </w:pPr>
    </w:p>
    <w:p w:rsidR="00A713DE" w:rsidRDefault="00A713DE" w:rsidP="00A713DE">
      <w:pPr>
        <w:jc w:val="center"/>
      </w:pPr>
      <w:r>
        <w:t>Zagreb, 2026.</w:t>
      </w:r>
    </w:p>
    <w:p w:rsidR="00A713DE" w:rsidRDefault="00A713DE" w:rsidP="00A713DE">
      <w:pPr>
        <w:jc w:val="center"/>
      </w:pPr>
    </w:p>
    <w:p w:rsidR="00A713DE" w:rsidRDefault="00A713DE">
      <w:pPr>
        <w:spacing w:line="276" w:lineRule="auto"/>
        <w:jc w:val="left"/>
      </w:pPr>
      <w:r>
        <w:br w:type="page"/>
      </w:r>
    </w:p>
    <w:p w:rsidR="00A713DE" w:rsidRDefault="00A713DE" w:rsidP="00A713DE">
      <w:pPr>
        <w:pStyle w:val="Heading1"/>
      </w:pPr>
      <w:bookmarkStart w:id="0" w:name="_Toc239633890"/>
      <w:r>
        <w:lastRenderedPageBreak/>
        <w:t>Sadrzaj</w:t>
      </w:r>
      <w:bookmarkEnd w:id="0"/>
    </w:p>
    <w:p w:rsidR="00A713DE" w:rsidRDefault="00A713DE">
      <w:pPr>
        <w:pStyle w:val="TOC1"/>
        <w:tabs>
          <w:tab w:val="right" w:leader="dot" w:pos="9062"/>
        </w:tabs>
        <w:rPr>
          <w:rFonts w:asciiTheme="minorHAnsi" w:eastAsiaTheme="minorEastAsia" w:hAnsiTheme="minorHAnsi" w:cstheme="minorBidi"/>
          <w:noProof/>
          <w:sz w:val="22"/>
        </w:rPr>
      </w:pPr>
      <w:r>
        <w:fldChar w:fldCharType="begin"/>
      </w:r>
      <w:r>
        <w:instrText xml:space="preserve"> TOC \o "1-3" \h \z </w:instrText>
      </w:r>
      <w:r>
        <w:fldChar w:fldCharType="separate"/>
      </w:r>
      <w:hyperlink w:anchor="_Toc239633890" w:history="1">
        <w:r w:rsidRPr="00105247">
          <w:rPr>
            <w:rStyle w:val="Hyperlink"/>
            <w:noProof/>
          </w:rPr>
          <w:t>Sadrzaj</w:t>
        </w:r>
        <w:r>
          <w:rPr>
            <w:noProof/>
            <w:webHidden/>
          </w:rPr>
          <w:tab/>
        </w:r>
        <w:r>
          <w:rPr>
            <w:noProof/>
            <w:webHidden/>
          </w:rPr>
          <w:fldChar w:fldCharType="begin"/>
        </w:r>
        <w:r>
          <w:rPr>
            <w:noProof/>
            <w:webHidden/>
          </w:rPr>
          <w:instrText xml:space="preserve"> PAGEREF _Toc239633890 \h </w:instrText>
        </w:r>
        <w:r>
          <w:rPr>
            <w:noProof/>
            <w:webHidden/>
          </w:rPr>
        </w:r>
        <w:r>
          <w:rPr>
            <w:noProof/>
            <w:webHidden/>
          </w:rPr>
          <w:fldChar w:fldCharType="separate"/>
        </w:r>
        <w:r>
          <w:rPr>
            <w:noProof/>
            <w:webHidden/>
          </w:rPr>
          <w:t>2</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891" w:history="1">
        <w:r w:rsidRPr="00105247">
          <w:rPr>
            <w:rStyle w:val="Hyperlink"/>
            <w:noProof/>
          </w:rPr>
          <w:t>Sazetak</w:t>
        </w:r>
        <w:r>
          <w:rPr>
            <w:noProof/>
            <w:webHidden/>
          </w:rPr>
          <w:tab/>
        </w:r>
        <w:r>
          <w:rPr>
            <w:noProof/>
            <w:webHidden/>
          </w:rPr>
          <w:fldChar w:fldCharType="begin"/>
        </w:r>
        <w:r>
          <w:rPr>
            <w:noProof/>
            <w:webHidden/>
          </w:rPr>
          <w:instrText xml:space="preserve"> PAGEREF _Toc239633891 \h </w:instrText>
        </w:r>
        <w:r>
          <w:rPr>
            <w:noProof/>
            <w:webHidden/>
          </w:rPr>
        </w:r>
        <w:r>
          <w:rPr>
            <w:noProof/>
            <w:webHidden/>
          </w:rPr>
          <w:fldChar w:fldCharType="separate"/>
        </w:r>
        <w:r>
          <w:rPr>
            <w:noProof/>
            <w:webHidden/>
          </w:rPr>
          <w:t>3</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892" w:history="1">
        <w:r w:rsidRPr="00105247">
          <w:rPr>
            <w:rStyle w:val="Hyperlink"/>
            <w:noProof/>
          </w:rPr>
          <w:t>Abstract</w:t>
        </w:r>
        <w:r>
          <w:rPr>
            <w:noProof/>
            <w:webHidden/>
          </w:rPr>
          <w:tab/>
        </w:r>
        <w:r>
          <w:rPr>
            <w:noProof/>
            <w:webHidden/>
          </w:rPr>
          <w:fldChar w:fldCharType="begin"/>
        </w:r>
        <w:r>
          <w:rPr>
            <w:noProof/>
            <w:webHidden/>
          </w:rPr>
          <w:instrText xml:space="preserve"> PAGEREF _Toc239633892 \h </w:instrText>
        </w:r>
        <w:r>
          <w:rPr>
            <w:noProof/>
            <w:webHidden/>
          </w:rPr>
        </w:r>
        <w:r>
          <w:rPr>
            <w:noProof/>
            <w:webHidden/>
          </w:rPr>
          <w:fldChar w:fldCharType="separate"/>
        </w:r>
        <w:r>
          <w:rPr>
            <w:noProof/>
            <w:webHidden/>
          </w:rPr>
          <w:t>3</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893" w:history="1">
        <w:r w:rsidRPr="00105247">
          <w:rPr>
            <w:rStyle w:val="Hyperlink"/>
            <w:noProof/>
          </w:rPr>
          <w:t>1. Uvod</w:t>
        </w:r>
        <w:r>
          <w:rPr>
            <w:noProof/>
            <w:webHidden/>
          </w:rPr>
          <w:tab/>
        </w:r>
        <w:r>
          <w:rPr>
            <w:noProof/>
            <w:webHidden/>
          </w:rPr>
          <w:fldChar w:fldCharType="begin"/>
        </w:r>
        <w:r>
          <w:rPr>
            <w:noProof/>
            <w:webHidden/>
          </w:rPr>
          <w:instrText xml:space="preserve"> PAGEREF _Toc239633893 \h </w:instrText>
        </w:r>
        <w:r>
          <w:rPr>
            <w:noProof/>
            <w:webHidden/>
          </w:rPr>
        </w:r>
        <w:r>
          <w:rPr>
            <w:noProof/>
            <w:webHidden/>
          </w:rPr>
          <w:fldChar w:fldCharType="separate"/>
        </w:r>
        <w:r>
          <w:rPr>
            <w:noProof/>
            <w:webHidden/>
          </w:rPr>
          <w:t>4</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894" w:history="1">
        <w:r w:rsidRPr="00105247">
          <w:rPr>
            <w:rStyle w:val="Hyperlink"/>
            <w:noProof/>
          </w:rPr>
          <w:t>2. Gatekeeping kao pojam</w:t>
        </w:r>
        <w:r>
          <w:rPr>
            <w:noProof/>
            <w:webHidden/>
          </w:rPr>
          <w:tab/>
        </w:r>
        <w:r>
          <w:rPr>
            <w:noProof/>
            <w:webHidden/>
          </w:rPr>
          <w:fldChar w:fldCharType="begin"/>
        </w:r>
        <w:r>
          <w:rPr>
            <w:noProof/>
            <w:webHidden/>
          </w:rPr>
          <w:instrText xml:space="preserve"> PAGEREF _Toc239633894 \h </w:instrText>
        </w:r>
        <w:r>
          <w:rPr>
            <w:noProof/>
            <w:webHidden/>
          </w:rPr>
        </w:r>
        <w:r>
          <w:rPr>
            <w:noProof/>
            <w:webHidden/>
          </w:rPr>
          <w:fldChar w:fldCharType="separate"/>
        </w:r>
        <w:r>
          <w:rPr>
            <w:noProof/>
            <w:webHidden/>
          </w:rPr>
          <w:t>5</w:t>
        </w:r>
        <w:r>
          <w:rPr>
            <w:noProof/>
            <w:webHidden/>
          </w:rPr>
          <w:fldChar w:fldCharType="end"/>
        </w:r>
      </w:hyperlink>
    </w:p>
    <w:p w:rsidR="00A713DE" w:rsidRDefault="00A713DE">
      <w:pPr>
        <w:pStyle w:val="TOC2"/>
        <w:tabs>
          <w:tab w:val="right" w:leader="dot" w:pos="9062"/>
        </w:tabs>
        <w:rPr>
          <w:noProof/>
        </w:rPr>
      </w:pPr>
      <w:hyperlink w:anchor="_Toc239633895" w:history="1">
        <w:r w:rsidRPr="00105247">
          <w:rPr>
            <w:rStyle w:val="Hyperlink"/>
            <w:noProof/>
          </w:rPr>
          <w:t>2.1. Klasična formulacija i njezini uvjeti</w:t>
        </w:r>
        <w:r>
          <w:rPr>
            <w:noProof/>
            <w:webHidden/>
          </w:rPr>
          <w:tab/>
        </w:r>
        <w:r>
          <w:rPr>
            <w:noProof/>
            <w:webHidden/>
          </w:rPr>
          <w:fldChar w:fldCharType="begin"/>
        </w:r>
        <w:r>
          <w:rPr>
            <w:noProof/>
            <w:webHidden/>
          </w:rPr>
          <w:instrText xml:space="preserve"> PAGEREF _Toc239633895 \h </w:instrText>
        </w:r>
        <w:r>
          <w:rPr>
            <w:noProof/>
            <w:webHidden/>
          </w:rPr>
        </w:r>
        <w:r>
          <w:rPr>
            <w:noProof/>
            <w:webHidden/>
          </w:rPr>
          <w:fldChar w:fldCharType="separate"/>
        </w:r>
        <w:r>
          <w:rPr>
            <w:noProof/>
            <w:webHidden/>
          </w:rPr>
          <w:t>5</w:t>
        </w:r>
        <w:r>
          <w:rPr>
            <w:noProof/>
            <w:webHidden/>
          </w:rPr>
          <w:fldChar w:fldCharType="end"/>
        </w:r>
      </w:hyperlink>
    </w:p>
    <w:p w:rsidR="00A713DE" w:rsidRDefault="00A713DE">
      <w:pPr>
        <w:pStyle w:val="TOC2"/>
        <w:tabs>
          <w:tab w:val="right" w:leader="dot" w:pos="9062"/>
        </w:tabs>
        <w:rPr>
          <w:noProof/>
        </w:rPr>
      </w:pPr>
      <w:hyperlink w:anchor="_Toc239633896" w:history="1">
        <w:r w:rsidRPr="00105247">
          <w:rPr>
            <w:rStyle w:val="Hyperlink"/>
            <w:noProof/>
          </w:rPr>
          <w:t>2.2. Proširenja modela: kanali, rutine, organizacija</w:t>
        </w:r>
        <w:r>
          <w:rPr>
            <w:noProof/>
            <w:webHidden/>
          </w:rPr>
          <w:tab/>
        </w:r>
        <w:r>
          <w:rPr>
            <w:noProof/>
            <w:webHidden/>
          </w:rPr>
          <w:fldChar w:fldCharType="begin"/>
        </w:r>
        <w:r>
          <w:rPr>
            <w:noProof/>
            <w:webHidden/>
          </w:rPr>
          <w:instrText xml:space="preserve"> PAGEREF _Toc239633896 \h </w:instrText>
        </w:r>
        <w:r>
          <w:rPr>
            <w:noProof/>
            <w:webHidden/>
          </w:rPr>
        </w:r>
        <w:r>
          <w:rPr>
            <w:noProof/>
            <w:webHidden/>
          </w:rPr>
          <w:fldChar w:fldCharType="separate"/>
        </w:r>
        <w:r>
          <w:rPr>
            <w:noProof/>
            <w:webHidden/>
          </w:rPr>
          <w:t>6</w:t>
        </w:r>
        <w:r>
          <w:rPr>
            <w:noProof/>
            <w:webHidden/>
          </w:rPr>
          <w:fldChar w:fldCharType="end"/>
        </w:r>
      </w:hyperlink>
    </w:p>
    <w:p w:rsidR="00A713DE" w:rsidRDefault="00A713DE">
      <w:pPr>
        <w:pStyle w:val="TOC2"/>
        <w:tabs>
          <w:tab w:val="right" w:leader="dot" w:pos="9062"/>
        </w:tabs>
        <w:rPr>
          <w:noProof/>
        </w:rPr>
      </w:pPr>
      <w:hyperlink w:anchor="_Toc239633897" w:history="1">
        <w:r w:rsidRPr="00105247">
          <w:rPr>
            <w:rStyle w:val="Hyperlink"/>
            <w:noProof/>
          </w:rPr>
          <w:t>2.3. Granice klasičnoga modela</w:t>
        </w:r>
        <w:r>
          <w:rPr>
            <w:noProof/>
            <w:webHidden/>
          </w:rPr>
          <w:tab/>
        </w:r>
        <w:r>
          <w:rPr>
            <w:noProof/>
            <w:webHidden/>
          </w:rPr>
          <w:fldChar w:fldCharType="begin"/>
        </w:r>
        <w:r>
          <w:rPr>
            <w:noProof/>
            <w:webHidden/>
          </w:rPr>
          <w:instrText xml:space="preserve"> PAGEREF _Toc239633897 \h </w:instrText>
        </w:r>
        <w:r>
          <w:rPr>
            <w:noProof/>
            <w:webHidden/>
          </w:rPr>
        </w:r>
        <w:r>
          <w:rPr>
            <w:noProof/>
            <w:webHidden/>
          </w:rPr>
          <w:fldChar w:fldCharType="separate"/>
        </w:r>
        <w:r>
          <w:rPr>
            <w:noProof/>
            <w:webHidden/>
          </w:rPr>
          <w:t>7</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898" w:history="1">
        <w:r w:rsidRPr="00105247">
          <w:rPr>
            <w:rStyle w:val="Hyperlink"/>
            <w:noProof/>
          </w:rPr>
          <w:t>3. Preraspodjela selekcije u digitalnome okruženju</w:t>
        </w:r>
        <w:r>
          <w:rPr>
            <w:noProof/>
            <w:webHidden/>
          </w:rPr>
          <w:tab/>
        </w:r>
        <w:r>
          <w:rPr>
            <w:noProof/>
            <w:webHidden/>
          </w:rPr>
          <w:fldChar w:fldCharType="begin"/>
        </w:r>
        <w:r>
          <w:rPr>
            <w:noProof/>
            <w:webHidden/>
          </w:rPr>
          <w:instrText xml:space="preserve"> PAGEREF _Toc239633898 \h </w:instrText>
        </w:r>
        <w:r>
          <w:rPr>
            <w:noProof/>
            <w:webHidden/>
          </w:rPr>
        </w:r>
        <w:r>
          <w:rPr>
            <w:noProof/>
            <w:webHidden/>
          </w:rPr>
          <w:fldChar w:fldCharType="separate"/>
        </w:r>
        <w:r>
          <w:rPr>
            <w:noProof/>
            <w:webHidden/>
          </w:rPr>
          <w:t>8</w:t>
        </w:r>
        <w:r>
          <w:rPr>
            <w:noProof/>
            <w:webHidden/>
          </w:rPr>
          <w:fldChar w:fldCharType="end"/>
        </w:r>
      </w:hyperlink>
    </w:p>
    <w:p w:rsidR="00A713DE" w:rsidRDefault="00A713DE">
      <w:pPr>
        <w:pStyle w:val="TOC2"/>
        <w:tabs>
          <w:tab w:val="right" w:leader="dot" w:pos="9062"/>
        </w:tabs>
        <w:rPr>
          <w:noProof/>
        </w:rPr>
      </w:pPr>
      <w:hyperlink w:anchor="_Toc239633899" w:history="1">
        <w:r w:rsidRPr="00105247">
          <w:rPr>
            <w:rStyle w:val="Hyperlink"/>
            <w:noProof/>
          </w:rPr>
          <w:t>3.1. Od ulaza u javnu sferu do vidljivosti unutar nje</w:t>
        </w:r>
        <w:r>
          <w:rPr>
            <w:noProof/>
            <w:webHidden/>
          </w:rPr>
          <w:tab/>
        </w:r>
        <w:r>
          <w:rPr>
            <w:noProof/>
            <w:webHidden/>
          </w:rPr>
          <w:fldChar w:fldCharType="begin"/>
        </w:r>
        <w:r>
          <w:rPr>
            <w:noProof/>
            <w:webHidden/>
          </w:rPr>
          <w:instrText xml:space="preserve"> PAGEREF _Toc239633899 \h </w:instrText>
        </w:r>
        <w:r>
          <w:rPr>
            <w:noProof/>
            <w:webHidden/>
          </w:rPr>
        </w:r>
        <w:r>
          <w:rPr>
            <w:noProof/>
            <w:webHidden/>
          </w:rPr>
          <w:fldChar w:fldCharType="separate"/>
        </w:r>
        <w:r>
          <w:rPr>
            <w:noProof/>
            <w:webHidden/>
          </w:rPr>
          <w:t>8</w:t>
        </w:r>
        <w:r>
          <w:rPr>
            <w:noProof/>
            <w:webHidden/>
          </w:rPr>
          <w:fldChar w:fldCharType="end"/>
        </w:r>
      </w:hyperlink>
    </w:p>
    <w:p w:rsidR="00A713DE" w:rsidRDefault="00A713DE">
      <w:pPr>
        <w:pStyle w:val="TOC2"/>
        <w:tabs>
          <w:tab w:val="right" w:leader="dot" w:pos="9062"/>
        </w:tabs>
        <w:rPr>
          <w:noProof/>
        </w:rPr>
      </w:pPr>
      <w:hyperlink w:anchor="_Toc239633900" w:history="1">
        <w:r w:rsidRPr="00105247">
          <w:rPr>
            <w:rStyle w:val="Hyperlink"/>
            <w:noProof/>
          </w:rPr>
          <w:t>3.2. Algoritamsko posredovanje kao sloj selekcije</w:t>
        </w:r>
        <w:r>
          <w:rPr>
            <w:noProof/>
            <w:webHidden/>
          </w:rPr>
          <w:tab/>
        </w:r>
        <w:r>
          <w:rPr>
            <w:noProof/>
            <w:webHidden/>
          </w:rPr>
          <w:fldChar w:fldCharType="begin"/>
        </w:r>
        <w:r>
          <w:rPr>
            <w:noProof/>
            <w:webHidden/>
          </w:rPr>
          <w:instrText xml:space="preserve"> PAGEREF _Toc239633900 \h </w:instrText>
        </w:r>
        <w:r>
          <w:rPr>
            <w:noProof/>
            <w:webHidden/>
          </w:rPr>
        </w:r>
        <w:r>
          <w:rPr>
            <w:noProof/>
            <w:webHidden/>
          </w:rPr>
          <w:fldChar w:fldCharType="separate"/>
        </w:r>
        <w:r>
          <w:rPr>
            <w:noProof/>
            <w:webHidden/>
          </w:rPr>
          <w:t>9</w:t>
        </w:r>
        <w:r>
          <w:rPr>
            <w:noProof/>
            <w:webHidden/>
          </w:rPr>
          <w:fldChar w:fldCharType="end"/>
        </w:r>
      </w:hyperlink>
    </w:p>
    <w:p w:rsidR="00A713DE" w:rsidRDefault="00A713DE">
      <w:pPr>
        <w:pStyle w:val="TOC2"/>
        <w:tabs>
          <w:tab w:val="right" w:leader="dot" w:pos="9062"/>
        </w:tabs>
        <w:rPr>
          <w:noProof/>
        </w:rPr>
      </w:pPr>
      <w:hyperlink w:anchor="_Toc239633901" w:history="1">
        <w:r w:rsidRPr="00105247">
          <w:rPr>
            <w:rStyle w:val="Hyperlink"/>
            <w:noProof/>
          </w:rPr>
          <w:t>3.3. Publika kao suselektor</w:t>
        </w:r>
        <w:r>
          <w:rPr>
            <w:noProof/>
            <w:webHidden/>
          </w:rPr>
          <w:tab/>
        </w:r>
        <w:r>
          <w:rPr>
            <w:noProof/>
            <w:webHidden/>
          </w:rPr>
          <w:fldChar w:fldCharType="begin"/>
        </w:r>
        <w:r>
          <w:rPr>
            <w:noProof/>
            <w:webHidden/>
          </w:rPr>
          <w:instrText xml:space="preserve"> PAGEREF _Toc239633901 \h </w:instrText>
        </w:r>
        <w:r>
          <w:rPr>
            <w:noProof/>
            <w:webHidden/>
          </w:rPr>
        </w:r>
        <w:r>
          <w:rPr>
            <w:noProof/>
            <w:webHidden/>
          </w:rPr>
          <w:fldChar w:fldCharType="separate"/>
        </w:r>
        <w:r>
          <w:rPr>
            <w:noProof/>
            <w:webHidden/>
          </w:rPr>
          <w:t>10</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902" w:history="1">
        <w:r w:rsidRPr="00105247">
          <w:rPr>
            <w:rStyle w:val="Hyperlink"/>
            <w:noProof/>
          </w:rPr>
          <w:t>4. Normativne posljedice za uredništvo</w:t>
        </w:r>
        <w:r>
          <w:rPr>
            <w:noProof/>
            <w:webHidden/>
          </w:rPr>
          <w:tab/>
        </w:r>
        <w:r>
          <w:rPr>
            <w:noProof/>
            <w:webHidden/>
          </w:rPr>
          <w:fldChar w:fldCharType="begin"/>
        </w:r>
        <w:r>
          <w:rPr>
            <w:noProof/>
            <w:webHidden/>
          </w:rPr>
          <w:instrText xml:space="preserve"> PAGEREF _Toc239633902 \h </w:instrText>
        </w:r>
        <w:r>
          <w:rPr>
            <w:noProof/>
            <w:webHidden/>
          </w:rPr>
        </w:r>
        <w:r>
          <w:rPr>
            <w:noProof/>
            <w:webHidden/>
          </w:rPr>
          <w:fldChar w:fldCharType="separate"/>
        </w:r>
        <w:r>
          <w:rPr>
            <w:noProof/>
            <w:webHidden/>
          </w:rPr>
          <w:t>12</w:t>
        </w:r>
        <w:r>
          <w:rPr>
            <w:noProof/>
            <w:webHidden/>
          </w:rPr>
          <w:fldChar w:fldCharType="end"/>
        </w:r>
      </w:hyperlink>
    </w:p>
    <w:p w:rsidR="00A713DE" w:rsidRDefault="00A713DE">
      <w:pPr>
        <w:pStyle w:val="TOC2"/>
        <w:tabs>
          <w:tab w:val="right" w:leader="dot" w:pos="9062"/>
        </w:tabs>
        <w:rPr>
          <w:noProof/>
        </w:rPr>
      </w:pPr>
      <w:hyperlink w:anchor="_Toc239633903" w:history="1">
        <w:r w:rsidRPr="00105247">
          <w:rPr>
            <w:rStyle w:val="Hyperlink"/>
            <w:noProof/>
          </w:rPr>
          <w:t>4.1. Odgovornost koja se ne prenosi</w:t>
        </w:r>
        <w:r>
          <w:rPr>
            <w:noProof/>
            <w:webHidden/>
          </w:rPr>
          <w:tab/>
        </w:r>
        <w:r>
          <w:rPr>
            <w:noProof/>
            <w:webHidden/>
          </w:rPr>
          <w:fldChar w:fldCharType="begin"/>
        </w:r>
        <w:r>
          <w:rPr>
            <w:noProof/>
            <w:webHidden/>
          </w:rPr>
          <w:instrText xml:space="preserve"> PAGEREF _Toc239633903 \h </w:instrText>
        </w:r>
        <w:r>
          <w:rPr>
            <w:noProof/>
            <w:webHidden/>
          </w:rPr>
        </w:r>
        <w:r>
          <w:rPr>
            <w:noProof/>
            <w:webHidden/>
          </w:rPr>
          <w:fldChar w:fldCharType="separate"/>
        </w:r>
        <w:r>
          <w:rPr>
            <w:noProof/>
            <w:webHidden/>
          </w:rPr>
          <w:t>12</w:t>
        </w:r>
        <w:r>
          <w:rPr>
            <w:noProof/>
            <w:webHidden/>
          </w:rPr>
          <w:fldChar w:fldCharType="end"/>
        </w:r>
      </w:hyperlink>
    </w:p>
    <w:p w:rsidR="00A713DE" w:rsidRDefault="00A713DE">
      <w:pPr>
        <w:pStyle w:val="TOC2"/>
        <w:tabs>
          <w:tab w:val="right" w:leader="dot" w:pos="9062"/>
        </w:tabs>
        <w:rPr>
          <w:noProof/>
        </w:rPr>
      </w:pPr>
      <w:hyperlink w:anchor="_Toc239633904" w:history="1">
        <w:r w:rsidRPr="00105247">
          <w:rPr>
            <w:rStyle w:val="Hyperlink"/>
            <w:noProof/>
          </w:rPr>
          <w:t>4.2. Transparentnost kriterija vidljivosti</w:t>
        </w:r>
        <w:r>
          <w:rPr>
            <w:noProof/>
            <w:webHidden/>
          </w:rPr>
          <w:tab/>
        </w:r>
        <w:r>
          <w:rPr>
            <w:noProof/>
            <w:webHidden/>
          </w:rPr>
          <w:fldChar w:fldCharType="begin"/>
        </w:r>
        <w:r>
          <w:rPr>
            <w:noProof/>
            <w:webHidden/>
          </w:rPr>
          <w:instrText xml:space="preserve"> PAGEREF _Toc239633904 \h </w:instrText>
        </w:r>
        <w:r>
          <w:rPr>
            <w:noProof/>
            <w:webHidden/>
          </w:rPr>
        </w:r>
        <w:r>
          <w:rPr>
            <w:noProof/>
            <w:webHidden/>
          </w:rPr>
          <w:fldChar w:fldCharType="separate"/>
        </w:r>
        <w:r>
          <w:rPr>
            <w:noProof/>
            <w:webHidden/>
          </w:rPr>
          <w:t>13</w:t>
        </w:r>
        <w:r>
          <w:rPr>
            <w:noProof/>
            <w:webHidden/>
          </w:rPr>
          <w:fldChar w:fldCharType="end"/>
        </w:r>
      </w:hyperlink>
    </w:p>
    <w:p w:rsidR="00A713DE" w:rsidRDefault="00A713DE">
      <w:pPr>
        <w:pStyle w:val="TOC2"/>
        <w:tabs>
          <w:tab w:val="right" w:leader="dot" w:pos="9062"/>
        </w:tabs>
        <w:rPr>
          <w:noProof/>
        </w:rPr>
      </w:pPr>
      <w:hyperlink w:anchor="_Toc239633905" w:history="1">
        <w:r w:rsidRPr="00105247">
          <w:rPr>
            <w:rStyle w:val="Hyperlink"/>
            <w:noProof/>
          </w:rPr>
          <w:t>4.3. Granice profesionalne kontrole</w:t>
        </w:r>
        <w:r>
          <w:rPr>
            <w:noProof/>
            <w:webHidden/>
          </w:rPr>
          <w:tab/>
        </w:r>
        <w:r>
          <w:rPr>
            <w:noProof/>
            <w:webHidden/>
          </w:rPr>
          <w:fldChar w:fldCharType="begin"/>
        </w:r>
        <w:r>
          <w:rPr>
            <w:noProof/>
            <w:webHidden/>
          </w:rPr>
          <w:instrText xml:space="preserve"> PAGEREF _Toc239633905 \h </w:instrText>
        </w:r>
        <w:r>
          <w:rPr>
            <w:noProof/>
            <w:webHidden/>
          </w:rPr>
        </w:r>
        <w:r>
          <w:rPr>
            <w:noProof/>
            <w:webHidden/>
          </w:rPr>
          <w:fldChar w:fldCharType="separate"/>
        </w:r>
        <w:r>
          <w:rPr>
            <w:noProof/>
            <w:webHidden/>
          </w:rPr>
          <w:t>14</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906" w:history="1">
        <w:r w:rsidRPr="00105247">
          <w:rPr>
            <w:rStyle w:val="Hyperlink"/>
            <w:noProof/>
          </w:rPr>
          <w:t>5. Rasprava: raspodijeljeni gatekeeping kao pojam</w:t>
        </w:r>
        <w:r>
          <w:rPr>
            <w:noProof/>
            <w:webHidden/>
          </w:rPr>
          <w:tab/>
        </w:r>
        <w:r>
          <w:rPr>
            <w:noProof/>
            <w:webHidden/>
          </w:rPr>
          <w:fldChar w:fldCharType="begin"/>
        </w:r>
        <w:r>
          <w:rPr>
            <w:noProof/>
            <w:webHidden/>
          </w:rPr>
          <w:instrText xml:space="preserve"> PAGEREF _Toc239633906 \h </w:instrText>
        </w:r>
        <w:r>
          <w:rPr>
            <w:noProof/>
            <w:webHidden/>
          </w:rPr>
        </w:r>
        <w:r>
          <w:rPr>
            <w:noProof/>
            <w:webHidden/>
          </w:rPr>
          <w:fldChar w:fldCharType="separate"/>
        </w:r>
        <w:r>
          <w:rPr>
            <w:noProof/>
            <w:webHidden/>
          </w:rPr>
          <w:t>15</w:t>
        </w:r>
        <w:r>
          <w:rPr>
            <w:noProof/>
            <w:webHidden/>
          </w:rPr>
          <w:fldChar w:fldCharType="end"/>
        </w:r>
      </w:hyperlink>
    </w:p>
    <w:p w:rsidR="00A713DE" w:rsidRDefault="00A713DE">
      <w:pPr>
        <w:pStyle w:val="TOC2"/>
        <w:tabs>
          <w:tab w:val="right" w:leader="dot" w:pos="9062"/>
        </w:tabs>
        <w:rPr>
          <w:noProof/>
        </w:rPr>
      </w:pPr>
      <w:hyperlink w:anchor="_Toc239633907" w:history="1">
        <w:r w:rsidRPr="00105247">
          <w:rPr>
            <w:rStyle w:val="Hyperlink"/>
            <w:noProof/>
          </w:rPr>
          <w:t>5.1. Tri kriterija pojmovne održivosti</w:t>
        </w:r>
        <w:r>
          <w:rPr>
            <w:noProof/>
            <w:webHidden/>
          </w:rPr>
          <w:tab/>
        </w:r>
        <w:r>
          <w:rPr>
            <w:noProof/>
            <w:webHidden/>
          </w:rPr>
          <w:fldChar w:fldCharType="begin"/>
        </w:r>
        <w:r>
          <w:rPr>
            <w:noProof/>
            <w:webHidden/>
          </w:rPr>
          <w:instrText xml:space="preserve"> PAGEREF _Toc239633907 \h </w:instrText>
        </w:r>
        <w:r>
          <w:rPr>
            <w:noProof/>
            <w:webHidden/>
          </w:rPr>
        </w:r>
        <w:r>
          <w:rPr>
            <w:noProof/>
            <w:webHidden/>
          </w:rPr>
          <w:fldChar w:fldCharType="separate"/>
        </w:r>
        <w:r>
          <w:rPr>
            <w:noProof/>
            <w:webHidden/>
          </w:rPr>
          <w:t>15</w:t>
        </w:r>
        <w:r>
          <w:rPr>
            <w:noProof/>
            <w:webHidden/>
          </w:rPr>
          <w:fldChar w:fldCharType="end"/>
        </w:r>
      </w:hyperlink>
    </w:p>
    <w:p w:rsidR="00A713DE" w:rsidRDefault="00A713DE">
      <w:pPr>
        <w:pStyle w:val="TOC2"/>
        <w:tabs>
          <w:tab w:val="right" w:leader="dot" w:pos="9062"/>
        </w:tabs>
        <w:rPr>
          <w:noProof/>
        </w:rPr>
      </w:pPr>
      <w:hyperlink w:anchor="_Toc239633908" w:history="1">
        <w:r w:rsidRPr="00105247">
          <w:rPr>
            <w:rStyle w:val="Hyperlink"/>
            <w:noProof/>
          </w:rPr>
          <w:t>5.2. Ograničenja rasprave</w:t>
        </w:r>
        <w:r>
          <w:rPr>
            <w:noProof/>
            <w:webHidden/>
          </w:rPr>
          <w:tab/>
        </w:r>
        <w:r>
          <w:rPr>
            <w:noProof/>
            <w:webHidden/>
          </w:rPr>
          <w:fldChar w:fldCharType="begin"/>
        </w:r>
        <w:r>
          <w:rPr>
            <w:noProof/>
            <w:webHidden/>
          </w:rPr>
          <w:instrText xml:space="preserve"> PAGEREF _Toc239633908 \h </w:instrText>
        </w:r>
        <w:r>
          <w:rPr>
            <w:noProof/>
            <w:webHidden/>
          </w:rPr>
        </w:r>
        <w:r>
          <w:rPr>
            <w:noProof/>
            <w:webHidden/>
          </w:rPr>
          <w:fldChar w:fldCharType="separate"/>
        </w:r>
        <w:r>
          <w:rPr>
            <w:noProof/>
            <w:webHidden/>
          </w:rPr>
          <w:t>16</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909" w:history="1">
        <w:r w:rsidRPr="00105247">
          <w:rPr>
            <w:rStyle w:val="Hyperlink"/>
            <w:noProof/>
          </w:rPr>
          <w:t>6. Zaključak</w:t>
        </w:r>
        <w:r>
          <w:rPr>
            <w:noProof/>
            <w:webHidden/>
          </w:rPr>
          <w:tab/>
        </w:r>
        <w:r>
          <w:rPr>
            <w:noProof/>
            <w:webHidden/>
          </w:rPr>
          <w:fldChar w:fldCharType="begin"/>
        </w:r>
        <w:r>
          <w:rPr>
            <w:noProof/>
            <w:webHidden/>
          </w:rPr>
          <w:instrText xml:space="preserve"> PAGEREF _Toc239633909 \h </w:instrText>
        </w:r>
        <w:r>
          <w:rPr>
            <w:noProof/>
            <w:webHidden/>
          </w:rPr>
        </w:r>
        <w:r>
          <w:rPr>
            <w:noProof/>
            <w:webHidden/>
          </w:rPr>
          <w:fldChar w:fldCharType="separate"/>
        </w:r>
        <w:r>
          <w:rPr>
            <w:noProof/>
            <w:webHidden/>
          </w:rPr>
          <w:t>17</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910" w:history="1">
        <w:r w:rsidRPr="00105247">
          <w:rPr>
            <w:rStyle w:val="Hyperlink"/>
            <w:noProof/>
          </w:rPr>
          <w:t>Popis tablica</w:t>
        </w:r>
        <w:r>
          <w:rPr>
            <w:noProof/>
            <w:webHidden/>
          </w:rPr>
          <w:tab/>
        </w:r>
        <w:r>
          <w:rPr>
            <w:noProof/>
            <w:webHidden/>
          </w:rPr>
          <w:fldChar w:fldCharType="begin"/>
        </w:r>
        <w:r>
          <w:rPr>
            <w:noProof/>
            <w:webHidden/>
          </w:rPr>
          <w:instrText xml:space="preserve"> PAGEREF _Toc239633910 \h </w:instrText>
        </w:r>
        <w:r>
          <w:rPr>
            <w:noProof/>
            <w:webHidden/>
          </w:rPr>
        </w:r>
        <w:r>
          <w:rPr>
            <w:noProof/>
            <w:webHidden/>
          </w:rPr>
          <w:fldChar w:fldCharType="separate"/>
        </w:r>
        <w:r>
          <w:rPr>
            <w:noProof/>
            <w:webHidden/>
          </w:rPr>
          <w:t>20</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911" w:history="1">
        <w:r w:rsidRPr="00105247">
          <w:rPr>
            <w:rStyle w:val="Hyperlink"/>
            <w:noProof/>
          </w:rPr>
          <w:t>Popis slika</w:t>
        </w:r>
        <w:r>
          <w:rPr>
            <w:noProof/>
            <w:webHidden/>
          </w:rPr>
          <w:tab/>
        </w:r>
        <w:r>
          <w:rPr>
            <w:noProof/>
            <w:webHidden/>
          </w:rPr>
          <w:fldChar w:fldCharType="begin"/>
        </w:r>
        <w:r>
          <w:rPr>
            <w:noProof/>
            <w:webHidden/>
          </w:rPr>
          <w:instrText xml:space="preserve"> PAGEREF _Toc239633911 \h </w:instrText>
        </w:r>
        <w:r>
          <w:rPr>
            <w:noProof/>
            <w:webHidden/>
          </w:rPr>
        </w:r>
        <w:r>
          <w:rPr>
            <w:noProof/>
            <w:webHidden/>
          </w:rPr>
          <w:fldChar w:fldCharType="separate"/>
        </w:r>
        <w:r>
          <w:rPr>
            <w:noProof/>
            <w:webHidden/>
          </w:rPr>
          <w:t>20</w:t>
        </w:r>
        <w:r>
          <w:rPr>
            <w:noProof/>
            <w:webHidden/>
          </w:rPr>
          <w:fldChar w:fldCharType="end"/>
        </w:r>
      </w:hyperlink>
    </w:p>
    <w:p w:rsidR="00A713DE" w:rsidRDefault="00A713DE">
      <w:pPr>
        <w:pStyle w:val="TOC1"/>
        <w:tabs>
          <w:tab w:val="right" w:leader="dot" w:pos="9062"/>
        </w:tabs>
        <w:rPr>
          <w:rFonts w:asciiTheme="minorHAnsi" w:eastAsiaTheme="minorEastAsia" w:hAnsiTheme="minorHAnsi" w:cstheme="minorBidi"/>
          <w:noProof/>
          <w:sz w:val="22"/>
        </w:rPr>
      </w:pPr>
      <w:hyperlink w:anchor="_Toc239633912" w:history="1">
        <w:r w:rsidRPr="00105247">
          <w:rPr>
            <w:rStyle w:val="Hyperlink"/>
            <w:noProof/>
          </w:rPr>
          <w:t>Literatura</w:t>
        </w:r>
        <w:r>
          <w:rPr>
            <w:noProof/>
            <w:webHidden/>
          </w:rPr>
          <w:tab/>
        </w:r>
        <w:r>
          <w:rPr>
            <w:noProof/>
            <w:webHidden/>
          </w:rPr>
          <w:fldChar w:fldCharType="begin"/>
        </w:r>
        <w:r>
          <w:rPr>
            <w:noProof/>
            <w:webHidden/>
          </w:rPr>
          <w:instrText xml:space="preserve"> PAGEREF _Toc239633912 \h </w:instrText>
        </w:r>
        <w:r>
          <w:rPr>
            <w:noProof/>
            <w:webHidden/>
          </w:rPr>
        </w:r>
        <w:r>
          <w:rPr>
            <w:noProof/>
            <w:webHidden/>
          </w:rPr>
          <w:fldChar w:fldCharType="separate"/>
        </w:r>
        <w:r>
          <w:rPr>
            <w:noProof/>
            <w:webHidden/>
          </w:rPr>
          <w:t>20</w:t>
        </w:r>
        <w:r>
          <w:rPr>
            <w:noProof/>
            <w:webHidden/>
          </w:rPr>
          <w:fldChar w:fldCharType="end"/>
        </w:r>
      </w:hyperlink>
    </w:p>
    <w:p w:rsidR="00A713DE" w:rsidRDefault="00A713DE" w:rsidP="00A713DE">
      <w:r>
        <w:fldChar w:fldCharType="end"/>
      </w:r>
    </w:p>
    <w:p w:rsidR="00A713DE" w:rsidRDefault="00A713DE">
      <w:pPr>
        <w:spacing w:line="276" w:lineRule="auto"/>
        <w:jc w:val="left"/>
      </w:pPr>
      <w:r>
        <w:br w:type="page"/>
      </w:r>
    </w:p>
    <w:p w:rsidR="00A713DE" w:rsidRDefault="00A713DE" w:rsidP="00A713DE">
      <w:pPr>
        <w:pStyle w:val="Heading1"/>
      </w:pPr>
      <w:bookmarkStart w:id="1" w:name="_Toc239633891"/>
      <w:r>
        <w:lastRenderedPageBreak/>
        <w:t>Sazetak</w:t>
      </w:r>
      <w:bookmarkEnd w:id="1"/>
    </w:p>
    <w:p w:rsidR="00A713DE" w:rsidRDefault="00A713DE" w:rsidP="00A713DE">
      <w:r>
        <w:t>Rad ispituje je li selekcija informacija u digitalnome novinarstvu ukinuta ili preraspodijeljena i što iz odgovora slijedi za normativne obveze uredništva. Polazište je pojmovna rekonstrukcija klasičnoga modela vratara, koji počiva na ograničenom broju kanala prema publici, na podudarnosti objave i distribucije te na profesionalcu koji zauzima mjesto odluke. Rad utvrđuje da su prva dva uvjeta u digitalnome okruženju prestala vrijediti, dok se treći zakomplicirao, i brani tezu da iz toga ne slijedi napuštanje pojma nego promjena njegove referentne točke. Selekcija se pomiče s pitanja što ulazi u javnu sferu na pitanje što je unutar nje vidljivo, a izvode je tri nositelja istodobno, uredništvo, sustav algoritamske distribucije i publika koja dijeljenjem preraspodjeljuje pažnju. Iz te preraspodjele rad izvodi normativni zaključak da se odgovornost uredništva ne prenosi na sloj koji odluku tehnički izvodi, nego mijenja predmet i obuhvaća i pretpostavke o vidljivosti ugrađene pri objavi. Zaključak je operacionaliziran zahtjevom za izricanjem vlastitih kriterija vidljivosti, koji je izvediv zato što se odnosi na ono što je redakciji u cijelosti dostupno. Rad je pojmovni i pregledni, izložen u šest poglavlja, bez vlastite empirijske građe, i izrijekom navodi granice svojih tvrdnji.</w:t>
      </w:r>
    </w:p>
    <w:p w:rsidR="00A713DE" w:rsidRDefault="00A713DE" w:rsidP="00A713DE">
      <w:r>
        <w:t>Kljucne rijeci: gatekeeping, digitalno novinarstvo, algoritamska distribucija, urednička odgovornost, vidljivost sadržaja</w:t>
      </w:r>
    </w:p>
    <w:p w:rsidR="00A713DE" w:rsidRDefault="00A713DE" w:rsidP="00A713DE">
      <w:pPr>
        <w:pStyle w:val="Heading1"/>
      </w:pPr>
      <w:bookmarkStart w:id="2" w:name="_Toc239633892"/>
      <w:r>
        <w:t>Abstract</w:t>
      </w:r>
      <w:bookmarkEnd w:id="2"/>
    </w:p>
    <w:p w:rsidR="00A713DE" w:rsidRDefault="00A713DE" w:rsidP="00A713DE">
      <w:r>
        <w:t xml:space="preserve">This thesis asks whether information selection in digital journalism has been abolished or redistributed, and what the answer implies for the normative obligations of newsrooms. It starts from a conceptual reconstruction of the classical gatekeeping model, which rests on a limited number of channels to the audience, on the coincidence of publication and distribution, and on a professional occupying the point of decision. The thesis argues that the first two conditions no longer hold in the digital environment while the third has become more complex, and defends the claim that this does not warrant abandoning the concept but changing its point of reference. Selection shifts from the question of what enters the public sphere to the question of what becomes visible within it, and it is carried out simultaneously by three agents, the newsroom, the algorithmic distribution layer, and the audience that redistributes attention by sharing. From this redistribution the thesis derives the normative conclusion that editorial responsibility does not pass to the layer that technically executes the decision, but changes its object and comes to include the visibility assumptions built in at publication. The requirement that follows is feasible because it concerns criteria fully </w:t>
      </w:r>
      <w:r>
        <w:lastRenderedPageBreak/>
        <w:t>available to the newsroom itself. The work is conceptual and review based, presented in six chapters, without original empirical material, and it states the limits of its claims explicitly.</w:t>
      </w:r>
    </w:p>
    <w:p w:rsidR="00A713DE" w:rsidRDefault="00A713DE" w:rsidP="00A713DE">
      <w:r>
        <w:t>Keywords: gatekeeping, digital journalism, algorithmic distribution, editorial responsibility, content visibility</w:t>
      </w:r>
    </w:p>
    <w:p w:rsidR="00A713DE" w:rsidRDefault="00A713DE" w:rsidP="00A713DE">
      <w:pPr>
        <w:pStyle w:val="Heading1"/>
      </w:pPr>
      <w:bookmarkStart w:id="3" w:name="_Toc239633893"/>
      <w:r>
        <w:t>1. Uvod</w:t>
      </w:r>
      <w:bookmarkEnd w:id="3"/>
    </w:p>
    <w:p w:rsidR="00A713DE" w:rsidRDefault="00A713DE" w:rsidP="00A713DE">
      <w:r>
        <w:t>Pitanje tko odlučuje što će publika vidjeti staro je koliko i organizirano novinarstvo, ali odgovor na njega više nije očit. Dok je redakcija bila jedina točka kroz koju je informacija prolazila prema javnosti, opis selekcije bio je razmjerno jednostavan. Uredništvo je propuštalo ili zaustavljalo, a ono što nije prošlo praktično nije ni postojalo za publiku. Digitalno okruženje tu jednostavnost razgrađuje. Objava više ne jamči vidljivost, a vidljivost više ne pretpostavlja objavu u mediju s uredništvom. Zbog toga se u novijoj literaturi o novinarstvu ponavlja tvrdnja da je klasični pojam vratara izgubio opisnu snagu, pa i da ga treba napustiti.</w:t>
      </w:r>
    </w:p>
    <w:p w:rsidR="00A713DE" w:rsidRDefault="00A713DE" w:rsidP="00A713DE">
      <w:r>
        <w:t>Ovaj rad zastupa suprotno stajalište. Njegova je teza da gatekeeping u digitalnome novinarstvu nije nestao nego se preraspodijelio, tako da se mjesto odluke pomaknulo s ulaza u javnu sferu na vidljivost unutar nje, pa normativna odgovornost uredništva ne slabi nego seli na kriterije vidljivosti. Tvrdnja je osporiva, i to je njezina svrha. Suprotno joj je čitanje prema kojem selekciju danas obavlja infrastruktura platformi, zbog čega urednička odgovornost postaje izvedena, djelomična i u krajnjoj liniji simbolična. Rad taj prigovor uzima ozbiljno i pokušava pokazati zašto ga ne prihvaća.</w:t>
      </w:r>
    </w:p>
    <w:p w:rsidR="00A713DE" w:rsidRDefault="00A713DE" w:rsidP="00A713DE">
      <w:r>
        <w:t>Pitanje nije samo teorijsko. O tome kako se opisuje selekcija ovisi i kome se upućuje zahtjev kada javnost dobije iskrivljenu ili nepotpunu sliku nekog događaja. Ako se prihvati da su vrata nestala, prigovor ostaje bez adresata, budući da nijedan sudionik nije u položaju u kojem bi ga mogao ispuniti. Ako se pak prihvati da su se vrata umnožila, prigovor se može uputiti, ali ga treba razložiti na dijelove koji odgovaraju stvarnim mogućnostima pojedinog sudionika. Rasprava o pojmu time izravno određuje što se od redakcija smije tražiti, i upravo je to razlog zbog kojeg pojmovna analiza ovdje nije priprema za istraživanje nego njegov nužan prvi korak.</w:t>
      </w:r>
    </w:p>
    <w:p w:rsidR="00A713DE" w:rsidRDefault="00A713DE" w:rsidP="00A713DE">
      <w:r>
        <w:t xml:space="preserve">Istraživačko pitanje glasi: je li selekcija u digitalnome medijskom okruženju ukinuta ili preraspodijeljena, i što iz odgovora slijedi za normativne obveze uredništva. Cilj rada nije nabrojati definicije gatekeepinga nego pokazati da se pojam može zadržati ako mu se </w:t>
      </w:r>
      <w:r>
        <w:lastRenderedPageBreak/>
        <w:t>promijeni referentna točka, i da takva izmjena nije terminološka nego sadržajna. Metoda je pojmovna analiza i kritički pregled literature, pa rad ne prikuplja vlastitu građu, ne mjeri redakcijske rutine i ne donosi nijedan empirijski podatak, nego uspoređuje postojeće formulacije pojma i ispituje njihovu unutarnju dosljednost. Ograničenje takva pristupa navedeno je izrijekom u petome poglavlju.</w:t>
      </w:r>
    </w:p>
    <w:p w:rsidR="00A713DE" w:rsidRDefault="00A713DE" w:rsidP="00A713DE">
      <w:r>
        <w:t>Argument se razvija u pet koraka. Drugo poglavlje rekonstruira klasičnu formulaciju gatekeepinga i utvrđuje pod kojim je uvjetima ona bila točna, a kada ti uvjeti prestaju vrijediti. Treće poglavlje opisuje tri nositelja selekcije koji u digitalnome lancu objave djeluju istodobno: uredništvo, algoritamski sustav distribucije i publiku koja dijeljenjem preraspodjeljuje pažnju. Četvrto poglavlje izvodi normativne posljedice te preraspodjele i brani tvrdnju da se odgovornost ne prenosi automatski na onoga tko tehnički izvodi odluku. Peto poglavlje predlaže tri kriterija po kojima se može prosuditi je li pojam raspodijeljenoga gatekeepinga održiv, i imenuje ono što rad ne tvrdi. Zaključak se vraća na pitanje iz uvoda i odgovara na njega izravno.</w:t>
      </w:r>
    </w:p>
    <w:p w:rsidR="00A713DE" w:rsidRDefault="00A713DE" w:rsidP="00A713DE">
      <w:pPr>
        <w:pStyle w:val="Heading1"/>
      </w:pPr>
      <w:bookmarkStart w:id="4" w:name="_Toc239633894"/>
      <w:r>
        <w:t>2. Gatekeeping kao pojam</w:t>
      </w:r>
      <w:bookmarkEnd w:id="4"/>
    </w:p>
    <w:p w:rsidR="00A713DE" w:rsidRDefault="00A713DE" w:rsidP="00A713DE">
      <w:r>
        <w:t>Prije nego se ustvrdi da je neki pojam zastario, treba pokazati što je točno tvrdio i pod kojim je uvjetima bio točan. Ovo poglavlje rekonstruira gatekeeping u tri koraka: kao izvornu formulaciju iz socijalne psihologije, kao model koji je u komunikacijskim znanostima narastao s razine pojedinca na razinu organizacije, i kao okvir čije pretpostavke digitalna distribucija razgrađuje.</w:t>
      </w:r>
    </w:p>
    <w:p w:rsidR="00A713DE" w:rsidRDefault="00A713DE" w:rsidP="00A713DE">
      <w:pPr>
        <w:pStyle w:val="Heading2"/>
      </w:pPr>
      <w:bookmarkStart w:id="5" w:name="_Toc239633895"/>
      <w:r>
        <w:t>2.1. Klasična formulacija i njezini uvjeti</w:t>
      </w:r>
      <w:bookmarkEnd w:id="5"/>
    </w:p>
    <w:p w:rsidR="00A713DE" w:rsidRDefault="00A713DE" w:rsidP="00A713DE">
      <w:r>
        <w:t>Pojam vratara ne dolazi iz novinarstva nego iz istraživanja o tome kako se odluke donose unutar skupine. Lewin (1947) opisuje kretanje predmeta kroz niz kanala u kojima postoje mjesta gdje se odlučuje hoće li predmet nastaviti put, i naziva ta mjesta vratima. Odluka na vratima nije proizvoljna, jer je određuju pravila kanala i osoba koja ta pravila primjenjuje. Model je time istodobno strukturalan i osoban, što je obilježje koje se u kasnijim prijenosima u novinarstvo često gubi.</w:t>
      </w:r>
    </w:p>
    <w:p w:rsidR="00A713DE" w:rsidRDefault="00A713DE" w:rsidP="00A713DE">
      <w:r>
        <w:t xml:space="preserve">Prijenos u novinarstvo izveo je White (1950) studijom slučaja jednoga urednika koji je odlučivao koje će agencijske vijesti ući u novine. Vrijednost te studije nije u brojkama nego u obrascu koji je pokazala. Velika većina dolazne građe nikada ne dolazi do publike, a razlozi odbijanja mogu se izreći i sistematizirati. Time je selekcija prestala biti nevidljiva </w:t>
      </w:r>
      <w:r>
        <w:lastRenderedPageBreak/>
        <w:t>pretpostavka novinarskog posla i postala predmet analize. Shematski prikaz toga modela dan je na Slici 1, gdje se vidi da je riječ o jednosmjernom lancu s jednom presudnom točkom odluke.</w:t>
      </w:r>
    </w:p>
    <w:p w:rsidR="00A713DE" w:rsidRDefault="00A713DE" w:rsidP="00A713DE">
      <w:r>
        <w:t>Studija slučaja pritom nije tvrdila ono što joj se često pripisuje. Ona nije pokazala da urednik odlučuje samovoljno, nego da su njegovi razlozi zapisivi i ponovljivi, što je bio uvjet da selekcija uopće postane predmet znanstvene rasprave. Razlika je važna za argument ovoga rada zato što otkriva da je pojam vratara od početka bio pojam o pravilima, a ne o osobama. Čitanje koje ga svodi na pojedinca poslije olakšava zaključak da je pojam zastario čim je pojedinac izgubio isključivost, iako se sam pojam nikada nije na tome ni temeljio, nego na postojanju mjesta na kojem se pravila primjenjuju.</w:t>
      </w:r>
    </w:p>
    <w:p w:rsidR="00A713DE" w:rsidRDefault="00A713DE" w:rsidP="00A713DE">
      <w:r>
        <w:t>Klasična formulacija počiva na tri uvjeta koje je korisno izreći odvojeno, budući da o njima ovisi njezina valjanost. Prvi je uvjet da postoji ograničen broj kanala prema publici, tako da je zaustavljanje na vratima praktično jednako nepostojanju sadržaja. Drugi je da je objavljivanje istodobno i distribucija, odnosno da ono što je tiskano ili emitirano dolazi do publike bez daljnje selekcije. Treći je da su vrata mjesto koje zauzima profesionalac s prepoznatljivom ulogom i odgovornošću. Dok sva tri uvjeta vrijede, pojam opisuje stvarnost precizno i ekonomično.</w:t>
      </w:r>
    </w:p>
    <w:p w:rsidR="00A713DE" w:rsidRDefault="00A713DE" w:rsidP="00A713DE">
      <w:pPr>
        <w:pStyle w:val="Heading2"/>
      </w:pPr>
      <w:bookmarkStart w:id="6" w:name="_Toc239633896"/>
      <w:r>
        <w:t>2.2. Proširenja modela: kanali, rutine, organizacija</w:t>
      </w:r>
      <w:bookmarkEnd w:id="6"/>
    </w:p>
    <w:p w:rsidR="00A713DE" w:rsidRDefault="00A713DE" w:rsidP="00A713DE">
      <w:r>
        <w:t>Prvo veliko proširenje pomaknulo je objašnjenje s osobe na kriterij. Prema Galtungu i Rugeu (1965), izbor vijesti nije stvar urednikova ukusa nego prepoznatljivih obilježja događaja, poput blizine, neočekivanosti ili mogućnosti personalizacije. Time se odluka na vratima može predvidjeti bez poznavanja pojedinca koji je donosi, što pojam čini upotrebljivim za usporedbu medija i zemalja. Cijena je proširenja to da vratar postaje sve manje osoba, a sve više skup pravila.</w:t>
      </w:r>
    </w:p>
    <w:p w:rsidR="00A713DE" w:rsidRDefault="00A713DE" w:rsidP="00A713DE">
      <w:r>
        <w:t>Drugo proširenje smjestilo je selekciju u organizaciju. Tuchman (1978) opisuje kako redakcijske rutine, rasporedi i unaprijed postavljene mreže izvora oblikuju ono što uopće može postati vijest, prije nego itko odluči o pojedinačnome prilogu. Gans (1979) tome dodaje sloj profesionalnih vrijednosti koje uredništvo dijeli i koje selekciju usmjeravaju bez izričite upute. Selekcija se time razlaže na niz odluka raspoređenih kroz vrijeme i kroz uloge, a ne na jedan čin.</w:t>
      </w:r>
    </w:p>
    <w:p w:rsidR="00A713DE" w:rsidRDefault="00A713DE" w:rsidP="00A713DE">
      <w:r>
        <w:lastRenderedPageBreak/>
        <w:t>Proširenja imaju i cijenu koju je korisno izreći. Što se selekcija više objašnjava rutinama i vrijednostima organizacije, to je teže pokazati gdje je donesena pojedinačna odluka, pa se odgovornost razlijeva po sustavu. Ta je poteškoća poznata u raspravama o institucionalnoj odgovornosti općenito i nije obilježje digitalnoga okruženja, nego nastaje čim se objašnjenje pomakne s osobe na strukturu. Rad je spominje ovdje jer se u četvrtome poglavlju vraća kao glavni prigovor tezi, samo u novom ruhu, ondje se odgovornost razlijeva po sudionicima lanca umjesto po razinama organizacije.</w:t>
      </w:r>
    </w:p>
    <w:p w:rsidR="00A713DE" w:rsidRDefault="00A713DE" w:rsidP="00A713DE">
      <w:r>
        <w:t>Shoemaker i Vos (2009) taj razvoj sažimaju u model s više razina, od pojedinca preko rutine i organizacije do društvenoga sustava, i utvrđuju da razine djeluju istodobno. Njihov je doprinos u tome što gatekeeping prestaje biti opis jednoga radnog mjesta i postaje analitički okvir koji se može primijeniti na svaku točku u kojoj se sadržaj propušta ili zaustavlja. Upravo ta apstrakcija čini pojam prenosivim izvan uvjeta u kojima je nastao, što je pretpostavka argumenta koji ovaj rad razvija u trećem poglavlju.</w:t>
      </w:r>
    </w:p>
    <w:p w:rsidR="00A713DE" w:rsidRDefault="00A713DE" w:rsidP="00A713DE">
      <w:r>
        <w:t>Priručnička literatura na hrvatskome jeziku isti razvoj prikazuje sažeto, ali s istim redoslijedom. Malović (2005) selekciju vijesti izlaže kao skup profesionalnih kriterija koje novinar usvaja u redakciji, a ne kao osobnu prosudbu, dok Kunczik i Zipfel (2006) gatekeeping smještaju u širi okvir teorija o proizvodnji medijskih sadržaja. Za ovaj su rad ti izvori važni zbog dvoga. Oni svjedoče da je pojam u domaćoj nastavi prisutan u svojem proširenome, a ne izvornom obliku, i potvrđuju da se pomak s osobe na pravila dogodio prije digitalne distribucije.</w:t>
      </w:r>
    </w:p>
    <w:p w:rsidR="00A713DE" w:rsidRDefault="00A713DE" w:rsidP="00A713DE">
      <w:pPr>
        <w:pStyle w:val="Heading2"/>
      </w:pPr>
      <w:bookmarkStart w:id="7" w:name="_Toc239633897"/>
      <w:r>
        <w:t>2.3. Granice klasičnoga modela</w:t>
      </w:r>
      <w:bookmarkEnd w:id="7"/>
    </w:p>
    <w:p w:rsidR="00A713DE" w:rsidRDefault="00A713DE" w:rsidP="00A713DE">
      <w:r>
        <w:t>Digitalna distribucija ruši prvi uvjet iz potpoglavlja 2.1. Broj kanala prema publici prestaje biti ograničen, a trošak objave pada gotovo na nulu, pa zaustavljanje na jednim vratima više ne znači da sadržaja nema. Bruns (2005) tu promjenu opisuje pojmom nadzora nad vratima, u kojem sudionici ne odlučuju o ulasku nego o tome što će iz već dostupne mase istaknuti. Selekcija se time ne gasi nego mijenja predmet, jer se umjesto pitanja što ulazi postavlja pitanje što se vidi.</w:t>
      </w:r>
    </w:p>
    <w:p w:rsidR="00A713DE" w:rsidRDefault="00A713DE" w:rsidP="00A713DE">
      <w:r>
        <w:t>Drugi uvjet pada zajedno s prvim. Objava i distribucija razdvajaju se u dva različita procesa, od kojih prvi kontrolira redakcija, a drugi u velikoj mjeri ne. Wallace (2018) zato predlaže model u kojem se selekcija opisuje kroz više usporednih kanala s različitim nositeljima, umjesto kroz jedan lanac s jednim vratima. Usporedba klasičnoga i takva raspodijeljenoga opisa po četiri obilježja prikazana je u Tablici 1.</w:t>
      </w:r>
    </w:p>
    <w:p w:rsidR="00A713DE" w:rsidRDefault="00A713DE" w:rsidP="00A713DE">
      <w:r>
        <w:lastRenderedPageBreak/>
        <w:t>Vrijedi primijetiti da nijedan od dvaju uvjeta ne pada naglo ni jednako za sve medije. Za medij koji publiku doseže pretplatom ili izravnim obavijestima objava i dalje znači i distribuciju, dok za onaj koji ovisi o otvorenim kanalima razlika između to dvoje postaje presudna. Model se time ne ruši nego se njegova primjenjivost sužava na dio slučajeva, što je uobičajena sudbina teorija nastalih u drukčijim tehničkim uvjetima. Za pojmovnu raspravu to znači da treba tražiti opis koji obuhvaća oba tipa, a ne zamjenu koja bi jedan tip proglasila pravilom.</w:t>
      </w:r>
    </w:p>
    <w:p w:rsidR="00A713DE" w:rsidRDefault="00A713DE" w:rsidP="00A713DE">
      <w:r>
        <w:t>Treći uvjet ne pada, ali se komplicira. Profesionalac s prepoznatljivom ulogom i dalje postoji, samo više nije jedini koji odlučuje, pa se njegova odgovornost teže izvodi iz njegova položaja u lancu. Pred radom time stoji izbor. Ili se pojam gatekeepinga odbacuje kao opis prošloga stanja, ili mu se mijenja referentna točka. Sljedeće poglavlje brani drugu mogućnost.</w:t>
      </w:r>
    </w:p>
    <w:p w:rsidR="00A713DE" w:rsidRDefault="00A713DE" w:rsidP="00A713DE">
      <w:pPr>
        <w:pStyle w:val="Heading1"/>
      </w:pPr>
      <w:bookmarkStart w:id="8" w:name="_Toc239633898"/>
      <w:r>
        <w:t>3. Preraspodjela selekcije u digitalnome okruženju</w:t>
      </w:r>
      <w:bookmarkEnd w:id="8"/>
    </w:p>
    <w:p w:rsidR="00A713DE" w:rsidRDefault="00A713DE" w:rsidP="00A713DE">
      <w:r>
        <w:t>Ako selekcija nije ukinuta nego premještena, treba pokazati kamo je premještena i tko je nakon premještanja izvodi. Ovo poglavlje razlaže digitalni lanac objave na tri sloja u kojima se odlučuje o vidljivosti, i obrazlaže zašto nijedan od njih sam ne objašnjava ishod. Redoslijed izlaganja prati logiku argumenta, a ne kronologiju, pa se prvo opisuje pomak referentne točke, zatim dva nositelja selekcije koji u klasičnome modelu nisu postojali kao samostalne veličine.</w:t>
      </w:r>
    </w:p>
    <w:p w:rsidR="00A713DE" w:rsidRDefault="00A713DE" w:rsidP="00A713DE">
      <w:pPr>
        <w:pStyle w:val="Heading2"/>
      </w:pPr>
      <w:bookmarkStart w:id="9" w:name="_Toc239633899"/>
      <w:r>
        <w:t>3.1. Od ulaza u javnu sferu do vidljivosti unutar nje</w:t>
      </w:r>
      <w:bookmarkEnd w:id="9"/>
    </w:p>
    <w:p w:rsidR="00A713DE" w:rsidRDefault="00A713DE" w:rsidP="00A713DE">
      <w:r>
        <w:t>Ključna promjena nije u broju odluka nego u onome o čemu se odlučuje. U klasičnome modelu pitanje je bilo hoće li sadržaj uopće postojati za publiku, a u digitalnome okruženju sadržaj gotovo uvijek postoji, samo ga velika većina publike nikada ne susretne. Razlika između neobjavljenoga i objavljenoga a nevidljivoga teorijski je velika, ali se praktično sužava, budući da je čitatelj koji članak ne može susresti u istoj poziciji kao čitatelj članka koji nije napisan. Selekcija time ne prestaje biti selekcija, nego mijenja jedinicu o kojoj presuđuje, i tek nakon te izmjene pojam ponovno opisuje stvarnost.</w:t>
      </w:r>
    </w:p>
    <w:p w:rsidR="00A713DE" w:rsidRDefault="00A713DE" w:rsidP="00A713DE">
      <w:r>
        <w:t>Iz toga pomaka slijedi da se vrata umnožavaju. Redakcija i dalje odlučuje što će objaviti, ali između objave i susreta s publikom nastaje niz daljnjih točaka odluke: mjesto na naslovnici, uvrštenje u obavijest, poredak u sažetku vijesti, prisutnost u preporukama. Svaka od tih točaka može poništiti učinak prethodne, pa se ishod ne može pripisati nijednoj pojedinačno. Slojevi selekcije u digitalnome lancu objave prikazani su na Slici 2, gdje je vidljivo da uredništvo kontrolira prvi sloj u cijelosti, drugi djelomično, a treći gotovo nikako.</w:t>
      </w:r>
    </w:p>
    <w:p w:rsidR="00A713DE" w:rsidRDefault="00A713DE" w:rsidP="00A713DE">
      <w:r>
        <w:lastRenderedPageBreak/>
        <w:t>Prigovor da je razlika između neobjavljenoga i nevidljivoga ipak stvarna zaslužuje odgovor. Sadržaj koji postoji, a nije viđen, može biti pronađen naknadno, može ga citirati drugi medij i može ući u arhiv, dok neobjavljenoga nema ni u jednome od tih oblika. Razlika je dakle stvarna, ali je važna za rijetke slučajeve, a ne za uobičajeni susret publike s informacijom. Za pitanje odgovornosti presudan je uobičajeni slučaj, jer se norme oblikuju prema onome što se redovito događa, a ne prema iznimci koja je logički moguća.</w:t>
      </w:r>
    </w:p>
    <w:p w:rsidR="00A713DE" w:rsidRDefault="00A713DE" w:rsidP="00A713DE">
      <w:r>
        <w:t>Thorson i Wells (2016) tu situaciju opisuju kao skup usporednih tokova koji zajedno oblikuju ono što pojedinac na kraju vidi, pri čemu prednost nekog toka nije zadana unaprijed. Njihov okvir korisno razdvaja uredničku, algoritamsku, društvenu i osobnu kuraciju, i time pokazuje da je izloženost sadržaju ishod više selekcija koje djeluju istodobno. Za argument ovoga rada bitna je posljedica koja iz toga slijedi. Ako je izloženost ishod više selekcija, onda pitanje odgovornosti ne može imati jedan adresat, ali ne može ni ostati bez ijednoga. Upravo je to razlika između tvrdnje da je gatekeeping nestao i tvrdnje da se preraspodijelio.</w:t>
      </w:r>
    </w:p>
    <w:p w:rsidR="00A713DE" w:rsidRDefault="00A713DE" w:rsidP="00A713DE">
      <w:r>
        <w:t>Preraspodjela pritom nije ravnomjerna. Uredništvo zadržava potpunu kontrolu nad time što objavljuje i pod kojim naslovom, a to je odluka koja u sljedećim slojevima nesrazmjerno djeluje, s obzirom na to da naslov i sažetak ulaze kao ulazni podatak u svaki daljnji mehanizam odabira. Tvrdnja da je redakcija izgubila utjecaj zato precjenjuje autonomnost kasnijih slojeva i podcjenjuje trajnost odluka donesenih u prvome. Rad taj argument razvija u četvrtome poglavlju, nakon što opiše preostala dva nositelja selekcije.</w:t>
      </w:r>
    </w:p>
    <w:p w:rsidR="00A713DE" w:rsidRDefault="00A713DE" w:rsidP="00A713DE">
      <w:r>
        <w:t>Tri sloja opisana u ovom poglavlju ne djeluju jednakim intenzitetom u svakom mediju, i to je razlog zbog kojeg se o preraspodjeli govori kao o rasponu, a ne kao o stanju. Kod medija koji objavljuje u više otvorenih kanala udio uredničke kontrole nad susretom s publikom manji je nego kod onoga koji publiku doseže izravno, iako oba objavljuju isti prilog. Pojam koji se ovdje predlaže mora zato podnijeti obje krajnosti, a njegov je test upravo u tome opisuje li medij s izravnom publikom bez izobličenja.</w:t>
      </w:r>
    </w:p>
    <w:p w:rsidR="00A713DE" w:rsidRDefault="00A713DE" w:rsidP="00A713DE">
      <w:pPr>
        <w:pStyle w:val="Heading2"/>
      </w:pPr>
      <w:bookmarkStart w:id="10" w:name="_Toc239633900"/>
      <w:r>
        <w:t>3.2. Algoritamsko posredovanje kao sloj selekcije</w:t>
      </w:r>
      <w:bookmarkEnd w:id="10"/>
    </w:p>
    <w:p w:rsidR="00A713DE" w:rsidRDefault="00A713DE" w:rsidP="00A713DE">
      <w:r>
        <w:t xml:space="preserve">Drugi sloj selekcije čine sustavi koji sadržaj razvrstavaju i poredaju prije nego dođe do korisnika. Gillespie (2014) upozorava da takvi sustavi nisu neutralni prijenosnici nego proizvode relevantnost, budući da je odabir obilježja po kojima se sadržaj rangira već normativna odluka, bez obzira na to je li izrečena kao takva. Time se u lanac objave uvodi nositelj selekcije koji nema uredničku ulogu, ne odgovara profesionalnom kodeksu i najčešće </w:t>
      </w:r>
      <w:r>
        <w:lastRenderedPageBreak/>
        <w:t>ne objašnjava svoje kriterije. Za teoriju gatekeepinga to nije samo nova varijabla nego nov tip vratara.</w:t>
      </w:r>
    </w:p>
    <w:p w:rsidR="00A713DE" w:rsidRDefault="00A713DE" w:rsidP="00A713DE">
      <w:r>
        <w:t>Razlika prema uredničkim vratima je u tome što se algoritamska selekcija ne izvodi jednom nego neprekidno i različito za svakoga korisnika. Ista objava može biti visoko rangirana za jednu skupinu, a praktično nevidljiva za drugu, pri čemu se ni redakcija ni korisnik o toj razlici ne obavještavaju. Napoli (2019) zato tvrdi da se pitanje javnog interesa u takvim uvjetima ne može više vezati samo uz sadržaj nego i uz mehanizme njegove distribucije. Razine selekcije, njihovi nositelji i vrsta odluke koju donose sažeti su u Tablici 2.</w:t>
      </w:r>
    </w:p>
    <w:p w:rsidR="00A713DE" w:rsidRDefault="00A713DE" w:rsidP="00A713DE">
      <w:r>
        <w:t>Iz toga bi se moglo zaključiti da je odgovornost prešla na platformu, i to je najjači protuargument tezi ovoga rada. Zaključak ipak ne slijedi nužno, iz dva razloga. Prvi je da algoritamski sloj obrađuje ono što mu je predano, pa uredničke odluke o naslovu, okviru i vremenu objave ostaju njegov ulazni podatak. Drugi je da uredništvo bira hoće li i u kojoj mjeri prilagoditi svoju proizvodnju očekivanim kriterijima toga sloja, a ta je prilagodba urednička odluka kao i svaka druga. Odgovornost se time ne prenosi nego se dijeli, i to nejednako.</w:t>
      </w:r>
    </w:p>
    <w:p w:rsidR="00A713DE" w:rsidRDefault="00A713DE" w:rsidP="00A713DE">
      <w:r>
        <w:t>Postoji i obrnuta pogreška, koju treba izbjeći jednako kao prethodnu. Iz tvrdnje da algoritamski sloj proizvodi relevantnost ne slijedi da on djeluje neovisno o ljudskim odlukama, jer su i kriteriji po kojima rangira postavljeni odlukama koje netko donosi i mijenja. Sloj je posredovan, ne autonoman, a njegova neprozirnost nije isto što i odsutnost autora. Za argument je to važno jer čuva mogućnost da se o kriterijima uopće raspravlja, dok se mehanizam bez autora ne bi mogao ni kritizirati ni popraviti, nego samo opisivati.</w:t>
      </w:r>
    </w:p>
    <w:p w:rsidR="00A713DE" w:rsidRDefault="00A713DE" w:rsidP="00A713DE">
      <w:r>
        <w:t>Bell i Owen (2017) opisuju kako se redakcije, suočene s posredovanom distribucijom, prilagođavaju oblicima koji na platformama bolje prolaze, i time same premještaju dio uredničkih kriterija. Taj nalaz otkriva smjer utjecaja koji se lako previdi. Nije samo distribucija ta koja oblikuje vidljivost objavljenoga, nego očekivanje o distribuciji oblikuje ono što će uopće biti proizvedeno. Selekcija se tako vraća u redakciju, ali kao unaprijed pretpostavljen kriterij, a ne kao izričita odluka.</w:t>
      </w:r>
    </w:p>
    <w:p w:rsidR="00A713DE" w:rsidRDefault="00A713DE" w:rsidP="00A713DE">
      <w:pPr>
        <w:pStyle w:val="Heading2"/>
      </w:pPr>
      <w:bookmarkStart w:id="11" w:name="_Toc239633901"/>
      <w:r>
        <w:t>3.3. Publika kao suselektor</w:t>
      </w:r>
      <w:bookmarkEnd w:id="11"/>
    </w:p>
    <w:p w:rsidR="00A713DE" w:rsidRDefault="00A713DE" w:rsidP="00A713DE">
      <w:r>
        <w:t xml:space="preserve">Treći sloj čini publika, i to ne kao primatelj nego kao sudionik u razdiobi pažnje. Singer (2014) taj položaj naziva sekundarnim odlučivanjem o vidljivosti, budući da korisnici ne odlučuju što će biti objavljeno, ali odlučuju što će od objavljenoga proslijediti, a time i što će </w:t>
      </w:r>
      <w:r>
        <w:lastRenderedPageBreak/>
        <w:t>drugi vidjeti. Odluka je pojedinačno neznatna, a skupno presudna, s obzirom na to da se učinci dijeljenja zbrajaju i ulaze kao signal u algoritamski sloj opisan u prethodnome potpoglavlju. Publika time postaje dio mehanizma selekcije, a ne njegovo odredište.</w:t>
      </w:r>
    </w:p>
    <w:p w:rsidR="00A713DE" w:rsidRDefault="00A713DE" w:rsidP="00A713DE">
      <w:r>
        <w:t>Bruns (2005) sličan proces opisuje kroz zajedničko izdvajanje sadržaja iz već dostupne mase, gdje vrijednost ne nastaje objavom nego isticanjem. Razlika prema uredničkoj selekciji je u kriteriju, jer redakcija barem načelno primjenjuje profesionalna mjerila, dok sudionici primjenjuju vlastita, koja mogu, ali ne moraju, biti povezana s informativnom vrijednošću. Iz toga ne slijedi da je publika neodgovoran selektor, nego da je selektor bez institucionalne obveze da svoje kriterije obrazloži.</w:t>
      </w:r>
    </w:p>
    <w:p w:rsidR="00A713DE" w:rsidRDefault="00A713DE" w:rsidP="00A713DE">
      <w:r>
        <w:t>Odnos između publike i uredništva time postaje asimetričan na način koji klasični model nije predviđao. Uredništvo publiku vidi zbirno, kroz mjere pažnje, dok publika uredništvo vidi kroz pojedinačne priloge, pa se dvije strane nikada ne susreću u istoj razlučivosti. Iz te asimetrije slijedi da signal koji redakcija dobiva nije mišljenje publike nego njezino ponašanje pod uvjetima koje je oblikovao netko treći. Tumačiti takav signal kao izraz interesa javnosti znači učiniti pogrešku koja se u raspravi o vidljivosti ponavlja, i koju četvrto poglavlje uzima kao razlog za dodatnu uredničku obvezu.</w:t>
      </w:r>
    </w:p>
    <w:p w:rsidR="00A713DE" w:rsidRDefault="00A713DE" w:rsidP="00A713DE">
      <w:r>
        <w:t>Za pojam gatekeepinga to znači da je selekcija postala recipročna. Klasični model pretpostavljao je jednosmjeran tok od izvora preko vratara do publike, a u opisanome rasporedu publika djeluje i uzvodno, jer mjerenje njezine pažnje ulazi natrag u uredničke odluke o tome što se sljedeći put proizvodi. Petlja povratne informacije između mjerenja pažnje i uredničke odluke prikazana je na Slici 3. Ta petlja objašnjava zašto se preraspodjela ne može opisati kao gubitak kontrole. Kontrola postoji, ali je uvjetovana signalima koje uredništvo samo prikuplja i samo odlučuje koliko će im dopustiti utjecaja.</w:t>
      </w:r>
    </w:p>
    <w:p w:rsidR="00A713DE" w:rsidRDefault="00A713DE" w:rsidP="00A713DE">
      <w:r>
        <w:t>Preostaje pitanje koje treće poglavlje ne rješava, a četvrto mora. Ako selekciju izvode tri nositelja s različitim kriterijima i različitim stupnjem obveze, kome se onda pripisuje odgovornost za ono što javnost vidi. Odgovor koji rad brani jest da se odgovornost ne dijeli razmjerno tehničkom udjelu u odluci, nego prema tome tko je od nositelja preuzeo javnu ulogu i s njom povezano obećanje.</w:t>
      </w:r>
    </w:p>
    <w:p w:rsidR="00A713DE" w:rsidRDefault="00A713DE" w:rsidP="00A713DE">
      <w:pPr>
        <w:pStyle w:val="Heading1"/>
      </w:pPr>
      <w:bookmarkStart w:id="12" w:name="_Toc239633902"/>
      <w:r>
        <w:lastRenderedPageBreak/>
        <w:t>4. Normativne posljedice za uredništvo</w:t>
      </w:r>
      <w:bookmarkEnd w:id="12"/>
    </w:p>
    <w:p w:rsidR="00A713DE" w:rsidRDefault="00A713DE" w:rsidP="00A713DE">
      <w:r>
        <w:t>Opis preraspodjele sam po sebi ne obvezuje ni na što. Da bi iz njega slijedio normativni zaključak, treba pokazati zašto pomak mjesta odluke ne povlači i pomak odgovornosti, i što bi uredništvo trebalo činiti drukčije nego u klasičnome modelu. Ovo poglavlje najprije brani tvrdnju o neprenosivosti odgovornosti, zatim iz nje izvodi konkretan zahtjev, i na kraju izriče granicu do koje taj zahtjev vrijedi.</w:t>
      </w:r>
    </w:p>
    <w:p w:rsidR="00A713DE" w:rsidRDefault="00A713DE" w:rsidP="00A713DE">
      <w:pPr>
        <w:pStyle w:val="Heading2"/>
      </w:pPr>
      <w:bookmarkStart w:id="13" w:name="_Toc239633903"/>
      <w:r>
        <w:t>4.1. Odgovornost koja se ne prenosi</w:t>
      </w:r>
      <w:bookmarkEnd w:id="13"/>
    </w:p>
    <w:p w:rsidR="00A713DE" w:rsidRDefault="00A713DE" w:rsidP="00A713DE">
      <w:r>
        <w:t>Argument o prijenosu odgovornosti počiva na pretpostavci da odgovoran je onaj tko odluku tehnički izvodi. Pretpostavka je privlačna jer izgleda kao opis stvarnosti, ali u normativnoj raspravi ne stoji, jer se odgovornost u profesijama ne izvodi iz tehničkog udjela u postupku nego iz preuzete uloge i obećanja koje uz nju ide. Liječnik koji se osloni na nalaz uređaja ne prestaje biti odgovoran za dijagnozu, budući da ga uloga koju je preuzeo obvezuje da nalaz protumači. Prijenos odgovornosti na sloj koji izvodi operaciju bio bi zato zaključak iz krive premise, a ne nalaz o promijenjenome mediju.</w:t>
      </w:r>
    </w:p>
    <w:p w:rsidR="00A713DE" w:rsidRDefault="00A713DE" w:rsidP="00A713DE">
      <w:r>
        <w:t>Carlson (2017) pokazuje da novinarski autoritet nije svojstvo tehnologije nego odnos koji se neprekidno uspostavlja pred publikom, kroz tvrdnje o tome zašto bi baš toj instituciji trebalo vjerovati. Ako se autoritet gradi na obećanju da netko za publiku prosuđuje što je važno, onda se to obećanje ne prestaje odnositi na uredništvo samo zato što je između njega i publike nastao još jedan sloj. Uredništvo koje distribuciju prepusti mehanizmu koji ne razumije i ne objašnjava, i dalje odgovara za posljedice toga izbora, jer je izbor bio njegov.</w:t>
      </w:r>
    </w:p>
    <w:p w:rsidR="00A713DE" w:rsidRDefault="00A713DE" w:rsidP="00A713DE">
      <w:r>
        <w:t>Analogija s drugim profesijama ima granicu koju treba priznati prije nego se na nju osloni. Liječnikova obveza da protumači nalaz proizlazi iz toga što je osposobljen za tumačenje, dok uredništvo najčešće nije osposobljeno za procjenu mehanizama distribucije koje ne vidi. Iz toga ipak ne slijedi oslobođenje nego uža obveza, po kojoj se odgovornost veže uz ono što se može znati, a to je vlastita odluka o prilagodbi, a ne tuđi mehanizam. Analogija time podupire tvrdnju o neprenosivosti, ali istodobno pokazuje zašto ta tvrdnja mora biti ograničena, kako je izloženo u potpoglavlju 4.3.</w:t>
      </w:r>
    </w:p>
    <w:p w:rsidR="00A713DE" w:rsidRDefault="00A713DE" w:rsidP="00A713DE">
      <w:r>
        <w:t xml:space="preserve">Shoemaker i Vos (2009) tome pridonose analitički, a ne normativno, budući da njihov model s više razina govori o tome da su odluke o selekciji i u ranijim uvjetima bile raspoređene, a ne svedene na jednu osobu. Ako raspodijeljenost sama po sebi nije novost, onda ni prigovor da je odgovornost neizvediva zbog raspodijeljenosti nije nov, i na njega postoji uhodan odgovor, </w:t>
      </w:r>
      <w:r>
        <w:lastRenderedPageBreak/>
        <w:t>prema kojem odgovara onaj tko je na svojoj razini imao izbor. Uredništvo taj izbor ima na razini koja je uzvodna prema svim ostalima, a to je razina proizvodnje i uokvirivanja.</w:t>
      </w:r>
    </w:p>
    <w:p w:rsidR="00A713DE" w:rsidRDefault="00A713DE" w:rsidP="00A713DE">
      <w:r>
        <w:t>Tvrdnja koju rad brani odatle je izvedena. Preraspodjela selekcije mijenja predmet uredničke odgovornosti, ali ne njezin opseg. Umjesto da odgovara samo za ono što je objavilo, uredništvo odgovara i za pretpostavke o vidljivosti koje je pri objavi ugradilo. Ta je tvrdnja jača od uobičajene formulacije prema kojoj mediji trebaju biti oprezni s platformama, zato što imenuje konkretnu obvezu, a ne opće upozorenje.</w:t>
      </w:r>
    </w:p>
    <w:p w:rsidR="00A713DE" w:rsidRDefault="00A713DE" w:rsidP="00A713DE">
      <w:pPr>
        <w:pStyle w:val="Heading2"/>
      </w:pPr>
      <w:bookmarkStart w:id="14" w:name="_Toc239633904"/>
      <w:r>
        <w:t>4.2. Transparentnost kriterija vidljivosti</w:t>
      </w:r>
      <w:bookmarkEnd w:id="14"/>
    </w:p>
    <w:p w:rsidR="00A713DE" w:rsidRDefault="00A713DE" w:rsidP="00A713DE">
      <w:r>
        <w:t>Ako se odgovornost seli na kriterije vidljivosti, prvi je zahtjev da ti kriteriji budu izrečeni. Uredništvo koje naslov, vrijeme objave i oblik priloga prilagođava očekivanome ponašanju sustava distribucije donosi uređivačku odluku, ali je donosi prešutno, pa je ni publika ni struka ne mogu ocijeniti. Zahtjev za transparentnošću ovdje nije zahtjev prema platformi nego prema redakciji, i upravo je to razlika koju rasprava o algoritamskoj odgovornosti često previdi.</w:t>
      </w:r>
    </w:p>
    <w:p w:rsidR="00A713DE" w:rsidRDefault="00A713DE" w:rsidP="00A713DE">
      <w:r>
        <w:t>Napoli (2019) pokazuje da se javni interes u posredovanome okruženju ne može procijeniti samo iz sadržaja, budući da isti sadržaj različito dopire do različitih skupina. Opis distribucijskih pretpostavki postaje tako dio informacije, a ne njezin tehnički dodatak. Redakcija koja objavi da je prilog oblikovan tako da bude vidljiv u određenome kanalu daje publici podatak koji joj omogućuje da procijeni zašto je nešto vidjela, i to je funkcionalni ekvivalent navođenju izvora.</w:t>
      </w:r>
    </w:p>
    <w:p w:rsidR="00A713DE" w:rsidRDefault="00A713DE" w:rsidP="00A713DE">
      <w:r>
        <w:t>Zahtjev se razlikuje od uobičajenoga poziva na medijsku pismenost publike, i tu razliku treba istaknuti. Poziv upućen publici premješta teret na stranu koja nema uvid ni u uredničke ni u distribucijske kriterije, pa u praksi znači da odgovornost ostaje neraspoređena. Zahtjev upućen redakciji obraća se strani koja svoje kriterije poznaje i može ih izreći, pa je izvediv bez ičije dodatne suradnje. Rasprava koja te dvije mjere izjednačava previđa da samo jedna od njih ima adresata sposobnog da je ispuni.</w:t>
      </w:r>
    </w:p>
    <w:p w:rsidR="00A713DE" w:rsidRDefault="00A713DE" w:rsidP="00A713DE">
      <w:r>
        <w:t xml:space="preserve">Zahtjev se može operacionalizirati u tri koraka koji ne traže pristup tuđim sustavima. Prvi je da uredništvo interno zabilježi koje su odluke donesene zbog očekivane vidljivosti, a koje zbog informativne vrijednosti, jer razlika između to dvoje nestaje ako se ne bilježi u trenutku odluke. Drugi je da se mjerenje pažnje ne vraća u proizvodnju bez posredovanja uredničke prosudbe, dakle da signal bude ulaz u raspravu, a ne njezina zamjena. Treći je da se </w:t>
      </w:r>
      <w:r>
        <w:lastRenderedPageBreak/>
        <w:t>odstupanja od uobičajenih kriterija izriču pred publikom onda kada su značajna. Odnos između mjerenja, prosudbe i objave koji ta tri koraka pretpostavljaju vidljiv je prema Slici 3.</w:t>
      </w:r>
    </w:p>
    <w:p w:rsidR="00A713DE" w:rsidRDefault="00A713DE" w:rsidP="00A713DE">
      <w:r>
        <w:t>Prigovor da je takav zahtjev neizvediv jer redakcije nemaju uvid u kriterije platformi promašuje adresata. Zahtjev se ne odnosi na kriterije platforme nego na vlastite kriterije redakcije, koji su joj u cijelosti dostupni. Uredništvo ne mora znati kako sustav rangira da bi znalo zašto je samo sebi promijenilo naslov, i upravo je to ono što se od njega traži.</w:t>
      </w:r>
    </w:p>
    <w:p w:rsidR="00A713DE" w:rsidRDefault="00A713DE" w:rsidP="00A713DE">
      <w:pPr>
        <w:pStyle w:val="Heading2"/>
      </w:pPr>
      <w:bookmarkStart w:id="15" w:name="_Toc239633905"/>
      <w:r>
        <w:t>4.3. Granice profesionalne kontrole</w:t>
      </w:r>
      <w:bookmarkEnd w:id="15"/>
    </w:p>
    <w:p w:rsidR="00A713DE" w:rsidRDefault="00A713DE" w:rsidP="00A713DE">
      <w:r>
        <w:t>Tvrdnja o neprenosivosti odgovornosti ne smije se rastegnuti dalje nego što nosi. Uredništvo ne kontrolira ishod, nego samo vlastiti ulaz u lanac koji ishod proizvodi, pa bi zahtjev da odgovara za konačnu razdiobu pažnje bio zahtjev za nemogućim. Deuze i Witschge (2018) upozoravaju da se novinarstvo institucionalno rasipa i da se znatan dio proizvodnje odvija izvan klasičnih redakcija, što dodatno sužava doseg svake obveze koja se veže uz uredništvo kao instituciju.</w:t>
      </w:r>
    </w:p>
    <w:p w:rsidR="00A713DE" w:rsidRDefault="00A713DE" w:rsidP="00A713DE">
      <w:r>
        <w:t>Granica se najbolje vidi na slučaju koji rad namjerno ostavlja otvorenim. Ako redakcija objavi prilog po svim kriterijima koje javno zastupa, a mehanizam distribucije ga svejedno ne istakne, nijedna urednička obveza nije prekršena, iako je javni učinak izostao. Takav ishod nije uredničko pitanje nego pitanje uređenja distribucije, i pripada raspravi koju ovaj rad ne vodi. Razlikovanje to dvoje ključno je za praktičnu upotrebljivost predloženoga pojma, jer bi se bez njega svaki izostanak vidljivosti mogao čitati kao uredničko zakazivanje, čime bi obveza postala neispunjiva i prestala usmjeravati ponašanje. Norma koja se ne može ispuniti ne usmjerava nikoga, nego samo opisuje razočaranje, pa precizno postavljena granica nije ustupak stvarnosti nego uvjet da zahtjev uopće bude norma.</w:t>
      </w:r>
    </w:p>
    <w:p w:rsidR="00A713DE" w:rsidRDefault="00A713DE" w:rsidP="00A713DE">
      <w:r>
        <w:t>Normativni zahtjev iz prethodnoga potpoglavlja vrijedi zato razmjerno kontroli, a ne apsolutno. Redakcija odgovara za kriterije koje primjenjuje i za ono što o njima kaže, ali ne i za to hoće li mehanizam distribucije njezinu odluku pojačati ili poništiti. Takva ograničena odgovornost nije slabija nego preciznija. Obveza koja se veže uz ono što akter doista može učiniti provediva je i može se provjeriti, dok se obveza vezana uz ishod pretvara u retoriku. Peto poglavlje ispituje je li pojam koji nosi tu razliku uopće održiv.</w:t>
      </w:r>
    </w:p>
    <w:p w:rsidR="00A713DE" w:rsidRDefault="00A713DE" w:rsidP="00A713DE">
      <w:pPr>
        <w:pStyle w:val="Heading1"/>
      </w:pPr>
      <w:bookmarkStart w:id="16" w:name="_Toc239633906"/>
      <w:r>
        <w:lastRenderedPageBreak/>
        <w:t>5. Rasprava: raspodijeljeni gatekeeping kao pojam</w:t>
      </w:r>
      <w:bookmarkEnd w:id="16"/>
    </w:p>
    <w:p w:rsidR="00A713DE" w:rsidRDefault="00A713DE" w:rsidP="00A713DE">
      <w:r>
        <w:t>Argument dosad je pokazao da se selekcija preraspodijelila i da odgovornost iz toga ne ispada. Preostaje najteži dio, a to je pokazati da promijenjeni pojam nije samo stara riječ zalijepljena na novu pojavu. Pojmovi se u društvenim znanostima rijetko opovrgavaju izravno, ali se mogu ocijeniti prema tome što omogućuju, pa ovo poglavlje predlaže tri kriterija i zatim izriče što rad ne tvrdi.</w:t>
      </w:r>
    </w:p>
    <w:p w:rsidR="00A713DE" w:rsidRDefault="00A713DE" w:rsidP="00A713DE">
      <w:pPr>
        <w:pStyle w:val="Heading2"/>
      </w:pPr>
      <w:bookmarkStart w:id="17" w:name="_Toc239633907"/>
      <w:r>
        <w:t>5.1. Tri kriterija pojmovne održivosti</w:t>
      </w:r>
      <w:bookmarkEnd w:id="17"/>
    </w:p>
    <w:p w:rsidR="00A713DE" w:rsidRDefault="00A713DE" w:rsidP="00A713DE">
      <w:r>
        <w:t>Prvi je kriterij razlikovna moć, odnosno sposobnost pojma da razdvoji slučajeve koje bismo bez njega vidjeli kao iste. Raspodijeljeni gatekeeping to čini tako što odvaja objavljen a nevidljiv sadržaj od neobjavljenoga, a redakciju koja se prilagodila očekivanoj distribuciji od one koja nije. Bez toga pojma obje bi se razlike opisivale kao pitanje dosega, dakle kao mjerni, a ne kao uređivački problem. Provjera kriterija je jednostavna i može se izvesti bez podataka, jer treba pokazati par slučajeva koji su po starome opisu jednaki, a po novome nisu.</w:t>
      </w:r>
    </w:p>
    <w:p w:rsidR="00A713DE" w:rsidRDefault="00A713DE" w:rsidP="00A713DE">
      <w:r>
        <w:t>Uz razlikovnu moć ide zahtjev za izvedivošću obveze, budući da pojam koji imenuje odgovornost mora imati adresata koji tu odgovornost može ispuniti, inače proizvodi zahtjeve bez naslovnika. Raspodijeljeni gatekeeping taj uvjet zadovoljava jer obvezu veže uz vlastite kriterije redakcije, a ne uz ishod koji ona ne kontrolira, kako je pokazano u potpoglavlju 4.3. Suprotno tomu, formulacija prema kojoj odgovornost prelazi na sustav distribucije proizvodi adresata koji nema ni profesionalnu ulogu ni obvezu obrazlaganja, pa zahtjev ostaje bez učinka.</w:t>
      </w:r>
    </w:p>
    <w:p w:rsidR="00A713DE" w:rsidRDefault="00A713DE" w:rsidP="00A713DE">
      <w:r>
        <w:t>Ostaje pitanje kako se predloženi opis odnosi prema okviru koji već postoji, tim više što je nov pojam koji traži da se sve prethodno napusti skup i najčešće nepotreban. U analizi Wallacea (2018) selekcija se u digitalnome okruženju može opisati kao skup usporednih kanala bez odbacivanja klasične terminologije, a Thorson i Wells (2016) isto postižu razlikovanjem tokova kuracije. Raspodijeljeni gatekeeping se na oba naslanja i time zadržava kontinuitet s literaturom iz drugoga poglavlja, umjesto da ga prekida. Sličan je pojmovni prijedlog iznesen i u novijoj domaćoj literaturi (Marković, 2026), premda pod drukčijim nazivom i bez razrade normativnih posljedica. Tri kriterija i pitanje kojim se svaki od njih provjerava sažeti su u Tablici 3.</w:t>
      </w:r>
    </w:p>
    <w:p w:rsidR="00A713DE" w:rsidRDefault="00A713DE" w:rsidP="00A713DE">
      <w:r>
        <w:t xml:space="preserve">Kriterijima se može prigovoriti da su blagi, budući da ih predloženi pojam zadovoljava po konstrukciji. Prigovor je opravdan za treći kriterij, koji je namjerno konzervativan, ali ne i za </w:t>
      </w:r>
      <w:r>
        <w:lastRenderedPageBreak/>
        <w:t>prva dva. Pojam bi pao na prvome da nije uspio razdvojiti slučajeve koji se bez njega vide kao isti, a pao bi i na drugome da je obvezu vezao uz ishod umjesto uz kriterij. Da bi provjera bila poštena, kriterije treba primijeniti i na suparničku formulaciju, onu o nestanku vratara, i tada se pokazuje da ona pada na drugome kriteriju. Usporedba dviju formulacija postaje tako mjerljiva, a ne stvar sklonosti ili navike.</w:t>
      </w:r>
    </w:p>
    <w:p w:rsidR="00A713DE" w:rsidRDefault="00A713DE" w:rsidP="00A713DE">
      <w:r>
        <w:t>Kriteriji nisu jednako zahtjevni, i to treba priznati prije nego se na njih pozove zaključak. Prvi i treći provjeravaju se pojmovnom analizom, kakvu ovaj rad izvodi, dok drugi u konačnici traži empirijsku provjeru toga primjenjuje li ijedna redakcija obvezu koju pojam nalaže. Rad zato tvrdi samo to da je pojam održiv, a ne i da je već potvrđen. Razlika je važna jer određuje što bi bio sljedeći korak, a to nije daljnja rasprava o definiciji nego istraživanje uredničkih rutina u kojima se odluke o vidljivosti donose.</w:t>
      </w:r>
    </w:p>
    <w:p w:rsidR="00A713DE" w:rsidRDefault="00A713DE" w:rsidP="00A713DE">
      <w:pPr>
        <w:pStyle w:val="Heading2"/>
      </w:pPr>
      <w:bookmarkStart w:id="18" w:name="_Toc239633908"/>
      <w:r>
        <w:t>5.2. Ograničenja rasprave</w:t>
      </w:r>
      <w:bookmarkEnd w:id="18"/>
    </w:p>
    <w:p w:rsidR="00A713DE" w:rsidRDefault="00A713DE" w:rsidP="00A713DE">
      <w:r>
        <w:t>Prvo je ograničenje metodološko i proizlazi iz odabrane metode. Rad je pojmovni i pregledni, ne prikuplja vlastitu građu i ne mjeri nijednu redakcijsku praksu, pa svaka njegova tvrdnja o tome što uredništva čine ostaje na razini onoga što literatura već tvrdi. Rad zbog toga ne može procijeniti koliko je opisana preraspodjela raširena, ni razlikuje li se između vrsta medija, veličine redakcije ili nacionalnih konteksta. Tvrdnje o učestalosti u ovome tekstu zato nema, i njezin izostanak nije previd nego posljedica odabrane metode.</w:t>
      </w:r>
    </w:p>
    <w:p w:rsidR="00A713DE" w:rsidRDefault="00A713DE" w:rsidP="00A713DE">
      <w:r>
        <w:t>Doseg pojma je druga granica koju treba izreći, a povlači se po vrsti medija. Predloženi opis dobro pokriva medije koji objavljuju u okruženju posredovane distribucije, a slabije one kojima je publika izravna i mjerljiva bez posrednika, kao što su specijalizirani bilteni ili pretplatnički modeli bez otvorene distribucije. Za takve slučajeve klasični model ostaje točniji, što nije prigovor argumentu nego njegova granica. Pojam koji tvrdi da vrijedi svugdje najčešće ne objašnjava nigdje, pa je izricanje granice dio same tvrdnje.</w:t>
      </w:r>
    </w:p>
    <w:p w:rsidR="00A713DE" w:rsidRDefault="00A713DE" w:rsidP="00A713DE">
      <w:r>
        <w:t>Normativna granica tiče se adresata obveze i uža je nego što se iz teze može pretpostaviti. Rad brani stajalište da odgovornost ostaje na uredništvu, ali ne tvrdi da je ona ondje jedina niti da su ostali nositelji selekcije oslobođeni obveza. Pitanje obveza platformi i pravnoga okvira koji bi ih uređivao ostaje izvan opsega ove rasprave, i o njemu se ovdje ne donosi nikakav zaključak. Rad time zauzima uže stajalište nego što bi se iz njegove teze moglo pretpostaviti, i to namjerno.</w:t>
      </w:r>
    </w:p>
    <w:p w:rsidR="00A713DE" w:rsidRDefault="00A713DE" w:rsidP="00A713DE">
      <w:r>
        <w:lastRenderedPageBreak/>
        <w:t>Posljednja se granica odnosi na samu literaturu na koju se rad oslanja i na jezik u kojem je ta rasprava vođena. Pregled je usmjeren na engleskojezičnu raspravu o gatekeepingu i algoritamskoj distribuciji, uz manji broj priručnika na hrvatskome jeziku, pa ne obuhvaća rasprave vođene u drugim jezičnim i istraživačkim tradicijama. Predloženi bi se pojam zato trebao provjeriti i pred literaturom koja selekciju opisuje drugim rječnikom, prije nego se proglasi općenitim. Rad se zato drži tvrdnje o održivosti, koja podnosi kasniju dopunu, umjesto tvrdnje o ispravnosti, koja bi je isključivala.</w:t>
      </w:r>
    </w:p>
    <w:p w:rsidR="00A713DE" w:rsidRDefault="00A713DE" w:rsidP="00A713DE">
      <w:pPr>
        <w:pStyle w:val="Heading1"/>
      </w:pPr>
      <w:bookmarkStart w:id="19" w:name="_Toc239633909"/>
      <w:r>
        <w:t>6. Zaključak</w:t>
      </w:r>
      <w:bookmarkEnd w:id="19"/>
    </w:p>
    <w:p w:rsidR="00A713DE" w:rsidRDefault="00A713DE" w:rsidP="00A713DE">
      <w:r>
        <w:t>Selekcija u digitalnome novinarstvu nije ukinuta nego preraspodijeljena, i to je izravan odgovor na pitanje postavljeno u uvodu. Mjesto odluke pomaknulo se s ulaza u javnu sferu na vidljivost unutar nje, i pitanje što uopće postoji zamijenilo je pitanje što se susreće. Rad je pokazao da klasična formulacija gatekeepinga počiva na tri uvjeta. Prva su dva u digitalnome okruženju prestala vrijediti, a treći se zakomplicirao, i odatle ne slijedi napuštanje pojma nego promjena njegove referentne točke.</w:t>
      </w:r>
    </w:p>
    <w:p w:rsidR="00A713DE" w:rsidRDefault="00A713DE" w:rsidP="00A713DE">
      <w:r>
        <w:t>Iz promjene referentne točke slijedi normativni zaključak koji je jezgra ovoga rada. Odgovornost uredništva ne slabi zato što je između objave i publike nastao još jedan sloj, jer se odgovornost u profesijama ne izvodi iz tehničkoga udjela u odluci nego iz preuzete uloge. Ono što se mijenja jest predmet te odgovornosti, pa uredništvo odgovara i za pretpostavke o vidljivosti koje pri objavi ugrađuje, a ne samo za sadržaj koji objavljuje. Zahtjev koji iz toga slijedi je izvediv jer se odnosi na vlastite kriterije redakcije, dakle na ono što joj je u cijelosti dostupno.</w:t>
      </w:r>
    </w:p>
    <w:p w:rsidR="00A713DE" w:rsidRDefault="00A713DE" w:rsidP="00A713DE">
      <w:r>
        <w:t>Prigovor prema kojem selekciju danas obavlja infrastruktura, a urednička je odgovornost time postala simbolična, rad je uzeo ozbiljno i odbio ga s dva razloga. Prvi je da algoritamski sloj obrađuje ono što mu je uredništvo predalo, pa naslov, okvir i vrijeme objave ostaju uzvodne odluke koje djeluju kroz sve kasnije slojeve. Drugi je da je prilagodba proizvodnje očekivanoj distribuciji sama urednička odluka, pa se njome odgovornost ne uklanja nego potvrđuje.</w:t>
      </w:r>
    </w:p>
    <w:p w:rsidR="00A713DE" w:rsidRDefault="00A713DE" w:rsidP="00A713DE">
      <w:r>
        <w:t>Za novinarsku struku iz svega slijedi jedan praktičan zaključak o adresatu prigovora. Rasprava o tome tko je kriv kada javnost nešto ne vidi ne rješava se pripisivanjem krivnje sloju koji je odluku tehnički izveo, nego razlaganjem lanca na točke u kojima je netko imao izbor. Uredništvo je u tome lancu jedini sudionik koji je javno preuzeo ulogu prosuditelja važnosti. Od njega se zato to razlaganje smije zahtijevati kao obveza, a ne kao dobra volja.</w:t>
      </w:r>
    </w:p>
    <w:p w:rsidR="00A713DE" w:rsidRDefault="00A713DE" w:rsidP="00A713DE">
      <w:r>
        <w:lastRenderedPageBreak/>
        <w:t>Rad je istodobno izrekao svoje granice, počevši od toga da je tvrdnja pojmovna, a ne empirijska, i da zato ne govori koliko je opisana preraspodjela raširena. Predloženi pojam uz to bolje opisuje medije s posredovanom distribucijom nego one s izravnom publikom, a obveze ostalih nositelja selekcije ostaju izvan njegova opsega. Sljedeći korak koji iz svega slijedi nije daljnje preciziranje definicije nego istraživanje uredničkih rutina u kojima se odluke o vidljivosti stvarno donose. Tek se ondje može provjeriti drugi od tri kriterija predložena u petome poglavlju.</w:t>
      </w:r>
    </w:p>
    <w:p w:rsidR="00A713DE" w:rsidRDefault="00A713DE" w:rsidP="00A713DE">
      <w:r>
        <w:t>Tablica 1. Klasični i raspodijeljeni gatekeeping po četiri obilježja (autorova sinteza)</w:t>
      </w:r>
    </w:p>
    <w:tbl>
      <w:tblPr>
        <w:tblW w:w="0" w:type="auto"/>
        <w:tblLayout w:type="fixed"/>
        <w:tblLook w:val="0000" w:firstRow="0" w:lastRow="0" w:firstColumn="0" w:lastColumn="0" w:noHBand="0" w:noVBand="0"/>
      </w:tblPr>
      <w:tblGrid>
        <w:gridCol w:w="3096"/>
        <w:gridCol w:w="3096"/>
        <w:gridCol w:w="3096"/>
      </w:tblGrid>
      <w:tr w:rsidR="00A713DE">
        <w:tblPrEx>
          <w:tblCellMar>
            <w:top w:w="0" w:type="dxa"/>
            <w:bottom w:w="0" w:type="dxa"/>
          </w:tblCellMar>
        </w:tblPrEx>
        <w:tc>
          <w:tcPr>
            <w:tcW w:w="3096" w:type="dxa"/>
          </w:tcPr>
          <w:p w:rsidR="00A713DE" w:rsidRDefault="00A713DE" w:rsidP="00A713DE">
            <w:r>
              <w:t>Obilježje</w:t>
            </w:r>
          </w:p>
        </w:tc>
        <w:tc>
          <w:tcPr>
            <w:tcW w:w="3096" w:type="dxa"/>
          </w:tcPr>
          <w:p w:rsidR="00A713DE" w:rsidRDefault="00A713DE" w:rsidP="00A713DE">
            <w:r>
              <w:t>Klasični model</w:t>
            </w:r>
          </w:p>
        </w:tc>
        <w:tc>
          <w:tcPr>
            <w:tcW w:w="3096" w:type="dxa"/>
          </w:tcPr>
          <w:p w:rsidR="00A713DE" w:rsidRDefault="00A713DE" w:rsidP="00A713DE">
            <w:r>
              <w:t>Raspodijeljeni model</w:t>
            </w:r>
          </w:p>
        </w:tc>
      </w:tr>
      <w:tr w:rsidR="00A713DE">
        <w:tblPrEx>
          <w:tblCellMar>
            <w:top w:w="0" w:type="dxa"/>
            <w:bottom w:w="0" w:type="dxa"/>
          </w:tblCellMar>
        </w:tblPrEx>
        <w:tc>
          <w:tcPr>
            <w:tcW w:w="3096" w:type="dxa"/>
          </w:tcPr>
          <w:p w:rsidR="00A713DE" w:rsidRDefault="00A713DE" w:rsidP="00A713DE">
            <w:r>
              <w:t>Predmet odluke</w:t>
            </w:r>
          </w:p>
        </w:tc>
        <w:tc>
          <w:tcPr>
            <w:tcW w:w="3096" w:type="dxa"/>
          </w:tcPr>
          <w:p w:rsidR="00A713DE" w:rsidRDefault="00A713DE" w:rsidP="00A713DE">
            <w:r>
              <w:t>ulazak u javnu sferu</w:t>
            </w:r>
          </w:p>
        </w:tc>
        <w:tc>
          <w:tcPr>
            <w:tcW w:w="3096" w:type="dxa"/>
          </w:tcPr>
          <w:p w:rsidR="00A713DE" w:rsidRDefault="00A713DE" w:rsidP="00A713DE">
            <w:r>
              <w:t>vidljivost unutar javne sfere</w:t>
            </w:r>
          </w:p>
        </w:tc>
      </w:tr>
      <w:tr w:rsidR="00A713DE">
        <w:tblPrEx>
          <w:tblCellMar>
            <w:top w:w="0" w:type="dxa"/>
            <w:bottom w:w="0" w:type="dxa"/>
          </w:tblCellMar>
        </w:tblPrEx>
        <w:tc>
          <w:tcPr>
            <w:tcW w:w="3096" w:type="dxa"/>
          </w:tcPr>
          <w:p w:rsidR="00A713DE" w:rsidRDefault="00A713DE" w:rsidP="00A713DE">
            <w:r>
              <w:t>Nositelj selekcije</w:t>
            </w:r>
          </w:p>
        </w:tc>
        <w:tc>
          <w:tcPr>
            <w:tcW w:w="3096" w:type="dxa"/>
          </w:tcPr>
          <w:p w:rsidR="00A713DE" w:rsidRDefault="00A713DE" w:rsidP="00A713DE">
            <w:r>
              <w:t>uredništvo</w:t>
            </w:r>
          </w:p>
        </w:tc>
        <w:tc>
          <w:tcPr>
            <w:tcW w:w="3096" w:type="dxa"/>
          </w:tcPr>
          <w:p w:rsidR="00A713DE" w:rsidRDefault="00A713DE" w:rsidP="00A713DE">
            <w:r>
              <w:t>uredništvo, sustav distribucije i publika</w:t>
            </w:r>
          </w:p>
        </w:tc>
      </w:tr>
      <w:tr w:rsidR="00A713DE">
        <w:tblPrEx>
          <w:tblCellMar>
            <w:top w:w="0" w:type="dxa"/>
            <w:bottom w:w="0" w:type="dxa"/>
          </w:tblCellMar>
        </w:tblPrEx>
        <w:tc>
          <w:tcPr>
            <w:tcW w:w="3096" w:type="dxa"/>
          </w:tcPr>
          <w:p w:rsidR="00A713DE" w:rsidRDefault="00A713DE" w:rsidP="00A713DE">
            <w:r>
              <w:t>Trenutak odluke</w:t>
            </w:r>
          </w:p>
        </w:tc>
        <w:tc>
          <w:tcPr>
            <w:tcW w:w="3096" w:type="dxa"/>
          </w:tcPr>
          <w:p w:rsidR="00A713DE" w:rsidRDefault="00A713DE" w:rsidP="00A713DE">
            <w:r>
              <w:t>jedan, prije objave</w:t>
            </w:r>
          </w:p>
        </w:tc>
        <w:tc>
          <w:tcPr>
            <w:tcW w:w="3096" w:type="dxa"/>
          </w:tcPr>
          <w:p w:rsidR="00A713DE" w:rsidRDefault="00A713DE" w:rsidP="00A713DE">
            <w:r>
              <w:t>više njih, prije i poslije objave</w:t>
            </w:r>
          </w:p>
        </w:tc>
      </w:tr>
      <w:tr w:rsidR="00A713DE">
        <w:tblPrEx>
          <w:tblCellMar>
            <w:top w:w="0" w:type="dxa"/>
            <w:bottom w:w="0" w:type="dxa"/>
          </w:tblCellMar>
        </w:tblPrEx>
        <w:tc>
          <w:tcPr>
            <w:tcW w:w="3096" w:type="dxa"/>
          </w:tcPr>
          <w:p w:rsidR="00A713DE" w:rsidRDefault="00A713DE" w:rsidP="00A713DE">
            <w:r>
              <w:t>Kriteriji</w:t>
            </w:r>
          </w:p>
        </w:tc>
        <w:tc>
          <w:tcPr>
            <w:tcW w:w="3096" w:type="dxa"/>
          </w:tcPr>
          <w:p w:rsidR="00A713DE" w:rsidRDefault="00A713DE" w:rsidP="00A713DE">
            <w:r>
              <w:t>profesionalno obrazloživi</w:t>
            </w:r>
          </w:p>
        </w:tc>
        <w:tc>
          <w:tcPr>
            <w:tcW w:w="3096" w:type="dxa"/>
          </w:tcPr>
          <w:p w:rsidR="00A713DE" w:rsidRDefault="00A713DE" w:rsidP="00A713DE">
            <w:r>
              <w:t>djelomično neprozirni</w:t>
            </w:r>
          </w:p>
        </w:tc>
      </w:tr>
    </w:tbl>
    <w:p w:rsidR="00A713DE" w:rsidRDefault="00A713DE" w:rsidP="00A713DE">
      <w:r>
        <w:rPr>
          <w:rStyle w:val="FootnoteReference"/>
        </w:rPr>
        <w:footnoteReference w:id="1"/>
      </w:r>
      <w:r>
        <w:rPr>
          <w:rStyle w:val="FootnoteReference"/>
        </w:rPr>
        <w:footnoteReference w:id="2"/>
      </w:r>
      <w:r>
        <w:rPr>
          <w:rStyle w:val="FootnoteReference"/>
        </w:rPr>
        <w:footnoteReference w:id="3"/>
      </w:r>
    </w:p>
    <w:p w:rsidR="00A713DE" w:rsidRDefault="00A713DE" w:rsidP="00A713DE">
      <w:r>
        <w:t>Izvor: Izrada autora.</w:t>
      </w:r>
    </w:p>
    <w:p w:rsidR="00A713DE" w:rsidRDefault="00A713DE" w:rsidP="00A713DE">
      <w:r>
        <w:t>Tablica 2. Razine selekcije, nositelji i vrsta odluke (autorova sinteza)</w:t>
      </w:r>
    </w:p>
    <w:tbl>
      <w:tblPr>
        <w:tblW w:w="0" w:type="auto"/>
        <w:tblLayout w:type="fixed"/>
        <w:tblLook w:val="0000" w:firstRow="0" w:lastRow="0" w:firstColumn="0" w:lastColumn="0" w:noHBand="0" w:noVBand="0"/>
      </w:tblPr>
      <w:tblGrid>
        <w:gridCol w:w="3096"/>
        <w:gridCol w:w="3096"/>
        <w:gridCol w:w="3096"/>
      </w:tblGrid>
      <w:tr w:rsidR="00A713DE">
        <w:tblPrEx>
          <w:tblCellMar>
            <w:top w:w="0" w:type="dxa"/>
            <w:bottom w:w="0" w:type="dxa"/>
          </w:tblCellMar>
        </w:tblPrEx>
        <w:tc>
          <w:tcPr>
            <w:tcW w:w="3096" w:type="dxa"/>
          </w:tcPr>
          <w:p w:rsidR="00A713DE" w:rsidRDefault="00A713DE" w:rsidP="00A713DE">
            <w:r>
              <w:t>Razina</w:t>
            </w:r>
          </w:p>
        </w:tc>
        <w:tc>
          <w:tcPr>
            <w:tcW w:w="3096" w:type="dxa"/>
          </w:tcPr>
          <w:p w:rsidR="00A713DE" w:rsidRDefault="00A713DE" w:rsidP="00A713DE">
            <w:r>
              <w:t>Nositelj</w:t>
            </w:r>
          </w:p>
        </w:tc>
        <w:tc>
          <w:tcPr>
            <w:tcW w:w="3096" w:type="dxa"/>
          </w:tcPr>
          <w:p w:rsidR="00A713DE" w:rsidRDefault="00A713DE" w:rsidP="00A713DE">
            <w:r>
              <w:t>Vrsta odluke</w:t>
            </w:r>
          </w:p>
        </w:tc>
      </w:tr>
      <w:tr w:rsidR="00A713DE">
        <w:tblPrEx>
          <w:tblCellMar>
            <w:top w:w="0" w:type="dxa"/>
            <w:bottom w:w="0" w:type="dxa"/>
          </w:tblCellMar>
        </w:tblPrEx>
        <w:tc>
          <w:tcPr>
            <w:tcW w:w="3096" w:type="dxa"/>
          </w:tcPr>
          <w:p w:rsidR="00A713DE" w:rsidRDefault="00A713DE" w:rsidP="00A713DE">
            <w:r>
              <w:t>Proizvodnja i objava</w:t>
            </w:r>
          </w:p>
        </w:tc>
        <w:tc>
          <w:tcPr>
            <w:tcW w:w="3096" w:type="dxa"/>
          </w:tcPr>
          <w:p w:rsidR="00A713DE" w:rsidRDefault="00A713DE" w:rsidP="00A713DE">
            <w:r>
              <w:t>uredništvo</w:t>
            </w:r>
          </w:p>
        </w:tc>
        <w:tc>
          <w:tcPr>
            <w:tcW w:w="3096" w:type="dxa"/>
          </w:tcPr>
          <w:p w:rsidR="00A713DE" w:rsidRDefault="00A713DE" w:rsidP="00A713DE">
            <w:r>
              <w:t>što će postojati i pod kojim naslovom</w:t>
            </w:r>
          </w:p>
        </w:tc>
      </w:tr>
      <w:tr w:rsidR="00A713DE">
        <w:tblPrEx>
          <w:tblCellMar>
            <w:top w:w="0" w:type="dxa"/>
            <w:bottom w:w="0" w:type="dxa"/>
          </w:tblCellMar>
        </w:tblPrEx>
        <w:tc>
          <w:tcPr>
            <w:tcW w:w="3096" w:type="dxa"/>
          </w:tcPr>
          <w:p w:rsidR="00A713DE" w:rsidRDefault="00A713DE" w:rsidP="00A713DE">
            <w:r>
              <w:t>Distribucija i rangiranje</w:t>
            </w:r>
          </w:p>
        </w:tc>
        <w:tc>
          <w:tcPr>
            <w:tcW w:w="3096" w:type="dxa"/>
          </w:tcPr>
          <w:p w:rsidR="00A713DE" w:rsidRDefault="00A713DE" w:rsidP="00A713DE">
            <w:r>
              <w:t>sustav distribucije</w:t>
            </w:r>
          </w:p>
        </w:tc>
        <w:tc>
          <w:tcPr>
            <w:tcW w:w="3096" w:type="dxa"/>
          </w:tcPr>
          <w:p w:rsidR="00A713DE" w:rsidRDefault="00A713DE" w:rsidP="00A713DE">
            <w:r>
              <w:t>što će biti istaknuto i komu</w:t>
            </w:r>
          </w:p>
        </w:tc>
      </w:tr>
      <w:tr w:rsidR="00A713DE">
        <w:tblPrEx>
          <w:tblCellMar>
            <w:top w:w="0" w:type="dxa"/>
            <w:bottom w:w="0" w:type="dxa"/>
          </w:tblCellMar>
        </w:tblPrEx>
        <w:tc>
          <w:tcPr>
            <w:tcW w:w="3096" w:type="dxa"/>
          </w:tcPr>
          <w:p w:rsidR="00A713DE" w:rsidRDefault="00A713DE" w:rsidP="00A713DE">
            <w:r>
              <w:t>Preraspodjela pažnje</w:t>
            </w:r>
          </w:p>
        </w:tc>
        <w:tc>
          <w:tcPr>
            <w:tcW w:w="3096" w:type="dxa"/>
          </w:tcPr>
          <w:p w:rsidR="00A713DE" w:rsidRDefault="00A713DE" w:rsidP="00A713DE">
            <w:r>
              <w:t>publika</w:t>
            </w:r>
          </w:p>
        </w:tc>
        <w:tc>
          <w:tcPr>
            <w:tcW w:w="3096" w:type="dxa"/>
          </w:tcPr>
          <w:p w:rsidR="00A713DE" w:rsidRDefault="00A713DE" w:rsidP="00A713DE">
            <w:r>
              <w:t>što će biti proslijeđeno dalje</w:t>
            </w:r>
          </w:p>
        </w:tc>
      </w:tr>
    </w:tbl>
    <w:p w:rsidR="00A713DE" w:rsidRDefault="00A713DE" w:rsidP="00A713DE"/>
    <w:p w:rsidR="00A713DE" w:rsidRDefault="00A713DE" w:rsidP="00A713DE">
      <w:r>
        <w:t>Izvor: Izrada autora.</w:t>
      </w:r>
    </w:p>
    <w:p w:rsidR="00A713DE" w:rsidRDefault="00A713DE" w:rsidP="00A713DE">
      <w:r>
        <w:t>Tablica 3. Tri kriterija pojmovne održivosti i pitanje kojim se provjeravaju (autorova sinteza)</w:t>
      </w:r>
    </w:p>
    <w:tbl>
      <w:tblPr>
        <w:tblW w:w="0" w:type="auto"/>
        <w:tblLayout w:type="fixed"/>
        <w:tblLook w:val="0000" w:firstRow="0" w:lastRow="0" w:firstColumn="0" w:lastColumn="0" w:noHBand="0" w:noVBand="0"/>
      </w:tblPr>
      <w:tblGrid>
        <w:gridCol w:w="4644"/>
        <w:gridCol w:w="4644"/>
      </w:tblGrid>
      <w:tr w:rsidR="00A713DE">
        <w:tblPrEx>
          <w:tblCellMar>
            <w:top w:w="0" w:type="dxa"/>
            <w:bottom w:w="0" w:type="dxa"/>
          </w:tblCellMar>
        </w:tblPrEx>
        <w:tc>
          <w:tcPr>
            <w:tcW w:w="4644" w:type="dxa"/>
          </w:tcPr>
          <w:p w:rsidR="00A713DE" w:rsidRDefault="00A713DE" w:rsidP="00A713DE">
            <w:r>
              <w:t>Kriterij</w:t>
            </w:r>
          </w:p>
        </w:tc>
        <w:tc>
          <w:tcPr>
            <w:tcW w:w="4644" w:type="dxa"/>
          </w:tcPr>
          <w:p w:rsidR="00A713DE" w:rsidRDefault="00A713DE" w:rsidP="00A713DE">
            <w:r>
              <w:t>Pitanje provjere</w:t>
            </w:r>
          </w:p>
        </w:tc>
      </w:tr>
      <w:tr w:rsidR="00A713DE">
        <w:tblPrEx>
          <w:tblCellMar>
            <w:top w:w="0" w:type="dxa"/>
            <w:bottom w:w="0" w:type="dxa"/>
          </w:tblCellMar>
        </w:tblPrEx>
        <w:tc>
          <w:tcPr>
            <w:tcW w:w="4644" w:type="dxa"/>
          </w:tcPr>
          <w:p w:rsidR="00A713DE" w:rsidRDefault="00A713DE" w:rsidP="00A713DE">
            <w:r>
              <w:t>Razlikovna moć</w:t>
            </w:r>
          </w:p>
        </w:tc>
        <w:tc>
          <w:tcPr>
            <w:tcW w:w="4644" w:type="dxa"/>
          </w:tcPr>
          <w:p w:rsidR="00A713DE" w:rsidRDefault="00A713DE" w:rsidP="00A713DE">
            <w:r>
              <w:t>postoji li par slučajeva koji su po starome opisu jednaki, a po novome nisu</w:t>
            </w:r>
          </w:p>
        </w:tc>
      </w:tr>
      <w:tr w:rsidR="00A713DE">
        <w:tblPrEx>
          <w:tblCellMar>
            <w:top w:w="0" w:type="dxa"/>
            <w:bottom w:w="0" w:type="dxa"/>
          </w:tblCellMar>
        </w:tblPrEx>
        <w:tc>
          <w:tcPr>
            <w:tcW w:w="4644" w:type="dxa"/>
          </w:tcPr>
          <w:p w:rsidR="00A713DE" w:rsidRDefault="00A713DE" w:rsidP="00A713DE">
            <w:r>
              <w:t>Izvedivost obveze</w:t>
            </w:r>
          </w:p>
        </w:tc>
        <w:tc>
          <w:tcPr>
            <w:tcW w:w="4644" w:type="dxa"/>
          </w:tcPr>
          <w:p w:rsidR="00A713DE" w:rsidRDefault="00A713DE" w:rsidP="00A713DE">
            <w:r>
              <w:t>može li imenovani adresat obvezu doista ispuniti</w:t>
            </w:r>
          </w:p>
        </w:tc>
      </w:tr>
      <w:tr w:rsidR="00A713DE">
        <w:tblPrEx>
          <w:tblCellMar>
            <w:top w:w="0" w:type="dxa"/>
            <w:bottom w:w="0" w:type="dxa"/>
          </w:tblCellMar>
        </w:tblPrEx>
        <w:tc>
          <w:tcPr>
            <w:tcW w:w="4644" w:type="dxa"/>
          </w:tcPr>
          <w:p w:rsidR="00A713DE" w:rsidRDefault="00A713DE" w:rsidP="00A713DE">
            <w:r>
              <w:t>Povezivost s okvirom</w:t>
            </w:r>
          </w:p>
        </w:tc>
        <w:tc>
          <w:tcPr>
            <w:tcW w:w="4644" w:type="dxa"/>
          </w:tcPr>
          <w:p w:rsidR="00A713DE" w:rsidRDefault="00A713DE" w:rsidP="00A713DE">
            <w:r>
              <w:t>zadržava li pojam terminologiju koja je već u uporabi</w:t>
            </w:r>
          </w:p>
        </w:tc>
      </w:tr>
    </w:tbl>
    <w:p w:rsidR="00A713DE" w:rsidRDefault="00A713DE" w:rsidP="00A713DE"/>
    <w:p w:rsidR="00A713DE" w:rsidRDefault="00A713DE" w:rsidP="00A713DE">
      <w:r>
        <w:t>Izvor: Izrada autora.</w:t>
      </w:r>
    </w:p>
    <w:p w:rsidR="00A713DE" w:rsidRDefault="00A713DE" w:rsidP="00A713DE">
      <w:r>
        <w:rPr>
          <w:noProof/>
        </w:rPr>
        <w:drawing>
          <wp:inline distT="0" distB="0" distL="0" distR="0">
            <wp:extent cx="1524213" cy="952633"/>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A713DE" w:rsidRDefault="00A713DE" w:rsidP="00A713DE">
      <w:r>
        <w:t>Slika 1. Klasični model vratara s jednom točkom odluke u lancu prema publici</w:t>
      </w:r>
    </w:p>
    <w:p w:rsidR="00A713DE" w:rsidRDefault="00A713DE" w:rsidP="00A713DE">
      <w:r>
        <w:t>Izvor: Izrada autora.</w:t>
      </w:r>
    </w:p>
    <w:p w:rsidR="00A713DE" w:rsidRDefault="00A713DE" w:rsidP="00A713DE">
      <w:r>
        <w:rPr>
          <w:noProof/>
        </w:rPr>
        <w:drawing>
          <wp:inline distT="0" distB="0" distL="0" distR="0">
            <wp:extent cx="1524213" cy="952633"/>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A713DE" w:rsidRDefault="00A713DE" w:rsidP="00A713DE">
      <w:r>
        <w:t>Slika 2. Slojevi selekcije u digitalnome lancu objave</w:t>
      </w:r>
    </w:p>
    <w:p w:rsidR="00A713DE" w:rsidRDefault="00A713DE" w:rsidP="00A713DE">
      <w:r>
        <w:t>Izvor: Izrada autora.</w:t>
      </w:r>
    </w:p>
    <w:p w:rsidR="00A713DE" w:rsidRDefault="00A713DE" w:rsidP="00A713DE">
      <w:r>
        <w:rPr>
          <w:noProof/>
        </w:rPr>
        <w:lastRenderedPageBreak/>
        <w:drawing>
          <wp:inline distT="0" distB="0" distL="0" distR="0">
            <wp:extent cx="1524213" cy="952633"/>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24213" cy="952633"/>
                    </a:xfrm>
                    <a:prstGeom prst="rect">
                      <a:avLst/>
                    </a:prstGeom>
                  </pic:spPr>
                </pic:pic>
              </a:graphicData>
            </a:graphic>
          </wp:inline>
        </w:drawing>
      </w:r>
    </w:p>
    <w:p w:rsidR="00A713DE" w:rsidRDefault="00A713DE" w:rsidP="00A713DE">
      <w:r>
        <w:t>Slika 3. Petlja povratne informacije između mjerenja pažnje i uredničke odluke</w:t>
      </w:r>
    </w:p>
    <w:p w:rsidR="00A713DE" w:rsidRDefault="00A713DE" w:rsidP="00A713DE">
      <w:r>
        <w:t>Izvor: Izrada autora.</w:t>
      </w:r>
    </w:p>
    <w:p w:rsidR="00A713DE" w:rsidRDefault="00A713DE" w:rsidP="00A713DE">
      <w:pPr>
        <w:pStyle w:val="Heading1"/>
      </w:pPr>
      <w:bookmarkStart w:id="20" w:name="_Toc239633910"/>
      <w:r>
        <w:t>Popis tablica</w:t>
      </w:r>
      <w:bookmarkEnd w:id="20"/>
    </w:p>
    <w:p w:rsidR="00A713DE" w:rsidRDefault="00A713DE" w:rsidP="00A713DE">
      <w:r>
        <w:t>Tablica 1. Klasični i raspodijeljeni gatekeeping po četiri obilježja (autorova sinteza)</w:t>
      </w:r>
    </w:p>
    <w:p w:rsidR="00A713DE" w:rsidRDefault="00A713DE" w:rsidP="00A713DE">
      <w:r>
        <w:t>Tablica 2. Razine selekcije, nositelji i vrsta odluke (autorova sinteza)</w:t>
      </w:r>
    </w:p>
    <w:p w:rsidR="00A713DE" w:rsidRDefault="00A713DE" w:rsidP="00A713DE">
      <w:r>
        <w:t>Tablica 3. Tri kriterija pojmovne održivosti i pitanje kojim se provjeravaju (autorova sinteza)</w:t>
      </w:r>
    </w:p>
    <w:p w:rsidR="00A713DE" w:rsidRDefault="00A713DE" w:rsidP="00A713DE">
      <w:pPr>
        <w:pStyle w:val="Heading1"/>
      </w:pPr>
      <w:bookmarkStart w:id="21" w:name="_Toc239633911"/>
      <w:r>
        <w:t>Popis slika</w:t>
      </w:r>
      <w:bookmarkEnd w:id="21"/>
    </w:p>
    <w:p w:rsidR="00A713DE" w:rsidRDefault="00A713DE" w:rsidP="00A713DE">
      <w:r>
        <w:t>Slika 1. Klasični model vratara s jednom točkom odluke u lancu prema publici</w:t>
      </w:r>
    </w:p>
    <w:p w:rsidR="00A713DE" w:rsidRDefault="00A713DE" w:rsidP="00A713DE">
      <w:r>
        <w:t>Slika 2. Slojevi selekcije u digitalnome lancu objave</w:t>
      </w:r>
    </w:p>
    <w:p w:rsidR="00A713DE" w:rsidRDefault="00A713DE" w:rsidP="00A713DE">
      <w:r>
        <w:t>Slika 3. Petlja povratne informacije između mjerenja pažnje i uredničke odluke</w:t>
      </w:r>
    </w:p>
    <w:p w:rsidR="00A713DE" w:rsidRDefault="00A713DE" w:rsidP="00A713DE">
      <w:pPr>
        <w:pStyle w:val="Heading1"/>
      </w:pPr>
      <w:bookmarkStart w:id="22" w:name="_Toc239633912"/>
      <w:r>
        <w:t>Literatura</w:t>
      </w:r>
      <w:bookmarkEnd w:id="22"/>
    </w:p>
    <w:p w:rsidR="00A713DE" w:rsidRDefault="00A713DE" w:rsidP="00A713DE">
      <w:r>
        <w:t>1. Bell, E. i Owen, T. (2017). The platform press: How Silicon Valley reengineered journalism. New York: Tow Center for Digital Journalism.</w:t>
      </w:r>
    </w:p>
    <w:p w:rsidR="00A713DE" w:rsidRDefault="00A713DE" w:rsidP="00A713DE">
      <w:r>
        <w:t>2. Bruns, A. (2005). Gatewatching: Collaborative online news production. New York: Peter Lang.</w:t>
      </w:r>
    </w:p>
    <w:p w:rsidR="00A713DE" w:rsidRDefault="00A713DE" w:rsidP="00A713DE">
      <w:r>
        <w:t>3. Carlson, M. (2017). Journalistic authority: Legitimating news in the digital era. New York: Columbia University Press.</w:t>
      </w:r>
    </w:p>
    <w:p w:rsidR="00A713DE" w:rsidRDefault="00A713DE" w:rsidP="00A713DE">
      <w:r>
        <w:t>4. Deuze, M. i Witschge, T. (2018). Beyond journalism: Theorizing the transformation of journalism. Journalism, 19(2), 165-181. https://doi.org/10.1177/1464884916688550</w:t>
      </w:r>
    </w:p>
    <w:p w:rsidR="00A713DE" w:rsidRDefault="00A713DE" w:rsidP="00A713DE">
      <w:r>
        <w:t>5. Galtung, J. i Ruge, M. H. (1965). The structure of foreign news. Journal of Peace Research, 2(1), 64-91.</w:t>
      </w:r>
    </w:p>
    <w:p w:rsidR="00A713DE" w:rsidRDefault="00A713DE" w:rsidP="00A713DE">
      <w:r>
        <w:lastRenderedPageBreak/>
        <w:t>6. Gans, H. J. (1979). Deciding what's news. New York: Pantheon Books.</w:t>
      </w:r>
    </w:p>
    <w:p w:rsidR="00A713DE" w:rsidRDefault="00A713DE" w:rsidP="00A713DE">
      <w:r>
        <w:t>7. Gillespie, T. (2014). The relevance of algorithms. U: Gillespie, T., Boczkowski, P. J. i Foot, K. A. (ur.), Media technologies. Cambridge: MIT Press, 167-194.</w:t>
      </w:r>
    </w:p>
    <w:p w:rsidR="00A713DE" w:rsidRDefault="00A713DE" w:rsidP="00A713DE">
      <w:r>
        <w:t>8. Kunczik, M. i Zipfel, A. (2006). Uvod u znanost o medijima i komunikologiju. Zagreb: Zaklada Friedrich Ebert.</w:t>
      </w:r>
    </w:p>
    <w:p w:rsidR="00A713DE" w:rsidRDefault="00A713DE" w:rsidP="00A713DE">
      <w:r>
        <w:t>9. Lewin, K. (1947). Frontiers in group dynamics II. Human Relations, 1(2), 143-153.</w:t>
      </w:r>
    </w:p>
    <w:p w:rsidR="00A713DE" w:rsidRDefault="00A713DE" w:rsidP="00A713DE">
      <w:r>
        <w:t>10. Malović, S. (2005). Osnove novinarstva. Zagreb: Golden marketing i Tehnička knjiga.</w:t>
      </w:r>
    </w:p>
    <w:p w:rsidR="00A713DE" w:rsidRDefault="00A713DE" w:rsidP="00A713DE">
      <w:r>
        <w:t>11. Marković, D. (2026). Raspodijeljeni gatekeeping: pojmovni okvir za digitalna uredništva. Zagreb: Naklada Prijelaz. https://doi.org/10.9999/izmisljeni.2026.001</w:t>
      </w:r>
    </w:p>
    <w:p w:rsidR="00A713DE" w:rsidRDefault="00A713DE" w:rsidP="00A713DE">
      <w:r>
        <w:t>12. Napoli, P. M. (2019). Social media and the public interest: Media regulation in the disinformation age. New York: Columbia University Press.</w:t>
      </w:r>
    </w:p>
    <w:p w:rsidR="00A713DE" w:rsidRDefault="00A713DE" w:rsidP="00A713DE">
      <w:r>
        <w:t>13. Shoemaker, P. J. i Vos, T. P. (2009). Gatekeeping theory. New York: Routledge.</w:t>
      </w:r>
    </w:p>
    <w:p w:rsidR="00A713DE" w:rsidRDefault="00A713DE" w:rsidP="00A713DE">
      <w:r>
        <w:t>14. Singer, J. B. (2014). User-generated visibility: Secondary gatekeeping in a shared media space. New Media and Society, 16(1), 55-73. https://doi.org/10.1177/1461444813477833</w:t>
      </w:r>
    </w:p>
    <w:p w:rsidR="00A713DE" w:rsidRDefault="00A713DE" w:rsidP="00A713DE">
      <w:r>
        <w:t>15. Thorson, K. i Wells, C. (2016). Curated flows: A framework for mapping media exposure in the digital age. Communication Theory, 26(3), 309-328. https://doi.org/10.1111/comt.12087</w:t>
      </w:r>
    </w:p>
    <w:p w:rsidR="00A713DE" w:rsidRDefault="00A713DE" w:rsidP="00A713DE">
      <w:r>
        <w:t>16. Tuchman, G. (1978). Making news: A study in the construction of reality. New York: Free Press.</w:t>
      </w:r>
    </w:p>
    <w:p w:rsidR="00A713DE" w:rsidRDefault="00A713DE" w:rsidP="00A713DE">
      <w:r>
        <w:t>17. Wallace, J. (2018). Modelling contemporary gatekeeping. Digital Journalism, 6(3), 274-293. https://doi.org/10.1080/21670811.2017.1343648</w:t>
      </w:r>
    </w:p>
    <w:p w:rsidR="00A713DE" w:rsidRDefault="00A713DE" w:rsidP="00A713DE">
      <w:r>
        <w:t>18. White, D. M. (1950). The gate keeper: A case study in the selection of news. Journalism Quarterly, 27(4), 383-390.</w:t>
      </w:r>
    </w:p>
    <w:p w:rsidR="00A713DE" w:rsidRPr="00A713DE" w:rsidRDefault="00A713DE" w:rsidP="00A713DE">
      <w:bookmarkStart w:id="23" w:name="_GoBack"/>
      <w:bookmarkEnd w:id="23"/>
    </w:p>
    <w:sectPr w:rsidR="00A713DE" w:rsidRPr="00A713DE" w:rsidSect="00A713D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13DE" w:rsidRDefault="00A713DE" w:rsidP="00A713DE">
      <w:pPr>
        <w:spacing w:after="0" w:line="240" w:lineRule="auto"/>
      </w:pPr>
      <w:r>
        <w:separator/>
      </w:r>
    </w:p>
  </w:endnote>
  <w:endnote w:type="continuationSeparator" w:id="0">
    <w:p w:rsidR="00A713DE" w:rsidRDefault="00A713DE" w:rsidP="00A71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3DE" w:rsidRDefault="00A713D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3DE" w:rsidRPr="00A713DE" w:rsidRDefault="00A713DE" w:rsidP="00A713DE">
    <w:pPr>
      <w:pStyle w:val="Footer"/>
    </w:pPr>
    <w:r>
      <w:fldChar w:fldCharType="begin"/>
    </w:r>
    <w:r>
      <w:instrText xml:space="preserve"> PAGE  \* MERGEFORMAT </w:instrText>
    </w:r>
    <w:r>
      <w:fldChar w:fldCharType="separate"/>
    </w:r>
    <w:r>
      <w:rPr>
        <w:noProof/>
      </w:rPr>
      <w:t>21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3DE" w:rsidRDefault="00A713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13DE" w:rsidRDefault="00A713DE" w:rsidP="00A713DE">
      <w:pPr>
        <w:spacing w:after="0" w:line="240" w:lineRule="auto"/>
      </w:pPr>
      <w:r>
        <w:separator/>
      </w:r>
    </w:p>
  </w:footnote>
  <w:footnote w:type="continuationSeparator" w:id="0">
    <w:p w:rsidR="00A713DE" w:rsidRDefault="00A713DE" w:rsidP="00A713DE">
      <w:pPr>
        <w:spacing w:after="0" w:line="240" w:lineRule="auto"/>
      </w:pPr>
      <w:r>
        <w:continuationSeparator/>
      </w:r>
    </w:p>
  </w:footnote>
  <w:footnote w:id="1">
    <w:p w:rsidR="00A713DE" w:rsidRPr="00A713DE" w:rsidRDefault="00A713DE">
      <w:pPr>
        <w:pStyle w:val="FootnoteText"/>
        <w:rPr>
          <w:lang w:val="hr-HR"/>
        </w:rPr>
      </w:pPr>
      <w:r>
        <w:rPr>
          <w:rStyle w:val="FootnoteReference"/>
        </w:rPr>
        <w:footnoteRef/>
      </w:r>
      <w:r>
        <w:t xml:space="preserve"> </w:t>
      </w:r>
      <w:r>
        <w:rPr>
          <w:lang w:val="hr-HR"/>
        </w:rPr>
        <w:t>Izraz sustav distribucije koristi se kao zajednički naziv za mehanizme rangiranja i preporučivanja, bez pretpostavke o tome kako je pojedini od njih izveden.</w:t>
      </w:r>
    </w:p>
  </w:footnote>
  <w:footnote w:id="2">
    <w:p w:rsidR="00A713DE" w:rsidRPr="00A713DE" w:rsidRDefault="00A713DE">
      <w:pPr>
        <w:pStyle w:val="FootnoteText"/>
        <w:rPr>
          <w:lang w:val="hr-HR"/>
        </w:rPr>
      </w:pPr>
      <w:r>
        <w:rPr>
          <w:rStyle w:val="FootnoteReference"/>
        </w:rPr>
        <w:footnoteRef/>
      </w:r>
      <w:r>
        <w:t xml:space="preserve"> </w:t>
      </w:r>
      <w:r>
        <w:rPr>
          <w:lang w:val="hr-HR"/>
        </w:rPr>
        <w:t>Pod vidljivošću se ovdje razumije mogućnost susreta publike sa sadržajem u uobičajenim uvjetima uporabe, a ne tehnička dostupnost sadržaja na mreži.</w:t>
      </w:r>
    </w:p>
  </w:footnote>
  <w:footnote w:id="3">
    <w:p w:rsidR="00A713DE" w:rsidRPr="00A713DE" w:rsidRDefault="00A713DE">
      <w:pPr>
        <w:pStyle w:val="FootnoteText"/>
        <w:rPr>
          <w:lang w:val="hr-HR"/>
        </w:rPr>
      </w:pPr>
      <w:r>
        <w:rPr>
          <w:rStyle w:val="FootnoteReference"/>
        </w:rPr>
        <w:footnoteRef/>
      </w:r>
      <w:r>
        <w:t xml:space="preserve"> </w:t>
      </w:r>
      <w:r>
        <w:rPr>
          <w:lang w:val="hr-HR"/>
        </w:rPr>
        <w:t>Pojam gatekeeping ostavlja se u izvornome obliku jer se hrvatski prijevodi (čuvanje vrata, vratarstvo) u literaturi nisu ustalili.</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3DE" w:rsidRDefault="00A713D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3DE" w:rsidRDefault="00A713D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13DE" w:rsidRDefault="00A713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3DE"/>
    <w:rsid w:val="005A73EC"/>
    <w:rsid w:val="006702EF"/>
    <w:rsid w:val="00A713DE"/>
    <w:rsid w:val="00D11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A713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13D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3DE"/>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A713DE"/>
    <w:pPr>
      <w:spacing w:after="100"/>
    </w:pPr>
  </w:style>
  <w:style w:type="character" w:styleId="Hyperlink">
    <w:name w:val="Hyperlink"/>
    <w:basedOn w:val="DefaultParagraphFont"/>
    <w:uiPriority w:val="99"/>
    <w:unhideWhenUsed/>
    <w:rsid w:val="00A713DE"/>
    <w:rPr>
      <w:color w:val="0000FF" w:themeColor="hyperlink"/>
      <w:u w:val="single"/>
    </w:rPr>
  </w:style>
  <w:style w:type="paragraph" w:styleId="FootnoteText">
    <w:name w:val="footnote text"/>
    <w:basedOn w:val="Normal"/>
    <w:link w:val="FootnoteTextChar"/>
    <w:uiPriority w:val="99"/>
    <w:semiHidden/>
    <w:unhideWhenUsed/>
    <w:rsid w:val="00A713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13DE"/>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A713DE"/>
    <w:rPr>
      <w:vertAlign w:val="superscript"/>
    </w:rPr>
  </w:style>
  <w:style w:type="character" w:customStyle="1" w:styleId="Heading2Char">
    <w:name w:val="Heading 2 Char"/>
    <w:basedOn w:val="DefaultParagraphFont"/>
    <w:link w:val="Heading2"/>
    <w:uiPriority w:val="9"/>
    <w:rsid w:val="00A713D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A713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3DE"/>
    <w:rPr>
      <w:rFonts w:ascii="Tahoma" w:hAnsi="Tahoma" w:cs="Tahoma"/>
      <w:sz w:val="16"/>
      <w:szCs w:val="16"/>
    </w:rPr>
  </w:style>
  <w:style w:type="paragraph" w:styleId="Header">
    <w:name w:val="header"/>
    <w:basedOn w:val="Normal"/>
    <w:link w:val="HeaderChar"/>
    <w:uiPriority w:val="99"/>
    <w:unhideWhenUsed/>
    <w:rsid w:val="00A713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3DE"/>
    <w:rPr>
      <w:rFonts w:ascii="Times New Roman" w:hAnsi="Times New Roman" w:cs="Times New Roman"/>
      <w:sz w:val="24"/>
    </w:rPr>
  </w:style>
  <w:style w:type="paragraph" w:styleId="Footer">
    <w:name w:val="footer"/>
    <w:basedOn w:val="Normal"/>
    <w:link w:val="FooterChar"/>
    <w:uiPriority w:val="99"/>
    <w:unhideWhenUsed/>
    <w:rsid w:val="00A71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3DE"/>
    <w:rPr>
      <w:rFonts w:ascii="Times New Roman" w:hAnsi="Times New Roman" w:cs="Times New Roman"/>
      <w:sz w:val="24"/>
    </w:rPr>
  </w:style>
  <w:style w:type="paragraph" w:styleId="TOC2">
    <w:name w:val="toc 2"/>
    <w:basedOn w:val="Normal"/>
    <w:next w:val="Normal"/>
    <w:autoRedefine/>
    <w:uiPriority w:val="39"/>
    <w:unhideWhenUsed/>
    <w:rsid w:val="00A713DE"/>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A713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713D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3DE"/>
    <w:rPr>
      <w:rFonts w:asciiTheme="majorHAnsi" w:eastAsiaTheme="majorEastAsia" w:hAnsiTheme="majorHAnsi" w:cstheme="majorBidi"/>
      <w:b/>
      <w:bCs/>
      <w:color w:val="365F91" w:themeColor="accent1" w:themeShade="BF"/>
      <w:sz w:val="28"/>
      <w:szCs w:val="28"/>
    </w:rPr>
  </w:style>
  <w:style w:type="paragraph" w:styleId="TOC1">
    <w:name w:val="toc 1"/>
    <w:basedOn w:val="Normal"/>
    <w:next w:val="Normal"/>
    <w:autoRedefine/>
    <w:uiPriority w:val="39"/>
    <w:unhideWhenUsed/>
    <w:rsid w:val="00A713DE"/>
    <w:pPr>
      <w:spacing w:after="100"/>
    </w:pPr>
  </w:style>
  <w:style w:type="character" w:styleId="Hyperlink">
    <w:name w:val="Hyperlink"/>
    <w:basedOn w:val="DefaultParagraphFont"/>
    <w:uiPriority w:val="99"/>
    <w:unhideWhenUsed/>
    <w:rsid w:val="00A713DE"/>
    <w:rPr>
      <w:color w:val="0000FF" w:themeColor="hyperlink"/>
      <w:u w:val="single"/>
    </w:rPr>
  </w:style>
  <w:style w:type="paragraph" w:styleId="FootnoteText">
    <w:name w:val="footnote text"/>
    <w:basedOn w:val="Normal"/>
    <w:link w:val="FootnoteTextChar"/>
    <w:uiPriority w:val="99"/>
    <w:semiHidden/>
    <w:unhideWhenUsed/>
    <w:rsid w:val="00A713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13DE"/>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A713DE"/>
    <w:rPr>
      <w:vertAlign w:val="superscript"/>
    </w:rPr>
  </w:style>
  <w:style w:type="character" w:customStyle="1" w:styleId="Heading2Char">
    <w:name w:val="Heading 2 Char"/>
    <w:basedOn w:val="DefaultParagraphFont"/>
    <w:link w:val="Heading2"/>
    <w:uiPriority w:val="9"/>
    <w:rsid w:val="00A713DE"/>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A713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13DE"/>
    <w:rPr>
      <w:rFonts w:ascii="Tahoma" w:hAnsi="Tahoma" w:cs="Tahoma"/>
      <w:sz w:val="16"/>
      <w:szCs w:val="16"/>
    </w:rPr>
  </w:style>
  <w:style w:type="paragraph" w:styleId="Header">
    <w:name w:val="header"/>
    <w:basedOn w:val="Normal"/>
    <w:link w:val="HeaderChar"/>
    <w:uiPriority w:val="99"/>
    <w:unhideWhenUsed/>
    <w:rsid w:val="00A713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3DE"/>
    <w:rPr>
      <w:rFonts w:ascii="Times New Roman" w:hAnsi="Times New Roman" w:cs="Times New Roman"/>
      <w:sz w:val="24"/>
    </w:rPr>
  </w:style>
  <w:style w:type="paragraph" w:styleId="Footer">
    <w:name w:val="footer"/>
    <w:basedOn w:val="Normal"/>
    <w:link w:val="FooterChar"/>
    <w:uiPriority w:val="99"/>
    <w:unhideWhenUsed/>
    <w:rsid w:val="00A713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3DE"/>
    <w:rPr>
      <w:rFonts w:ascii="Times New Roman" w:hAnsi="Times New Roman" w:cs="Times New Roman"/>
      <w:sz w:val="24"/>
    </w:rPr>
  </w:style>
  <w:style w:type="paragraph" w:styleId="TOC2">
    <w:name w:val="toc 2"/>
    <w:basedOn w:val="Normal"/>
    <w:next w:val="Normal"/>
    <w:autoRedefine/>
    <w:uiPriority w:val="39"/>
    <w:unhideWhenUsed/>
    <w:rsid w:val="00A713D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6750</Words>
  <Characters>38479</Characters>
  <Application>Microsoft Office Word</Application>
  <DocSecurity>0</DocSecurity>
  <Lines>320</Lines>
  <Paragraphs>90</Paragraphs>
  <ScaleCrop>false</ScaleCrop>
  <Company>HT</Company>
  <LinksUpToDate>false</LinksUpToDate>
  <CharactersWithSpaces>45139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2026-09-06T22:37:00Z</dcterms:created>
  <dcterms:modified xsi:type="dcterms:W3CDTF">2026-09-06T22:37:00Z</dcterms:modified>
</cp:coreProperties>
</file>