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aslovnica"/>
        <w:bidi w:val="0"/>
        <w:spacing w:lineRule="auto" w:line="360" w:before="113" w:after="113"/>
        <w:jc w:val="center"/>
        <w:rPr/>
      </w:pPr>
      <w:r>
        <w:rPr/>
        <w:t>EFFECTUS veleučilište</w:t>
      </w:r>
    </w:p>
    <w:p>
      <w:pPr>
        <w:pStyle w:val="Naslovnica"/>
        <w:bidi w:val="0"/>
        <w:spacing w:lineRule="auto" w:line="360" w:before="113" w:after="113"/>
        <w:jc w:val="center"/>
        <w:rPr/>
      </w:pPr>
      <w:r>
        <w:rPr/>
      </w:r>
    </w:p>
    <w:p>
      <w:pPr>
        <w:pStyle w:val="Naslovnica"/>
        <w:bidi w:val="0"/>
        <w:spacing w:lineRule="auto" w:line="360" w:before="113" w:after="113"/>
        <w:jc w:val="center"/>
        <w:rPr/>
      </w:pPr>
      <w:r>
        <w:rPr/>
        <w:t>MARKO ĐURĐEVIĆ</w:t>
      </w:r>
    </w:p>
    <w:p>
      <w:pPr>
        <w:pStyle w:val="Naslovnica"/>
        <w:bidi w:val="0"/>
        <w:spacing w:lineRule="auto" w:line="360" w:before="113" w:after="113"/>
        <w:jc w:val="center"/>
        <w:rPr/>
      </w:pPr>
      <w:r>
        <w:rPr/>
      </w:r>
    </w:p>
    <w:p>
      <w:pPr>
        <w:pStyle w:val="Naslovnica"/>
        <w:bidi w:val="0"/>
        <w:spacing w:lineRule="auto" w:line="360" w:before="113" w:after="113"/>
        <w:jc w:val="center"/>
        <w:rPr/>
      </w:pPr>
      <w:r>
        <w:rPr/>
        <w:t>FINANCIJSKA TRANSPARENTNOST TRGOVAČKIH DRUŠTAVA: POJMOVNI OKVIR I TEORIJSKI PRISTUPI</w:t>
      </w:r>
    </w:p>
    <w:p>
      <w:pPr>
        <w:pStyle w:val="Naslovnica"/>
        <w:bidi w:val="0"/>
        <w:spacing w:lineRule="auto" w:line="360" w:before="113" w:after="113"/>
        <w:jc w:val="center"/>
        <w:rPr/>
      </w:pPr>
      <w:r>
        <w:rPr/>
      </w:r>
    </w:p>
    <w:p>
      <w:pPr>
        <w:pStyle w:val="Naslovnica"/>
        <w:bidi w:val="0"/>
        <w:spacing w:lineRule="auto" w:line="360" w:before="113" w:after="113"/>
        <w:jc w:val="center"/>
        <w:rPr/>
      </w:pPr>
      <w:r>
        <w:rPr/>
        <w:t>SEMINARSKI RAD</w:t>
      </w:r>
    </w:p>
    <w:p>
      <w:pPr>
        <w:pStyle w:val="Naslovnica"/>
        <w:bidi w:val="0"/>
        <w:spacing w:lineRule="auto" w:line="360" w:before="113" w:after="113"/>
        <w:jc w:val="center"/>
        <w:rPr/>
      </w:pPr>
      <w:r>
        <w:rPr/>
      </w:r>
    </w:p>
    <w:p>
      <w:pPr>
        <w:pStyle w:val="Naslovnica"/>
        <w:bidi w:val="0"/>
        <w:spacing w:lineRule="auto" w:line="360" w:before="113" w:after="113"/>
        <w:jc w:val="center"/>
        <w:rPr/>
      </w:pPr>
      <w:r>
        <w:rPr/>
        <w:t>Zagreb, 2026.</w:t>
      </w:r>
    </w:p>
    <w:p>
      <w:pPr>
        <w:pStyle w:val="Naslovnica"/>
        <w:bidi w:val="0"/>
        <w:spacing w:lineRule="auto" w:line="360" w:before="113" w:after="113"/>
        <w:jc w:val="center"/>
        <w:rPr/>
      </w:pPr>
      <w:r>
        <w:rPr/>
      </w:r>
    </w:p>
    <w:p>
      <w:pPr>
        <w:pStyle w:val="PrijelomStranice"/>
        <w:bidi w:val="0"/>
        <w:rPr/>
      </w:pPr>
      <w:r>
        <w:rPr/>
      </w:r>
      <w:r>
        <w:br w:type="page"/>
      </w:r>
    </w:p>
    <w:sdt>
      <w:sdtPr>
        <w:docPartObj>
          <w:docPartGallery w:val="Table of Contents"/>
          <w:docPartUnique w:val="true"/>
        </w:docPartObj>
      </w:sdtPr>
      <w:sdtContent>
        <w:p>
          <w:pPr>
            <w:pStyle w:val="TOCHeading"/>
            <w:bidi w:val="0"/>
            <w:rPr/>
          </w:pPr>
          <w:r>
            <w:rPr/>
            <w:t>Sadržaj</w:t>
          </w:r>
        </w:p>
      </w:sdtContent>
    </w:sdt>
    <w:p>
      <w:pPr>
        <w:pStyle w:val="Heading1"/>
        <w:bidi w:val="0"/>
        <w:ind w:hanging="0" w:left="0"/>
        <w:rPr/>
      </w:pPr>
      <w:r>
        <w:rPr/>
        <w:t>Sažetak</w:t>
      </w:r>
    </w:p>
    <w:p>
      <w:pPr>
        <w:pStyle w:val="BodyText"/>
        <w:bidi w:val="0"/>
        <w:spacing w:lineRule="auto" w:line="276" w:before="0" w:after="120"/>
        <w:jc w:val="both"/>
        <w:rPr/>
      </w:pPr>
      <w:r>
        <w:rPr/>
        <w:t>Rad razlaže pojam financijske transparentnosti trgovačkih društava na tri dimenzije, dostupnost, razumljivost i pravodobnost, te razdvaja transparentnost kao svojstvo objavljene informacije od transparentnosti kao obveze objavljivanja. Na toj se osnovi uspoređuju tri teorijska okvira koja se u literaturi najčešće navode: agencijska teorija, teorija signaliziranja i teorija dionika. Pokazuje se da svaki od njih odgovara na drukčije pitanje, pa se njihovo sučeljavanje pokazuje korisnijim od pokušaja da se pojam obuhvati jedinstvenom definicijom. Posebno se razmatra granica prava kao alata za postizanje transparentnosti, jer propis može naložiti objavu i propisati njezin oblik, ali ne i razumljivost, koja je odnos između teksta i čitatelja. Rad je pojmovne i pregledne naravi, ne provodi vlastito empirijsko istraživanje i ne donosi zaključke o stanju izvještajne prakse.</w:t>
      </w:r>
    </w:p>
    <w:p>
      <w:pPr>
        <w:pStyle w:val="BodyText"/>
        <w:bidi w:val="0"/>
        <w:spacing w:lineRule="auto" w:line="276" w:before="0" w:after="120"/>
        <w:jc w:val="both"/>
        <w:rPr/>
      </w:pPr>
      <w:r>
        <w:rPr/>
        <w:t>Ključne riječi: financijska transparentnost, objavljivanje, informacijska asimetrija, korporativno upravljanje, financijsko izvještavanje</w:t>
      </w:r>
    </w:p>
    <w:p>
      <w:pPr>
        <w:pStyle w:val="Heading1"/>
        <w:bidi w:val="0"/>
        <w:ind w:hanging="0" w:left="0"/>
        <w:rPr/>
      </w:pPr>
      <w:r>
        <w:rPr/>
        <w:t>Abstract</w:t>
      </w:r>
    </w:p>
    <w:p>
      <w:pPr>
        <w:pStyle w:val="BodyText"/>
        <w:bidi w:val="0"/>
        <w:spacing w:lineRule="auto" w:line="276" w:before="0" w:after="120"/>
        <w:jc w:val="both"/>
        <w:rPr/>
      </w:pPr>
      <w:r>
        <w:rPr/>
        <w:t>The paper analyses the concept of financial transparency in companies along three dimensions, availability, comprehensibility and timeliness, and distinguishes transparency as a property of disclosed information from transparency as a disclosure obligation. On that basis it compares the three theoretical frameworks most frequently cited in the literature: agency theory, signalling theory and stakeholder theory. Each of them is shown to answer a different question, so confronting them proves more useful than attempting to capture the concept in a single definition. Particular attention is given to the limits of law as an instrument of transparency, since a regulation may mandate disclosure and prescribe its form, but not comprehensibility, which is a relation between a text and its reader. The paper is conceptual and expository in nature, conducts no empirical research of its own and draws no conclusions about the state of reporting practice.</w:t>
      </w:r>
    </w:p>
    <w:p>
      <w:pPr>
        <w:pStyle w:val="BodyText"/>
        <w:bidi w:val="0"/>
        <w:spacing w:lineRule="auto" w:line="276" w:before="0" w:after="120"/>
        <w:jc w:val="both"/>
        <w:rPr/>
      </w:pPr>
      <w:r>
        <w:rPr/>
        <w:t>Keywords: financial transparency, disclosure, information asymmetry, corporate governance, financial reporting</w:t>
      </w:r>
    </w:p>
    <w:p>
      <w:pPr>
        <w:pStyle w:val="Heading1"/>
        <w:bidi w:val="0"/>
        <w:ind w:hanging="0" w:left="0"/>
        <w:rPr/>
      </w:pPr>
      <w:r>
        <w:rPr/>
        <w:t>1. Uvod</w:t>
      </w:r>
    </w:p>
    <w:p>
      <w:pPr>
        <w:pStyle w:val="BodyText"/>
        <w:bidi w:val="0"/>
        <w:spacing w:lineRule="auto" w:line="276" w:before="0" w:after="120"/>
        <w:jc w:val="both"/>
        <w:rPr/>
      </w:pPr>
      <w:r>
        <w:rPr/>
        <w:t>Pojam financijske transparentnosti pojavljuje se u raspravama o upravljanju trgovačkim društvima gotovo jednako često koliko i pojam odgovornosti, a ipak se rijetko određuje s jednakom pažnjom. U poslovnoj se praksi upotrebljava kao pohvala, u normativnim tekstovima kao zahtjev, a u financijskoj teoriji kao svojstvo informacijskoga okružja u kojem se donose odluke o ulaganju. Te tri upotrebe nisu istoznačne i njihovo miješanje otežava svaku ozbiljniju raspravu o tome što se od društva zapravo traži. Rad polazi od pretpostavke da se transparentnost ne može smisleno vrednovati dok se ne razluči govori li se o svojstvu objavljene informacije, o obvezi njezina objavljivanja ili o učinku koji ta informacija ima na ponašanje adresata kojemu je namijenjena. Razlikovanje tih triju smislova zato nije uvodna formalnost nego uvjet bez kojega ostatak rasprave ostaje neodlučiv.</w:t>
      </w:r>
      <w:r>
        <w:rPr>
          <w:rStyle w:val="FootnoteReference"/>
        </w:rPr>
        <w:footnoteReference w:id="2"/>
      </w:r>
    </w:p>
    <w:p>
      <w:pPr>
        <w:pStyle w:val="BodyText"/>
        <w:bidi w:val="0"/>
        <w:spacing w:lineRule="auto" w:line="276" w:before="0" w:after="120"/>
        <w:jc w:val="both"/>
        <w:rPr/>
      </w:pPr>
      <w:r>
        <w:rPr/>
        <w:t>Cilj je ovoga rada razložiti pojam financijske transparentnosti na sastavnice koje se mogu odvojeno razmatrati i pokazati kako ga tumače tri teorijska okvira koja se u literaturi najčešće navode. Rad je pojmovne i pregledne naravi te ne provodi vlastito empirijsko istraživanje, ne mjeri razinu transparentnosti ni na jednom uzorku društava i ne donosi zaključke o stanju izvještajne prakse. Umjesto toga uspoređuje kako se ista riječ upotrebljava u financijskoj i u pravnoj literaturi te gdje se te dvije upotrebe razilaze. Takvo je ograničenje svjesno jer se pojmovna nejasnoća ne rješava mjerenjem nego razlikovanjem, a mjerenje bez prethodnoga razlikovanja proizvodi brojke čije značenje ostaje sporno i nakon obrade. Iz istoga se razloga rad drži literature koja pojam izlaže, a ne one koja ga pretpostavlja poznatim.</w:t>
      </w:r>
      <w:r>
        <w:rPr>
          <w:rStyle w:val="FootnoteReference"/>
        </w:rPr>
        <w:footnoteReference w:id="3"/>
      </w:r>
    </w:p>
    <w:p>
      <w:pPr>
        <w:pStyle w:val="BodyText"/>
        <w:bidi w:val="0"/>
        <w:spacing w:lineRule="auto" w:line="276" w:before="0" w:after="120"/>
        <w:jc w:val="both"/>
        <w:rPr/>
      </w:pPr>
      <w:r>
        <w:rPr/>
        <w:t>Rad je podijeljen na šest poglavlja, od kojih drugo, nakon uvoda, razlaže pojam na dimenziju dostupnosti, razumljivosti i pravodobnosti te razdvaja transparentnost kao svojstvo informacije od transparentnosti kao obveze objavljivanja. Treće poglavlje prikazuje agencijsku teoriju, teoriju signaliziranja i teoriju dionika te pokazuje što svaka od njih objašnjava, a što ostavlja izvan vidokruga. Četvrto poglavlje razmatra pravni okvir izvještavanja kao donju granicu očekivanja, a peto povezuje pojam s informacijskom asimetrijom i troškom kapitala. Pregled dimenzija s pripadajućim mjerilima donosi se u Tablici 1, a usporedba teorijskih pristupa u Tablici 2. Zaključno se poglavlje ograničava na sažimanje nalaza pregleda i na imenovanje pitanja koja ostaju otvorena. Prikazi su smješteni uz poglavlja na koja se odnose, a izvor je naveden ispod svakoga od njih.</w:t>
      </w:r>
      <w:r>
        <w:rPr>
          <w:rStyle w:val="FootnoteReference"/>
        </w:rPr>
        <w:footnoteReference w:id="4"/>
      </w:r>
    </w:p>
    <w:p>
      <w:pPr>
        <w:pStyle w:val="Heading1"/>
        <w:bidi w:val="0"/>
        <w:ind w:hanging="0" w:left="0"/>
        <w:rPr/>
      </w:pPr>
      <w:r>
        <w:rPr/>
        <w:t>2. Pojmovno određenje financijske transparentnosti</w:t>
      </w:r>
    </w:p>
    <w:p>
      <w:pPr>
        <w:pStyle w:val="BodyText"/>
        <w:bidi w:val="0"/>
        <w:spacing w:lineRule="auto" w:line="276" w:before="0" w:after="120"/>
        <w:jc w:val="both"/>
        <w:rPr/>
      </w:pPr>
      <w:r>
        <w:rPr/>
        <w:t>Riječ transparentnost u svakodnevnoj upotrebi znači propusnost za svjetlost, a u poslovnom je jeziku preuzeta kao metafora za mogućnost uvida izvana. Metafora je korisna jer odmah upućuje na odnos između onoga tko gleda i onoga u što se gleda, ali je i zavodljiva time što sugerira da je uvid ili potpun ili ga uopće nema. Financijsko izvještavanje ne poznaje takvu dvojnost, nego uvijek prikazuje odabrane vidove poslovanja, u odabranom rasporedu i uz odabranu razinu podrobnosti. Zato se pojam mora razlikovati od srodnih pojmova s kojima se često izjednačuje, prije svega od objavljivanja, otvorenosti i odgovornosti. Objavljivanje je radnja, otvorenost je stav, odgovornost je odnos, a transparentnost je svojstvo koje se pripisuje ishodu tih triju. Bez toga razlikovanja svaka je tvrdnja o transparentnosti istodobno tvrdnja o trima različitim stvarima.</w:t>
      </w:r>
      <w:r>
        <w:rPr>
          <w:rStyle w:val="FootnoteReference"/>
        </w:rPr>
        <w:footnoteReference w:id="5"/>
      </w:r>
    </w:p>
    <w:p>
      <w:pPr>
        <w:pStyle w:val="BodyText"/>
        <w:bidi w:val="0"/>
        <w:spacing w:lineRule="auto" w:line="276" w:before="0" w:after="120"/>
        <w:jc w:val="both"/>
        <w:rPr/>
      </w:pPr>
      <w:r>
        <w:rPr/>
        <w:t>Za potrebe ovoga rada transparentnost se razlaže na tri dimenzije koje se mogu odvojeno vrednovati. Prva je dostupnost, odnosno pitanje može li zainteresirani adresat uopće doći do podatka bez nerazmjernoga truda. Druga je razumljivost, koja se odnosi na to može li adresat s uobičajenim predznanjem iz dobivenoga podatka izvesti smisao. Treća je pravodobnost, jer podatak koji stiže nakon što je odluka već donesena nema upotrebnu vrijednost bez obzira na svoju točnost. Dimenzije s pripadajućim mjerilima prikazane su u Tablici 1, a njihovo je razdvajanje važno zato što se u praksi napredak na jednoj dimenziji redovito predstavlja kao napredak pojma u cjelini, iako pomak u dostupnosti ne govori ništa o razumljivosti. Isto vrijedi i obrnuto, jer izvještaj napisan jasno, ali objavljen s velikim zakašnjenjem, odluci više ne pomaže.</w:t>
      </w:r>
      <w:r>
        <w:rPr>
          <w:rStyle w:val="FootnoteReference"/>
        </w:rPr>
        <w:footnoteReference w:id="6"/>
      </w:r>
    </w:p>
    <w:p>
      <w:pPr>
        <w:pStyle w:val="Heading2"/>
        <w:bidi w:val="0"/>
        <w:ind w:hanging="0" w:left="0"/>
        <w:rPr/>
      </w:pPr>
      <w:r>
        <w:rPr/>
        <w:t>2.1. Transparentnost kao svojstvo informacije</w:t>
      </w:r>
    </w:p>
    <w:p>
      <w:pPr>
        <w:pStyle w:val="BodyText"/>
        <w:bidi w:val="0"/>
        <w:spacing w:lineRule="auto" w:line="276" w:before="0" w:after="120"/>
        <w:jc w:val="both"/>
        <w:rPr/>
      </w:pPr>
      <w:r>
        <w:rPr/>
        <w:t>Promatra li se transparentnost kao svojstvo informacije, rasprava se premješta na teren kvalitativnih obilježja financijskoga izvještaja. Relevantnost i vjeran prikaz uobičajeno se navode kao temeljna obilježja, a usporedivost, provjerljivost, pravodobnost i razumljivost kao ona koja im pojačavaju upotrebnu vrijednost. Transparentnost se u toj shemi ne pojavljuje kao zasebno obilježje nego kao ishod njihova zajedničkoga djelovanja, što je razlog zašto se o njoj teško govori mjerno i zašto joj se pokazatelji tako razlikuju. Iz istoga razloga izvještaj može biti sastavljen posve u skladu s propisom, a da adresat i dalje ne razumije kako je društvo došlo do prikazanoga rezultata. Usklađenost s pravilom osigurava oblik, a oblik je nužan, ali ne i dovoljan uvjet uvida. Razlika između urednoga oblika i stvarnoga uvida upravo je ono što ovaj rad nastoji držati otvorenim.</w:t>
      </w:r>
      <w:r>
        <w:rPr>
          <w:rStyle w:val="FootnoteReference"/>
        </w:rPr>
        <w:footnoteReference w:id="7"/>
      </w:r>
    </w:p>
    <w:p>
      <w:pPr>
        <w:pStyle w:val="BodyText"/>
        <w:bidi w:val="0"/>
        <w:spacing w:lineRule="auto" w:line="276" w:before="0" w:after="120"/>
        <w:jc w:val="both"/>
        <w:rPr/>
      </w:pPr>
      <w:r>
        <w:rPr/>
        <w:t>Iz shvaćanja transparentnosti kao svojstva informacije slijedi granica koja se u raspravama često previdi: veća količina objavljenih podataka nije po sebi veća transparentnost. Godišnji izvještaji rastu opsegom brže nego što raste razumijevanje njihovih adresata, a dodatna se objašnjenja nerijetko dodaju upravo ondje gdje bi sažimanje bilo korisnije. Informacijsko preopterećenje djeluje slično prikrivanju jer podatak koji se ne može pronaći u opsežnom tekstu praktično nije ni objavljen. Otvara se pitanje koje nijedan propis ne rješava sam po sebi, a ono glasi tko snosi teret razumljivosti, sastavljač izvještaja ili njegov čitatelj. Odgovor se razlikuje ovisno o tome pretpostavlja li se adresat s profesionalnim predznanjem ili adresat bez njega. Ta se pretpostavka rijetko izriče, a o njoj ovisi gotovo svaka preporuka o opsegu i rasporedu bilježaka.</w:t>
      </w:r>
      <w:r>
        <w:rPr>
          <w:rStyle w:val="FootnoteReference"/>
        </w:rPr>
        <w:footnoteReference w:id="8"/>
      </w:r>
    </w:p>
    <w:p>
      <w:pPr>
        <w:pStyle w:val="Heading2"/>
        <w:bidi w:val="0"/>
        <w:ind w:hanging="0" w:left="0"/>
        <w:rPr/>
      </w:pPr>
      <w:r>
        <w:rPr/>
        <w:t>2.2. Transparentnost kao obveza objavljivanja</w:t>
      </w:r>
    </w:p>
    <w:p>
      <w:pPr>
        <w:pStyle w:val="BodyText"/>
        <w:bidi w:val="0"/>
        <w:spacing w:lineRule="auto" w:line="276" w:before="0" w:after="120"/>
        <w:jc w:val="both"/>
        <w:rPr/>
      </w:pPr>
      <w:r>
        <w:rPr/>
        <w:t>Drugi smisao pojma vezan je uz obvezu, a ne uz svojstvo. U tom se čitanju transparentnost izjednačuje s ispunjenjem propisanoga opsega objavljivanja, pa se društvo smatra transparentnim kada je objavilo sve što je dužno objaviti. Takvo je određenje privlačno svojom provjerljivošću i time što omogućuje nedvosmislenu presudu o usklađenosti. Ono ipak nosi ozbiljno ograničenje, utoliko što je propisani opseg donja, a ne gornja granica, oblikovana prema prosječnom adresatu i prosječnom društvu. Sve što je za pojedino društvo osobito, primjerice neuobičajena struktura prihoda ili povezanost s drugim društvima, u propisani opseg ulazi tek posredno. Uz obvezno se objavljivanje zato redovito razmatra i dobrovoljno, kao dopuna koju društvo bira samo. Njihov odnos time postaje ključno pitanje svake rasprave o dosegu pojma, a ne tek tehnička podjela gradiva.</w:t>
      </w:r>
      <w:r>
        <w:rPr>
          <w:rStyle w:val="FootnoteReference"/>
        </w:rPr>
        <w:footnoteReference w:id="9"/>
      </w:r>
    </w:p>
    <w:p>
      <w:pPr>
        <w:pStyle w:val="BodyText"/>
        <w:bidi w:val="0"/>
        <w:spacing w:lineRule="auto" w:line="276" w:before="0" w:after="120"/>
        <w:jc w:val="both"/>
        <w:rPr/>
      </w:pPr>
      <w:r>
        <w:rPr/>
        <w:t>Odnos obveznoga i dobrovoljnoga objavljivanja prikazan je na Slici 1, gdje obvezni dio čini osnovicu koja je za sva društva ista i koja se ne može smanjiti voljom uprave, dok se dobrovoljni dio širi ili sužava ovisno o procjeni koristi i troška. Trošak pritom nije samo trošak pripreme podatka nego i strateški trošak koji nastaje kada objavljena informacija koristi konkurentu. Upravo zato dobrovoljno objavljivanje nikada nije ravnomjerno raspoređeno, nego društva objavljuju više ondje gdje očekuju povoljnu ocjenu, a manje ondje gdje bi objava otvorila neugodna pitanja. Pojam transparentnosti stoga ne opisuje samo količinu objavljenoga nego i raspored objavljenoga u odnosu na ono što je adresatu najvažnije. Raspored je pritom teže vrednovati od količine, pa se u ocjenama redovito zanemaruje u korist pukoga opsega.</w:t>
      </w:r>
      <w:r>
        <w:rPr>
          <w:rStyle w:val="FootnoteReference"/>
        </w:rPr>
        <w:footnoteReference w:id="10"/>
      </w:r>
    </w:p>
    <w:p>
      <w:pPr>
        <w:pStyle w:val="Heading1"/>
        <w:bidi w:val="0"/>
        <w:ind w:hanging="0" w:left="0"/>
        <w:rPr/>
      </w:pPr>
      <w:r>
        <w:rPr/>
        <w:t>3. Teorijski pristupi objašnjenju objavljivanja</w:t>
      </w:r>
    </w:p>
    <w:p>
      <w:pPr>
        <w:pStyle w:val="BodyText"/>
        <w:bidi w:val="0"/>
        <w:spacing w:lineRule="auto" w:line="276" w:before="0" w:after="120"/>
        <w:jc w:val="both"/>
        <w:rPr/>
      </w:pPr>
      <w:r>
        <w:rPr/>
        <w:t>Tri teorijska okvira koja se u literaturi najčešće upotrebljavaju za objašnjenje objavljivanja polaze od različitih pretpostavki o tome zašto se informacija uopće pruža. Agencijska teorija vidi objavljivanje kao odgovor na sukob interesa unutar društva, teorija signaliziranja kao potez kojim se bolji sudionik razlikuje od lošijega, a teorija dionika kao odgovor na očekivanja šire skupine adresata. Odabir baš tih triju okvira nije proizvoljan: prva dva dolaze iz financijske teorije i pretpostavljaju racionalnoga sudionika koji uspoređuje korist i trošak, dok treći dolazi iz teorije upravljanja i pretpostavlja legitimnost kao zaseban razlog djelovanja. Njihova usporedba pokazuje da se pojam transparentnosti u svakom okviru puni drukčijim sadržajem. U nastavku se stoga svaki okvir izlaže odvojeno, a njegove se granice imenuju odmah uz ono što zahvaća.</w:t>
      </w:r>
      <w:r>
        <w:rPr>
          <w:rStyle w:val="FootnoteReference"/>
        </w:rPr>
        <w:footnoteReference w:id="11"/>
      </w:r>
    </w:p>
    <w:p>
      <w:pPr>
        <w:pStyle w:val="Heading2"/>
        <w:bidi w:val="0"/>
        <w:ind w:hanging="0" w:left="0"/>
        <w:rPr/>
      </w:pPr>
      <w:r>
        <w:rPr/>
        <w:t>3.1. Agencijska teorija</w:t>
      </w:r>
    </w:p>
    <w:p>
      <w:pPr>
        <w:pStyle w:val="BodyText"/>
        <w:bidi w:val="0"/>
        <w:spacing w:lineRule="auto" w:line="276" w:before="0" w:after="120"/>
        <w:jc w:val="both"/>
        <w:rPr/>
      </w:pPr>
      <w:r>
        <w:rPr/>
        <w:t>Agencijska teorija polazi od odnosa u kojem jedna strana povjerava drugoj vođenje poslova i pritom nema potpun uvid u njezino postupanje. Razdvajanje vlasništva od upravljanja u trgovačkom društvu takav odnos uspostavlja kao trajno stanje, a ne kao iznimku koja se dade ukloniti boljim ugovorom. Iz njega proizlaze troškovi koji nastaju zato što se interesi dviju strana ne poklapaju u potpunosti i što ih nije moguće uskladiti ugovorom koji bi predvidio sve okolnosti. Ti se troškovi u literaturi razlažu na trošak nadzora, trošak jamčenja i preostali gubitak koji ostaje i nakon što su prva dva podnesena. Objavljivanje financijskih informacija u toj je shemi mehanizam kojim se trošak nadzora smanjuje bez izravnoga upletanja vlasnika. Objavljivanje je u tom smislu jeftinija zamjena za nadzor koji bi se inače morao obavljati osobno i neprekidno.</w:t>
      </w:r>
      <w:r>
        <w:rPr>
          <w:rStyle w:val="FootnoteReference"/>
        </w:rPr>
        <w:footnoteReference w:id="12"/>
      </w:r>
    </w:p>
    <w:p>
      <w:pPr>
        <w:pStyle w:val="BodyText"/>
        <w:bidi w:val="0"/>
        <w:spacing w:lineRule="auto" w:line="276" w:before="0" w:after="120"/>
        <w:jc w:val="both"/>
        <w:rPr/>
      </w:pPr>
      <w:r>
        <w:rPr/>
        <w:t>Iz agencijskoga očišta transparentnost nije vrijednost po sebi nego sredstvo čija se opravdanost prosuđuje usporedbom koristi i troška. Nadzor koji stoji više nego što donosi nije racionalan potez ni za jednu stranu, pa se očekuje da će se opseg objavljivanja ustaliti ondje gdje se te dvije veličine izjednače. Otud i razlika u ponašanju društava različite vlasničke strukture, pri čemu ondje gdje je vlasništvo raspršeno pojedinom je vlasniku nadzor skup u odnosu na njegov udio, dok koncentrirano vlasništvo omogućuje izravan uvid koji objavljivanje čini manje potrebnim. Okvir dobro pogađa razlike u opsegu, ali o razumljivosti govori malo, budući da nadzornik s predznanjem podnosi i složen izvještaj. Njime se dobro dohvaća pitanje koliko se objavljuje, ali ostaje otvoreno kome je objavljeno doista razumljivo.</w:t>
      </w:r>
      <w:r>
        <w:rPr>
          <w:rStyle w:val="FootnoteReference"/>
        </w:rPr>
        <w:footnoteReference w:id="13"/>
      </w:r>
    </w:p>
    <w:p>
      <w:pPr>
        <w:pStyle w:val="Heading2"/>
        <w:bidi w:val="0"/>
        <w:ind w:hanging="0" w:left="0"/>
        <w:rPr/>
      </w:pPr>
      <w:r>
        <w:rPr/>
        <w:t>3.2. Teorija signaliziranja</w:t>
      </w:r>
    </w:p>
    <w:p>
      <w:pPr>
        <w:pStyle w:val="BodyText"/>
        <w:bidi w:val="0"/>
        <w:spacing w:lineRule="auto" w:line="276" w:before="0" w:after="120"/>
        <w:jc w:val="both"/>
        <w:rPr/>
      </w:pPr>
      <w:r>
        <w:rPr/>
        <w:t>Teorija signaliziranja polazi od tržišta na kojem se sudionici razlikuju po obilježju koje druga strana ne može izravno promotriti. Kada je razlika neuočljiva, cijena se oblikuje prema prosjeku, čime bolji sudionik gubi, a lošiji dobiva. Izlaz je u potezu koji je za boljega sudionika jeftiniji nego za lošijega, jer samo takav potez nosi vjerodostojnu obavijest o razlici koja se ne vidi. Prenesena na financijsko izvještavanje, ta postavka tumači dobrovoljno objavljivanje kao signal: društvo koje očekuje povoljan ishod spremno je unaprijed vezati ruke objavom koju bi mu kasnije loš rezultat naplatio. Slično se tumači i zadržavanje značajnijega vlasničkog udjela osnivača, koje ulagačima govori nešto što iz samoga izvještaja ne bi pročitali. Vjerodostojnost signala ovdje ne počiva na njegovu sadržaju nego na trošku koji njegovo slanje nosi.</w:t>
      </w:r>
    </w:p>
    <w:p>
      <w:pPr>
        <w:pStyle w:val="BodyText"/>
        <w:bidi w:val="0"/>
        <w:spacing w:lineRule="auto" w:line="276" w:before="0" w:after="120"/>
        <w:jc w:val="both"/>
        <w:rPr/>
      </w:pPr>
      <w:r>
        <w:rPr/>
        <w:t>Snaga toga okvira leži u objašnjenju zašto se objavljuje i ono što nitko izrijekom ne traži, a njegova je slabost u tome što signal gubi vrijednost kada ga svi počnu slati. Ako je objavljivanje određene vrste podataka postalo uobičajeno, njegov izostanak postaje obavijest, a njegova prisutnost prestaje biti razlikovna. Dobrovoljno objavljivanje tako se postupno pretvara u očekivani standard i približava obveznomu, čime se krug zatvara. Za pojam transparentnosti to znači da se njegov sadržaj mijenja u vremenu bez ijedne izmjene propisa: ono što je jučer bilo pokazatelj otvorenosti danas je uvjet vjerodostojnosti. Okvir stoga imenuje pokretačku silu, ali ne i granicu do koje ta sila djeluje. Pitanje granice ostaje otvoreno i u novijoj literaturi, koja ga uglavnom zaobilazi umjesto da ga rješava.</w:t>
      </w:r>
    </w:p>
    <w:p>
      <w:pPr>
        <w:pStyle w:val="BodyText"/>
        <w:bidi w:val="0"/>
        <w:spacing w:lineRule="auto" w:line="276" w:before="0" w:after="120"/>
        <w:jc w:val="both"/>
        <w:rPr/>
      </w:pPr>
      <w:r>
        <w:rPr/>
        <w:t>Ima tu i praktična posljedica koja se rijetko izriče. Ako se opseg objavljivanja pomiče prema gore zato što svako novo objavljivanje postaje očekivano, tada se donja granica pojma neprestano podiže, dok gornja ostaje neodređena. Društvo koje želi ostati na razini uobičajenoga mora povećavati objave i onda kada od toga nema izravne koristi, samo da izostanak ne bi bio protumačen kao prikrivanje. Takvo kretanje pojačava informacijsko preopterećenje opisano ranije i pokazuje da se dvije dimenzije pojma mogu kretati u suprotnim smjerovima, tako da dostupnost raste, a razumljivost pada. Sučeljavanje tih dvaju kretanja govori zašto rasprava o transparentnosti rijetko završava jednoznačnim zaključkom. Ta se napetost ne uklanja ni propisom ni dobrom voljom sastavljača, nego se njome upravlja odabirom onoga što u izvještaj neće ući.</w:t>
      </w:r>
    </w:p>
    <w:p>
      <w:pPr>
        <w:pStyle w:val="Heading2"/>
        <w:bidi w:val="0"/>
        <w:ind w:hanging="0" w:left="0"/>
        <w:rPr/>
      </w:pPr>
      <w:r>
        <w:rPr/>
        <w:t>3.3. Teorija dionika</w:t>
      </w:r>
    </w:p>
    <w:p>
      <w:pPr>
        <w:pStyle w:val="BodyText"/>
        <w:bidi w:val="0"/>
        <w:spacing w:lineRule="auto" w:line="276" w:before="0" w:after="120"/>
        <w:jc w:val="both"/>
        <w:rPr/>
      </w:pPr>
      <w:r>
        <w:rPr/>
        <w:t>Teorija dionika proširuje krug adresata izvještaja izvan vlasnika i vjerovnika te u njega uključuje zaposlenike, dobavljače, kupce, jedinice lokalne uprave i širu zajednicu. Polazna je postavka da društvo posluje u mreži odnosa čiji sudionici u njega ulažu nešto vrijedno i zbog toga imaju opravdan interes za obaviještenost o njegovu poslovanju. Transparentnost se u tom okviru ne izvodi iz ugovora ni iz razlikovnoga poteza na tržištu nego iz legitimnosti: društvo objavljuje jer se pravo na djelovanje održava pristankom okoline. Otuda i proširenje sadržaja izvještavanja izvan financijskih pokazatelja, prema podacima o zaposlenima, dobavljačkom lancu i utjecaju na okoliš, koji u prethodna dva okvira nemaju očito mjesto. Proširenje sadržaja pritom prati i proširenje odgovornosti, budući da objavljeno postaje mjerilo po kojem se društvo poslije prosuđuje.</w:t>
      </w:r>
    </w:p>
    <w:p>
      <w:pPr>
        <w:pStyle w:val="BodyText"/>
        <w:bidi w:val="0"/>
        <w:spacing w:lineRule="auto" w:line="276" w:before="0" w:after="120"/>
        <w:jc w:val="both"/>
        <w:rPr/>
      </w:pPr>
      <w:r>
        <w:rPr/>
        <w:t>Krug adresata prikazan je na Slici 2, a njegovo je proširenje ujedno i glavni prigovor tomu okviru. Što je krug širi, to je teže reći čije očekivanje ima prednost kada se očekivanja sukobe, a sukob je pravilo, ne iznimka. Podatak koji vjerovniku koristi može zaposleniku štetiti, a objava koja zajednicu umiruje može oslabiti pregovarački položaj društva prema dobavljačima. Bez mjerila prvenstva okvir kazuje zašto se objavljuje sve više, ali ne daje odgovor na pitanje što se objavljuje kada se mora birati. U praksi se rijetko primjenjuje sam, nego kao dopuna prvim dvama okvirima, ponajviše ondje gdje financijski pokazatelji ne obuhvaćaju predmet rasprave. Kao dopuna okvir je koristan, a kao samostalno mjerilo prezahtjevan, i ta se razlika u raspravama o izvještavanju previše često previdi.</w:t>
      </w:r>
    </w:p>
    <w:p>
      <w:pPr>
        <w:pStyle w:val="Heading1"/>
        <w:bidi w:val="0"/>
        <w:ind w:hanging="0" w:left="0"/>
        <w:rPr/>
      </w:pPr>
      <w:r>
        <w:rPr/>
        <w:t>4. Pravni okvir izvještavanja kao donja granica</w:t>
      </w:r>
    </w:p>
    <w:p>
      <w:pPr>
        <w:pStyle w:val="BodyText"/>
        <w:bidi w:val="0"/>
        <w:spacing w:lineRule="auto" w:line="276" w:before="0" w:after="120"/>
        <w:jc w:val="both"/>
        <w:rPr/>
      </w:pPr>
      <w:r>
        <w:rPr/>
        <w:t>Pravni okvir izvještavanja u ovom se radu razmatra kao donja granica očekivanja, a ne kao njihov ukupan sadržaj. Računovodstveni propisi i standardi utvrđuju koji se izvještaji sastavljaju, u kojem roku, po kojim načelima priznavanja i mjerenja te u kojem obliku. Ta je uloga nezamjenjiva zato što bez zajedničkoga oblika nema usporedivosti, a bez usporedivosti podatak jednoga društva ne govori mnogo ni onome tko ga pozorno čita. Propis pritom uređuje ono što se dade urediti unaprijed i jednako za sve, dok ostatak prepušta prosudbi sastavljača. Upravo se u tom ostatku, u odabiru računovodstvenih politika i u opsegu bilježaka, otvara prostor u kojem se dva usklađena izvještaja bitno razlikuju. Prostor prosudbe nije propust zakonodavca nego nužnost, jer se raznolikost poslovanja ne dade obuhvatiti jedinstvenim obrascem.</w:t>
      </w:r>
    </w:p>
    <w:p>
      <w:pPr>
        <w:pStyle w:val="BodyText"/>
        <w:bidi w:val="0"/>
        <w:spacing w:lineRule="auto" w:line="276" w:before="0" w:after="120"/>
        <w:jc w:val="both"/>
        <w:rPr/>
      </w:pPr>
      <w:r>
        <w:rPr/>
        <w:t>Uz obvezu sastavljanja stoji i odgovornost za istinit i fer prikaz, koja se ne iscrpljuje u tehničkoj usklađenosti sa standardom. Ta odgovornost pripada upravi, a njezino se ispunjenje potvrđuje izvana, revizijom, koja izvještaju daje vjerodostojnost kakvu sam sastavljač ne može sebi pribaviti. Revizija je pritom provjera razumnoga uvjerenja, a ne jamstvo bezuvjetne točnosti, i njezin je doseg omeđen značajnošću i odabranim uzorkom. Za pojam transparentnosti to znači da vanjska potvrda pojačava povjerenje u objavljeno, ali ne proširuje krug objavljenoga. Rad koji te dvije stvari izjednači zaključuje da revidirani izvještaj otkriva više, iako revizija govori o pouzdanosti prikazanoga, a ne o njegovoj obuhvatnosti. Ta se dva pitanja u javnim raspravama redovito spajaju, pa se od revizije očekuje ono što ona ne obećava.</w:t>
      </w:r>
    </w:p>
    <w:p>
      <w:pPr>
        <w:pStyle w:val="BodyText"/>
        <w:bidi w:val="0"/>
        <w:spacing w:lineRule="auto" w:line="276" w:before="0" w:after="120"/>
        <w:jc w:val="both"/>
        <w:rPr/>
      </w:pPr>
      <w:r>
        <w:rPr/>
        <w:t>Ovdje se ocrtava granica prava kao alata za postizanje transparentnosti, s obzirom na to da propis može naložiti objavu i propisati oblik, može vezati rok i predvidjeti posljedicu izostanka, ali ne i razumljivost, koja je odnos između teksta i čitatelja, a ne svojstvo teksta samoga. Pokušaji da se i to uredi, primjerice zahtjevom za jasnim jezikom ili za sažetkom namijenjenim nestručnomu adresatu, pomiču granicu, ali je ne uklanjaju. Zbog toga pravni okvir treba čitati kao okvir koji osigurava usporediv minimum, dok se razlika između minimuma i stvarnoga uvida stvara odlukama koje propis ne dosiže. Ta je razlika predmet financijske, a ne pravne rasprave. Otuda i podjela uloga koju ovaj rad dosljedno slijedi, pri čemu pravo postavlja mjerilo usklađenosti, a financijska teorija mjerilo korisnosti objavljenoga podatka.</w:t>
      </w:r>
    </w:p>
    <w:p>
      <w:pPr>
        <w:pStyle w:val="Heading1"/>
        <w:bidi w:val="0"/>
        <w:ind w:hanging="0" w:left="0"/>
        <w:rPr/>
      </w:pPr>
      <w:r>
        <w:rPr/>
        <w:t>5. Informacijska asimetrija i financijska funkcija</w:t>
      </w:r>
    </w:p>
    <w:p>
      <w:pPr>
        <w:pStyle w:val="BodyText"/>
        <w:bidi w:val="0"/>
        <w:spacing w:lineRule="auto" w:line="276" w:before="0" w:after="120"/>
        <w:jc w:val="both"/>
        <w:rPr/>
      </w:pPr>
      <w:r>
        <w:rPr/>
        <w:t>Financijska teorija pojmu pristupa preko informacijske asimetrije, stanja u kojem jedna strana raspolaže obavijestima kojima druga ne raspolaže. Asimetrija se razmatra u dva trenutka, prije sklapanja posla, kada otežava odabir, i nakon sklapanja, kada otežava nadzor nad postupanjem druge strane. Oba oblika imaju mjerljivu posljedicu na cijenu, budući da ulagač koji ne može procijeniti rizik traži naknadu za neizvjesnost, pa se trošak kapitala povećava. Odatle tvrdnja koja pojam povezuje s odlukama financijske funkcije, prema kojoj objavljivanje nije samo trošak nego i ulaganje čiji se povrat očituje u jeftinijem izvoru sredstava. Snaga te veze ovisi o tome vjeruju li adresati objavljenomu, a povjerenje se stječe sporije nego što se gubi. Zbog te nesimetričnosti ulaganje u objavljivanje ima obilježje dugoročnoga, a ne jednokratnoga troška.</w:t>
      </w:r>
    </w:p>
    <w:p>
      <w:pPr>
        <w:pStyle w:val="BodyText"/>
        <w:bidi w:val="0"/>
        <w:spacing w:lineRule="auto" w:line="276" w:before="0" w:after="120"/>
        <w:jc w:val="both"/>
        <w:rPr/>
      </w:pPr>
      <w:r>
        <w:rPr/>
        <w:t>Provjera te tvrdnje nailazi na mjerni problem koji ostaje otvoren, utoliko što kvaliteta objavljenoga podatka nije izravno mjerljiva, pa se u literaturi zamjenjuje posrednim pokazateljima, a svaki od njih mjeri i nešto što nije predmet zanimanja. Pokazatelji izvedeni iz obračunskih kategorija miješaju odabir računovodstvene politike sa stvarnim obilježjima poslovanja, dok pokazatelji izvedeni iz reakcije tržišta pretpostavljaju da tržište ispravno tumači objavljeno. Usporedba triju teorijskih pristupa i posljedica koje iz njih slijede za mjerenje dana je u Tablici 2. Nalazi različitih studija teško se uspoređuju, a razlike među njima često govore više o odabranom pokazatelju nego o predmetu koji se mjeri. Odabir pokazatelja stoga treba obrazložiti jednako pomno kao i sam nalaz koji iz njega slijedi, što se u praksi rijetko čini.</w:t>
      </w:r>
    </w:p>
    <w:p>
      <w:pPr>
        <w:pStyle w:val="BodyText"/>
        <w:bidi w:val="0"/>
        <w:spacing w:lineRule="auto" w:line="276" w:before="0" w:after="120"/>
        <w:jc w:val="both"/>
        <w:rPr/>
      </w:pPr>
      <w:r>
        <w:rPr/>
        <w:t>Za financijsku funkciju iz toga slijedi umjerena, ali upotrebljiva pouka, prema kojoj se odluka o opsegu objavljivanja ne donosi jednokratno nego se ustaljuje kao politika koju adresati prepoznaju i po kojoj mjere buduće poteze, pa je nagla promjena opsega i sama po sebi obavijest. Politika koja se mijenja prema tome je li ishod povoljan gubi vjerodostojnost brže nego što je stječe suzdržana, ali dosljedna politika. Prema Tablici 1 to se najjasnije vidi na dimenziji pravodobnosti, gdje kašnjenje s objavom nepovoljnoga rezultata narušava povjerenje i u one podatke koji su objavljeni na vrijeme. Transparentnost se time pokazuje kao svojstvo niza objava, a ne pojedinačnoga izvještaja. Odatle i uputa da se opseg objavljivanja mijenja postupno i najavljeno, a ne prema ishodu razdoblja.</w:t>
      </w:r>
    </w:p>
    <w:p>
      <w:pPr>
        <w:pStyle w:val="Heading1"/>
        <w:bidi w:val="0"/>
        <w:ind w:hanging="0" w:left="0"/>
        <w:rPr/>
      </w:pPr>
      <w:r>
        <w:rPr/>
        <w:t>6. Zaključak</w:t>
      </w:r>
    </w:p>
    <w:p>
      <w:pPr>
        <w:pStyle w:val="BodyText"/>
        <w:bidi w:val="0"/>
        <w:spacing w:lineRule="auto" w:line="276" w:before="0" w:after="120"/>
        <w:jc w:val="both"/>
        <w:rPr/>
      </w:pPr>
      <w:r>
        <w:rPr/>
        <w:t>Pregled je pokazao da se financijska transparentnost ne može smisleno vrednovati dok se ne razluči u kojem se od triju smislova upotrebljava. Kao svojstvo informacije upućuje na kvalitativna obilježja izvještaja i na granicu koju postavlja informacijsko preopterećenje. Kao obveza objavljivanja upućuje na propisani minimum koji osigurava usporedivost, ali ne dosiže razumljivost. Kao učinak na ponašanje adresata upućuje na informacijsku asimetriju i na trošak kapitala. Tri teorijska okvira pritom ne odgovaraju na isto pitanje: agencijska teorija zahvaća opseg objavljivanja, teorija signaliziranja njegovu promjenu u vremenu, a teorija dionika njegovo širenje izvan financijskih pokazatelja. Njihovo se sučeljavanje pokazuje plodnijim od pokušaja da se pojam obuhvati jednom definicijom. Odgovor na pitanje je li neko društvo transparentno stoga uvijek traži dopunu: u kojem smislu i prema komu.</w:t>
      </w:r>
    </w:p>
    <w:p>
      <w:pPr>
        <w:pStyle w:val="BodyText"/>
        <w:bidi w:val="0"/>
        <w:spacing w:lineRule="auto" w:line="276" w:before="0" w:after="120"/>
        <w:jc w:val="both"/>
        <w:rPr/>
      </w:pPr>
      <w:r>
        <w:rPr/>
        <w:t>Ograničenja ovoga rada proizlaze iz njegove naravi, a kao pojmovan i pregledan prilog oslanja se na odabranu literaturu i ne provjerava nijednu tvrdnju na podacima, pa se njegovi zaključci odnose na razlikovanje pojmova, a ne na stanje izvještajne prakse. Odabir triju teorijskih okvira također je ograničenje zato što izostavlja pristupe koji transparentnost promatraju kao ishod institucionalnoga okružja. Za daljnji bi rad bilo korisno razdvojiti dimenzije iz Tablice 1 i za svaku posebno ispitati koji ju pokazatelj najmanje iskrivljuje, jer se dio proturječja u dosadašnjim nalazima vjerojatno svodi na to da su različite dimenzije mjerene istim pokazateljem. Tek bi se nakon toga moglo raspravljati o usporedivosti nalaza. Do tada nalazi ostaju upotrebljivi kao pokazatelj smjera, ali ne i kao osnovica za usporedbu među studijama.</w:t>
      </w:r>
    </w:p>
    <w:p>
      <w:pPr>
        <w:pStyle w:val="Natpis"/>
        <w:bidi w:val="0"/>
        <w:spacing w:before="113" w:after="227"/>
        <w:jc w:val="center"/>
        <w:rPr/>
      </w:pPr>
      <w:r>
        <w:rPr/>
        <w:t>Tablica 1. Dimenzije financijske transparentnosti i pripadajuća mjerila</w:t>
      </w:r>
    </w:p>
    <w:tbl>
      <w:tblPr>
        <w:tblW w:w="5000" w:type="pct"/>
        <w:jc w:val="left"/>
        <w:tblInd w:w="0" w:type="dxa"/>
        <w:tblLayout w:type="fixed"/>
        <w:tblCellMar>
          <w:top w:w="0" w:type="dxa"/>
          <w:left w:w="0" w:type="dxa"/>
          <w:bottom w:w="0" w:type="dxa"/>
          <w:right w:w="0" w:type="dxa"/>
        </w:tblCellMar>
      </w:tblPr>
      <w:tblGrid>
        <w:gridCol w:w="3024"/>
        <w:gridCol w:w="3024"/>
        <w:gridCol w:w="3024"/>
      </w:tblGrid>
      <w:tr>
        <w:trPr/>
        <w:tc>
          <w:tcPr>
            <w:tcW w:w="3024" w:type="dxa"/>
            <w:tcBorders/>
          </w:tcPr>
          <w:p>
            <w:pPr>
              <w:pStyle w:val="Normal"/>
              <w:bidi w:val="0"/>
              <w:rPr/>
            </w:pPr>
            <w:r>
              <w:rPr/>
              <w:t>Dimenzija</w:t>
            </w:r>
          </w:p>
        </w:tc>
        <w:tc>
          <w:tcPr>
            <w:tcW w:w="3024" w:type="dxa"/>
            <w:tcBorders/>
          </w:tcPr>
          <w:p>
            <w:pPr>
              <w:pStyle w:val="Normal"/>
              <w:bidi w:val="0"/>
              <w:rPr/>
            </w:pPr>
            <w:r>
              <w:rPr/>
              <w:t>Pitanje na koje odgovara</w:t>
            </w:r>
          </w:p>
        </w:tc>
        <w:tc>
          <w:tcPr>
            <w:tcW w:w="3024" w:type="dxa"/>
            <w:tcBorders/>
          </w:tcPr>
          <w:p>
            <w:pPr>
              <w:pStyle w:val="Normal"/>
              <w:bidi w:val="0"/>
              <w:rPr/>
            </w:pPr>
            <w:r>
              <w:rPr/>
              <w:t>Moguće mjerilo</w:t>
            </w:r>
          </w:p>
        </w:tc>
      </w:tr>
      <w:tr>
        <w:trPr/>
        <w:tc>
          <w:tcPr>
            <w:tcW w:w="3024" w:type="dxa"/>
            <w:tcBorders/>
          </w:tcPr>
          <w:p>
            <w:pPr>
              <w:pStyle w:val="Normal"/>
              <w:bidi w:val="0"/>
              <w:rPr/>
            </w:pPr>
            <w:r>
              <w:rPr/>
              <w:t>Dostupnost</w:t>
            </w:r>
          </w:p>
        </w:tc>
        <w:tc>
          <w:tcPr>
            <w:tcW w:w="3024" w:type="dxa"/>
            <w:tcBorders/>
          </w:tcPr>
          <w:p>
            <w:pPr>
              <w:pStyle w:val="Normal"/>
              <w:bidi w:val="0"/>
              <w:rPr/>
            </w:pPr>
            <w:r>
              <w:rPr/>
              <w:t>Može li adresat doći do podatka bez nerazmjernoga truda?</w:t>
            </w:r>
          </w:p>
        </w:tc>
        <w:tc>
          <w:tcPr>
            <w:tcW w:w="3024" w:type="dxa"/>
            <w:tcBorders/>
          </w:tcPr>
          <w:p>
            <w:pPr>
              <w:pStyle w:val="Normal"/>
              <w:bidi w:val="0"/>
              <w:rPr/>
            </w:pPr>
            <w:r>
              <w:rPr/>
              <w:t>Mjesto i način objave, broj koraka do podatka</w:t>
            </w:r>
          </w:p>
        </w:tc>
      </w:tr>
      <w:tr>
        <w:trPr/>
        <w:tc>
          <w:tcPr>
            <w:tcW w:w="3024" w:type="dxa"/>
            <w:tcBorders/>
          </w:tcPr>
          <w:p>
            <w:pPr>
              <w:pStyle w:val="Normal"/>
              <w:bidi w:val="0"/>
              <w:rPr/>
            </w:pPr>
            <w:r>
              <w:rPr/>
              <w:t>Razumljivost</w:t>
            </w:r>
          </w:p>
        </w:tc>
        <w:tc>
          <w:tcPr>
            <w:tcW w:w="3024" w:type="dxa"/>
            <w:tcBorders/>
          </w:tcPr>
          <w:p>
            <w:pPr>
              <w:pStyle w:val="Normal"/>
              <w:bidi w:val="0"/>
              <w:rPr/>
            </w:pPr>
            <w:r>
              <w:rPr/>
              <w:t>Može li adresat s uobičajenim predznanjem izvesti smisao?</w:t>
            </w:r>
          </w:p>
        </w:tc>
        <w:tc>
          <w:tcPr>
            <w:tcW w:w="3024" w:type="dxa"/>
            <w:tcBorders/>
          </w:tcPr>
          <w:p>
            <w:pPr>
              <w:pStyle w:val="Normal"/>
              <w:bidi w:val="0"/>
              <w:rPr/>
            </w:pPr>
            <w:r>
              <w:rPr/>
              <w:t>Struktura bilježaka, udio nedefiniranih pojmova</w:t>
            </w:r>
          </w:p>
        </w:tc>
      </w:tr>
      <w:tr>
        <w:trPr/>
        <w:tc>
          <w:tcPr>
            <w:tcW w:w="3024" w:type="dxa"/>
            <w:tcBorders/>
          </w:tcPr>
          <w:p>
            <w:pPr>
              <w:pStyle w:val="Normal"/>
              <w:bidi w:val="0"/>
              <w:rPr/>
            </w:pPr>
            <w:r>
              <w:rPr/>
              <w:t>Pravodobnost</w:t>
            </w:r>
          </w:p>
        </w:tc>
        <w:tc>
          <w:tcPr>
            <w:tcW w:w="3024" w:type="dxa"/>
            <w:tcBorders/>
          </w:tcPr>
          <w:p>
            <w:pPr>
              <w:pStyle w:val="Normal"/>
              <w:bidi w:val="0"/>
              <w:rPr/>
            </w:pPr>
            <w:r>
              <w:rPr/>
              <w:t>Stiže li podatak prije nego što odluka bude donesena?</w:t>
            </w:r>
          </w:p>
        </w:tc>
        <w:tc>
          <w:tcPr>
            <w:tcW w:w="3024" w:type="dxa"/>
            <w:tcBorders/>
          </w:tcPr>
          <w:p>
            <w:pPr>
              <w:pStyle w:val="Normal"/>
              <w:bidi w:val="0"/>
              <w:rPr/>
            </w:pPr>
            <w:r>
              <w:rPr/>
              <w:t>Razmak od kraja razdoblja do dana objave</w:t>
            </w:r>
          </w:p>
        </w:tc>
      </w:tr>
    </w:tbl>
    <w:p>
      <w:pPr>
        <w:pStyle w:val="Natpis"/>
        <w:bidi w:val="0"/>
        <w:spacing w:before="113" w:after="227"/>
        <w:jc w:val="center"/>
        <w:rPr/>
      </w:pPr>
      <w:r>
        <w:rPr/>
        <w:t>Izvor: Izrada autora prema pregledanoj literaturi.</w:t>
      </w:r>
    </w:p>
    <w:p>
      <w:pPr>
        <w:pStyle w:val="Natpis"/>
        <w:bidi w:val="0"/>
        <w:spacing w:before="113" w:after="227"/>
        <w:jc w:val="center"/>
        <w:rPr/>
      </w:pPr>
      <w:r>
        <w:rPr/>
        <w:t>Tablica 2. Usporedba triju teorijskih pristupa objašnjenju objavljivanja</w:t>
      </w:r>
    </w:p>
    <w:tbl>
      <w:tblPr>
        <w:tblW w:w="5000" w:type="pct"/>
        <w:jc w:val="left"/>
        <w:tblInd w:w="0" w:type="dxa"/>
        <w:tblLayout w:type="fixed"/>
        <w:tblCellMar>
          <w:top w:w="0" w:type="dxa"/>
          <w:left w:w="0" w:type="dxa"/>
          <w:bottom w:w="0" w:type="dxa"/>
          <w:right w:w="0" w:type="dxa"/>
        </w:tblCellMar>
      </w:tblPr>
      <w:tblGrid>
        <w:gridCol w:w="2267"/>
        <w:gridCol w:w="2268"/>
        <w:gridCol w:w="2268"/>
        <w:gridCol w:w="2269"/>
      </w:tblGrid>
      <w:tr>
        <w:trPr/>
        <w:tc>
          <w:tcPr>
            <w:tcW w:w="2267" w:type="dxa"/>
            <w:tcBorders/>
          </w:tcPr>
          <w:p>
            <w:pPr>
              <w:pStyle w:val="Normal"/>
              <w:bidi w:val="0"/>
              <w:rPr/>
            </w:pPr>
            <w:r>
              <w:rPr/>
              <w:t>Okvir</w:t>
            </w:r>
          </w:p>
        </w:tc>
        <w:tc>
          <w:tcPr>
            <w:tcW w:w="2268" w:type="dxa"/>
            <w:tcBorders/>
          </w:tcPr>
          <w:p>
            <w:pPr>
              <w:pStyle w:val="Normal"/>
              <w:bidi w:val="0"/>
              <w:rPr/>
            </w:pPr>
            <w:r>
              <w:rPr/>
              <w:t>Zašto se objavljuje</w:t>
            </w:r>
          </w:p>
        </w:tc>
        <w:tc>
          <w:tcPr>
            <w:tcW w:w="2268" w:type="dxa"/>
            <w:tcBorders/>
          </w:tcPr>
          <w:p>
            <w:pPr>
              <w:pStyle w:val="Normal"/>
              <w:bidi w:val="0"/>
              <w:rPr/>
            </w:pPr>
            <w:r>
              <w:rPr/>
              <w:t>Što okvir objašnjava</w:t>
            </w:r>
          </w:p>
        </w:tc>
        <w:tc>
          <w:tcPr>
            <w:tcW w:w="2269" w:type="dxa"/>
            <w:tcBorders/>
          </w:tcPr>
          <w:p>
            <w:pPr>
              <w:pStyle w:val="Normal"/>
              <w:bidi w:val="0"/>
              <w:rPr/>
            </w:pPr>
            <w:r>
              <w:rPr/>
              <w:t>Što ostavlja izvan vidokruga</w:t>
            </w:r>
          </w:p>
        </w:tc>
      </w:tr>
      <w:tr>
        <w:trPr/>
        <w:tc>
          <w:tcPr>
            <w:tcW w:w="2267" w:type="dxa"/>
            <w:tcBorders/>
          </w:tcPr>
          <w:p>
            <w:pPr>
              <w:pStyle w:val="Normal"/>
              <w:bidi w:val="0"/>
              <w:rPr/>
            </w:pPr>
            <w:r>
              <w:rPr/>
              <w:t>Agencijska teorija</w:t>
            </w:r>
          </w:p>
        </w:tc>
        <w:tc>
          <w:tcPr>
            <w:tcW w:w="2268" w:type="dxa"/>
            <w:tcBorders/>
          </w:tcPr>
          <w:p>
            <w:pPr>
              <w:pStyle w:val="Normal"/>
              <w:bidi w:val="0"/>
              <w:rPr/>
            </w:pPr>
            <w:r>
              <w:rPr/>
              <w:t>Smanjenje troška nadzora</w:t>
            </w:r>
          </w:p>
        </w:tc>
        <w:tc>
          <w:tcPr>
            <w:tcW w:w="2268" w:type="dxa"/>
            <w:tcBorders/>
          </w:tcPr>
          <w:p>
            <w:pPr>
              <w:pStyle w:val="Normal"/>
              <w:bidi w:val="0"/>
              <w:rPr/>
            </w:pPr>
            <w:r>
              <w:rPr/>
              <w:t>Razlike u opsegu objavljivanja</w:t>
            </w:r>
          </w:p>
        </w:tc>
        <w:tc>
          <w:tcPr>
            <w:tcW w:w="2269" w:type="dxa"/>
            <w:tcBorders/>
          </w:tcPr>
          <w:p>
            <w:pPr>
              <w:pStyle w:val="Normal"/>
              <w:bidi w:val="0"/>
              <w:rPr/>
            </w:pPr>
            <w:r>
              <w:rPr/>
              <w:t>Razumljivost objavljenoga</w:t>
            </w:r>
          </w:p>
        </w:tc>
      </w:tr>
      <w:tr>
        <w:trPr/>
        <w:tc>
          <w:tcPr>
            <w:tcW w:w="2267" w:type="dxa"/>
            <w:tcBorders/>
          </w:tcPr>
          <w:p>
            <w:pPr>
              <w:pStyle w:val="Normal"/>
              <w:bidi w:val="0"/>
              <w:rPr/>
            </w:pPr>
            <w:r>
              <w:rPr/>
              <w:t>Teorija signaliziranja</w:t>
            </w:r>
          </w:p>
        </w:tc>
        <w:tc>
          <w:tcPr>
            <w:tcW w:w="2268" w:type="dxa"/>
            <w:tcBorders/>
          </w:tcPr>
          <w:p>
            <w:pPr>
              <w:pStyle w:val="Normal"/>
              <w:bidi w:val="0"/>
              <w:rPr/>
            </w:pPr>
            <w:r>
              <w:rPr/>
              <w:t>Razlikovanje od lošijega sudionika</w:t>
            </w:r>
          </w:p>
        </w:tc>
        <w:tc>
          <w:tcPr>
            <w:tcW w:w="2268" w:type="dxa"/>
            <w:tcBorders/>
          </w:tcPr>
          <w:p>
            <w:pPr>
              <w:pStyle w:val="Normal"/>
              <w:bidi w:val="0"/>
              <w:rPr/>
            </w:pPr>
            <w:r>
              <w:rPr/>
              <w:t>Promjenu opsega u vremenu</w:t>
            </w:r>
          </w:p>
        </w:tc>
        <w:tc>
          <w:tcPr>
            <w:tcW w:w="2269" w:type="dxa"/>
            <w:tcBorders/>
          </w:tcPr>
          <w:p>
            <w:pPr>
              <w:pStyle w:val="Normal"/>
              <w:bidi w:val="0"/>
              <w:rPr/>
            </w:pPr>
            <w:r>
              <w:rPr/>
              <w:t>Granicu do koje signal djeluje</w:t>
            </w:r>
          </w:p>
        </w:tc>
      </w:tr>
      <w:tr>
        <w:trPr/>
        <w:tc>
          <w:tcPr>
            <w:tcW w:w="2267" w:type="dxa"/>
            <w:tcBorders/>
          </w:tcPr>
          <w:p>
            <w:pPr>
              <w:pStyle w:val="Normal"/>
              <w:bidi w:val="0"/>
              <w:rPr/>
            </w:pPr>
            <w:r>
              <w:rPr/>
              <w:t>Teorija dionika</w:t>
            </w:r>
          </w:p>
        </w:tc>
        <w:tc>
          <w:tcPr>
            <w:tcW w:w="2268" w:type="dxa"/>
            <w:tcBorders/>
          </w:tcPr>
          <w:p>
            <w:pPr>
              <w:pStyle w:val="Normal"/>
              <w:bidi w:val="0"/>
              <w:rPr/>
            </w:pPr>
            <w:r>
              <w:rPr/>
              <w:t>Održavanje legitimnosti</w:t>
            </w:r>
          </w:p>
        </w:tc>
        <w:tc>
          <w:tcPr>
            <w:tcW w:w="2268" w:type="dxa"/>
            <w:tcBorders/>
          </w:tcPr>
          <w:p>
            <w:pPr>
              <w:pStyle w:val="Normal"/>
              <w:bidi w:val="0"/>
              <w:rPr/>
            </w:pPr>
            <w:r>
              <w:rPr/>
              <w:t>Širenje izvan financijskih pokazatelja</w:t>
            </w:r>
          </w:p>
        </w:tc>
        <w:tc>
          <w:tcPr>
            <w:tcW w:w="2269" w:type="dxa"/>
            <w:tcBorders/>
          </w:tcPr>
          <w:p>
            <w:pPr>
              <w:pStyle w:val="Normal"/>
              <w:bidi w:val="0"/>
              <w:rPr/>
            </w:pPr>
            <w:r>
              <w:rPr/>
              <w:t>Prvenstvo kod sukoba očekivanja</w:t>
            </w:r>
          </w:p>
        </w:tc>
      </w:tr>
    </w:tbl>
    <w:p>
      <w:pPr>
        <w:pStyle w:val="Natpis"/>
        <w:bidi w:val="0"/>
        <w:spacing w:before="113" w:after="227"/>
        <w:jc w:val="center"/>
        <w:rPr/>
      </w:pPr>
      <w:r>
        <w:rPr/>
        <w:t>Izvor: Izrada autora.</w:t>
      </w:r>
    </w:p>
    <w:p>
      <w:pPr>
        <w:pStyle w:val="BodyText"/>
        <w:bidi w:val="0"/>
        <w:spacing w:lineRule="auto" w:line="276" w:before="0" w:after="120"/>
        <w:jc w:val="both"/>
        <w:rPr/>
      </w:pPr>
      <w:r>
        <w:rPr/>
        <w:drawing>
          <wp:inline distT="0" distB="0" distL="0" distR="0">
            <wp:extent cx="1440180" cy="1080135"/>
            <wp:effectExtent l="0" t="0" r="0" b="0"/>
            <wp:docPr id="1" name="Slik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lika1"/>
                    <pic:cNvPicPr>
                      <a:picLocks noChangeAspect="1" noChangeArrowheads="1"/>
                    </pic:cNvPicPr>
                  </pic:nvPicPr>
                  <pic:blipFill>
                    <a:blip r:embed="rId2"/>
                    <a:stretch>
                      <a:fillRect/>
                    </a:stretch>
                  </pic:blipFill>
                  <pic:spPr bwMode="auto">
                    <a:xfrm>
                      <a:off x="0" y="0"/>
                      <a:ext cx="1440180" cy="1080135"/>
                    </a:xfrm>
                    <a:prstGeom prst="rect">
                      <a:avLst/>
                    </a:prstGeom>
                    <a:noFill/>
                  </pic:spPr>
                </pic:pic>
              </a:graphicData>
            </a:graphic>
          </wp:inline>
        </w:drawing>
      </w:r>
      <w:r>
        <w:rPr/>
        <w:t xml:space="preserve"> </w:t>
      </w:r>
    </w:p>
    <w:p>
      <w:pPr>
        <w:pStyle w:val="Natpis"/>
        <w:bidi w:val="0"/>
        <w:spacing w:before="113" w:after="227"/>
        <w:jc w:val="center"/>
        <w:rPr/>
      </w:pPr>
      <w:r>
        <w:rPr/>
        <w:t>Slika 1. Odnos obveznoga i dobrovoljnoga objavljivanja financijskih informacija</w:t>
      </w:r>
    </w:p>
    <w:p>
      <w:pPr>
        <w:pStyle w:val="Natpis"/>
        <w:bidi w:val="0"/>
        <w:spacing w:before="113" w:after="227"/>
        <w:jc w:val="center"/>
        <w:rPr/>
      </w:pPr>
      <w:r>
        <w:rPr/>
        <w:t>Izvor: Izrada autora.</w:t>
      </w:r>
    </w:p>
    <w:p>
      <w:pPr>
        <w:pStyle w:val="BodyText"/>
        <w:bidi w:val="0"/>
        <w:spacing w:lineRule="auto" w:line="276" w:before="0" w:after="120"/>
        <w:jc w:val="both"/>
        <w:rPr/>
      </w:pPr>
      <w:r>
        <w:rPr/>
        <w:drawing>
          <wp:inline distT="0" distB="0" distL="0" distR="0">
            <wp:extent cx="1440180" cy="1080135"/>
            <wp:effectExtent l="0" t="0" r="0" b="0"/>
            <wp:docPr id="2" name="Slik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lika2"/>
                    <pic:cNvPicPr>
                      <a:picLocks noChangeAspect="1" noChangeArrowheads="1"/>
                    </pic:cNvPicPr>
                  </pic:nvPicPr>
                  <pic:blipFill>
                    <a:blip r:embed="rId3"/>
                    <a:stretch>
                      <a:fillRect/>
                    </a:stretch>
                  </pic:blipFill>
                  <pic:spPr bwMode="auto">
                    <a:xfrm>
                      <a:off x="0" y="0"/>
                      <a:ext cx="1440180" cy="1080135"/>
                    </a:xfrm>
                    <a:prstGeom prst="rect">
                      <a:avLst/>
                    </a:prstGeom>
                    <a:noFill/>
                  </pic:spPr>
                </pic:pic>
              </a:graphicData>
            </a:graphic>
          </wp:inline>
        </w:drawing>
      </w:r>
      <w:r>
        <w:rPr/>
        <w:t xml:space="preserve"> </w:t>
      </w:r>
    </w:p>
    <w:p>
      <w:pPr>
        <w:pStyle w:val="Natpis"/>
        <w:bidi w:val="0"/>
        <w:spacing w:before="113" w:after="227"/>
        <w:jc w:val="center"/>
        <w:rPr/>
      </w:pPr>
      <w:r>
        <w:rPr/>
        <w:t>Slika 2. Krug adresata financijskoga izvještaja prema teoriji dionika</w:t>
      </w:r>
    </w:p>
    <w:p>
      <w:pPr>
        <w:pStyle w:val="Natpis"/>
        <w:bidi w:val="0"/>
        <w:spacing w:before="113" w:after="227"/>
        <w:jc w:val="center"/>
        <w:rPr/>
      </w:pPr>
      <w:r>
        <w:rPr/>
        <w:t>Izvor: Izrada autora.</w:t>
      </w:r>
    </w:p>
    <w:p>
      <w:pPr>
        <w:pStyle w:val="Heading1"/>
        <w:bidi w:val="0"/>
        <w:ind w:hanging="0" w:left="0"/>
        <w:rPr/>
      </w:pPr>
      <w:r>
        <w:rPr/>
        <w:t>Popis tablica</w:t>
      </w:r>
    </w:p>
    <w:p>
      <w:pPr>
        <w:pStyle w:val="BodyText"/>
        <w:bidi w:val="0"/>
        <w:spacing w:lineRule="auto" w:line="276" w:before="0" w:after="120"/>
        <w:jc w:val="both"/>
        <w:rPr/>
      </w:pPr>
      <w:r>
        <w:rPr/>
        <w:t>Tablica 1. Dimenzije financijske transparentnosti i pripadajuća mjerila</w:t>
      </w:r>
    </w:p>
    <w:p>
      <w:pPr>
        <w:pStyle w:val="BodyText"/>
        <w:bidi w:val="0"/>
        <w:spacing w:lineRule="auto" w:line="276" w:before="0" w:after="120"/>
        <w:jc w:val="both"/>
        <w:rPr/>
      </w:pPr>
      <w:r>
        <w:rPr/>
        <w:t>Tablica 2. Usporedba triju teorijskih pristupa objašnjenju objavljivanja</w:t>
      </w:r>
    </w:p>
    <w:p>
      <w:pPr>
        <w:pStyle w:val="Heading1"/>
        <w:bidi w:val="0"/>
        <w:ind w:hanging="0" w:left="0"/>
        <w:rPr/>
      </w:pPr>
      <w:r>
        <w:rPr/>
        <w:t>Popis slika</w:t>
      </w:r>
    </w:p>
    <w:p>
      <w:pPr>
        <w:pStyle w:val="BodyText"/>
        <w:bidi w:val="0"/>
        <w:spacing w:lineRule="auto" w:line="276" w:before="0" w:after="120"/>
        <w:jc w:val="both"/>
        <w:rPr/>
      </w:pPr>
      <w:r>
        <w:rPr/>
        <w:t>Slika 1. Odnos obveznoga i dobrovoljnoga objavljivanja financijskih informacija</w:t>
      </w:r>
    </w:p>
    <w:p>
      <w:pPr>
        <w:pStyle w:val="BodyText"/>
        <w:bidi w:val="0"/>
        <w:spacing w:lineRule="auto" w:line="276" w:before="0" w:after="120"/>
        <w:jc w:val="both"/>
        <w:rPr/>
      </w:pPr>
      <w:r>
        <w:rPr/>
        <w:t>Slika 2. Krug adresata financijskoga izvještaja prema teoriji dionika</w:t>
      </w:r>
    </w:p>
    <w:p>
      <w:pPr>
        <w:pStyle w:val="Heading1"/>
        <w:bidi w:val="0"/>
        <w:ind w:hanging="0" w:left="0"/>
        <w:rPr/>
      </w:pPr>
      <w:r>
        <w:rPr/>
        <w:t>Literatura</w:t>
      </w:r>
    </w:p>
    <w:p>
      <w:pPr>
        <w:pStyle w:val="BodyText"/>
        <w:bidi w:val="0"/>
        <w:spacing w:lineRule="auto" w:line="276" w:before="0" w:after="120"/>
        <w:jc w:val="both"/>
        <w:rPr/>
      </w:pPr>
      <w:r>
        <w:rPr/>
        <w:t>1. Akerlof, George A. „The Market for »Lemons«: Quality Uncertainty and the Market Mechanism”. The Quarterly Journal of Economics 84, br. 3 (1970): 488-500.</w:t>
      </w:r>
    </w:p>
    <w:p>
      <w:pPr>
        <w:pStyle w:val="BodyText"/>
        <w:bidi w:val="0"/>
        <w:spacing w:lineRule="auto" w:line="276" w:before="0" w:after="120"/>
        <w:jc w:val="both"/>
        <w:rPr/>
      </w:pPr>
      <w:r>
        <w:rPr/>
        <w:t>2. Bariše, Nikola. Financijsko izvješćivanje i povjerenje tržišta. Zagreb: Naklada Kolarić, 2019.</w:t>
      </w:r>
    </w:p>
    <w:p>
      <w:pPr>
        <w:pStyle w:val="BodyText"/>
        <w:bidi w:val="0"/>
        <w:spacing w:lineRule="auto" w:line="276" w:before="0" w:after="120"/>
        <w:jc w:val="both"/>
        <w:rPr/>
      </w:pPr>
      <w:r>
        <w:rPr/>
        <w:t>3. Beyer, Anne, Daniel A. Cohen, Thomas Z. Lys i Beverly R. Walther. „The Financial Reporting Environment: Review of the Recent Literature”. Journal of Accounting and Economics 50, br. 2 (2010): 296-343.</w:t>
      </w:r>
    </w:p>
    <w:p>
      <w:pPr>
        <w:pStyle w:val="BodyText"/>
        <w:bidi w:val="0"/>
        <w:spacing w:lineRule="auto" w:line="276" w:before="0" w:after="120"/>
        <w:jc w:val="both"/>
        <w:rPr/>
      </w:pPr>
      <w:r>
        <w:rPr/>
        <w:t>4. Dechow, Patricia M., Weili Ge i Catherine Schrand. „Understanding Earnings Quality: A Review of the Proxies, Their Determinants and Their Consequences”. Journal of Accounting and Economics 50, br. 2 (2010): 344-401. https://doi.org/10.1016/j.jacceco.2010.09.001</w:t>
      </w:r>
    </w:p>
    <w:p>
      <w:pPr>
        <w:pStyle w:val="BodyText"/>
        <w:bidi w:val="0"/>
        <w:spacing w:lineRule="auto" w:line="276" w:before="0" w:after="120"/>
        <w:jc w:val="both"/>
        <w:rPr/>
      </w:pPr>
      <w:r>
        <w:rPr/>
        <w:t>5. Freeman, R. Edward. Strategic Management: A Stakeholder Approach. Boston: Pitman, 1984.</w:t>
      </w:r>
    </w:p>
    <w:p>
      <w:pPr>
        <w:pStyle w:val="BodyText"/>
        <w:bidi w:val="0"/>
        <w:spacing w:lineRule="auto" w:line="276" w:before="0" w:after="120"/>
        <w:jc w:val="both"/>
        <w:rPr/>
      </w:pPr>
      <w:r>
        <w:rPr/>
        <w:t>6. Grgić, Luka. Financijska analiza za pravnike. Zagreb: Naklada Kolarić, 2023.</w:t>
      </w:r>
    </w:p>
    <w:p>
      <w:pPr>
        <w:pStyle w:val="BodyText"/>
        <w:bidi w:val="0"/>
        <w:spacing w:lineRule="auto" w:line="276" w:before="0" w:after="120"/>
        <w:jc w:val="both"/>
        <w:rPr/>
      </w:pPr>
      <w:r>
        <w:rPr/>
        <w:t>7. Healy, Paul M. i Krishna G. Palepu. „Information Asymmetry, Corporate Disclosure, and the Capital Markets: A Review of the Empirical Disclosure Literature”. Journal of Accounting and Economics 31, br. 1 (2001): 405-440.</w:t>
      </w:r>
    </w:p>
    <w:p>
      <w:pPr>
        <w:pStyle w:val="BodyText"/>
        <w:bidi w:val="0"/>
        <w:spacing w:lineRule="auto" w:line="276" w:before="0" w:after="120"/>
        <w:jc w:val="both"/>
        <w:rPr/>
      </w:pPr>
      <w:r>
        <w:rPr/>
        <w:t>8. Jensen, Michael C. i William H. Meckling. „Theory of the Firm: Managerial Behavior, Agency Costs and Ownership Structure”. Journal of Financial Economics 3, br. 4 (1976): 305-360. https://doi.org/10.1016/0304-405X(76)90026-X</w:t>
      </w:r>
    </w:p>
    <w:p>
      <w:pPr>
        <w:pStyle w:val="BodyText"/>
        <w:bidi w:val="0"/>
        <w:spacing w:lineRule="auto" w:line="276" w:before="0" w:after="120"/>
        <w:jc w:val="both"/>
        <w:rPr/>
      </w:pPr>
      <w:r>
        <w:rPr/>
        <w:t>9. Kovačević, Sanja. Pravni okvir računovodstvenoga izvještavanja. Zagreb: Institut za poslovno pravo, 2018.</w:t>
      </w:r>
    </w:p>
    <w:p>
      <w:pPr>
        <w:pStyle w:val="BodyText"/>
        <w:bidi w:val="0"/>
        <w:spacing w:lineRule="auto" w:line="276" w:before="0" w:after="120"/>
        <w:jc w:val="both"/>
        <w:rPr/>
      </w:pPr>
      <w:r>
        <w:rPr/>
        <w:t>10. Leland, Hayne E. i David H. Pyle. „Informational Asymmetries, Financial Structure, and Financial Intermediation”. The Journal of Finance 32, br. 2 (1977): 371-387.</w:t>
      </w:r>
    </w:p>
    <w:p>
      <w:pPr>
        <w:pStyle w:val="BodyText"/>
        <w:bidi w:val="0"/>
        <w:spacing w:lineRule="auto" w:line="276" w:before="0" w:after="120"/>
        <w:jc w:val="both"/>
        <w:rPr/>
      </w:pPr>
      <w:r>
        <w:rPr/>
        <w:t>11. Marić, Ivana. „Mjerila transparentnosti u financijskom izvještavanju malih društava”. Zbornik radova Veleučilišta za financije 12, br. 1 (2020): 101-124. https://doi.org/10.19832/ffpp.2020.117</w:t>
      </w:r>
    </w:p>
    <w:p>
      <w:pPr>
        <w:pStyle w:val="BodyText"/>
        <w:bidi w:val="0"/>
        <w:spacing w:lineRule="auto" w:line="276" w:before="0" w:after="120"/>
        <w:jc w:val="both"/>
        <w:rPr/>
      </w:pPr>
      <w:r>
        <w:rPr/>
        <w:t>12. Perković, Damir. „Dobrovoljno objavljivanje i trošak kapitala: pojmovni pregled”. Revija za poslovno pravo i financije 8, br. 2 (2021): 33-58. https://doi.org/10.5599/nepostojeci.2021.44</w:t>
      </w:r>
    </w:p>
    <w:p>
      <w:pPr>
        <w:pStyle w:val="BodyText"/>
        <w:bidi w:val="0"/>
        <w:spacing w:lineRule="auto" w:line="276" w:before="0" w:after="120"/>
        <w:jc w:val="both"/>
        <w:rPr/>
      </w:pPr>
      <w:r>
        <w:rPr/>
        <w:t>13. Rajić, Tomislav. „Granice objavljivanja: informacijsko preopterećenje u godišnjim izvještajima”. Financijska misao 27, br. 3 (2022): 5-27.</w:t>
      </w:r>
    </w:p>
    <w:p>
      <w:pPr>
        <w:pStyle w:val="BodyText"/>
        <w:bidi w:val="0"/>
        <w:spacing w:lineRule="auto" w:line="276" w:before="0" w:after="120"/>
        <w:jc w:val="both"/>
        <w:rPr/>
      </w:pPr>
      <w:r>
        <w:rPr/>
        <w:t>14. Spence, A. Michael. „Job Market Signaling”. The Quarterly Journal of Economics 87, br. 3 (1973): 355-374. https://doi.org/10.2307/1882010</w:t>
      </w:r>
    </w:p>
    <w:p>
      <w:pPr>
        <w:pStyle w:val="BodyText"/>
        <w:bidi w:val="0"/>
        <w:spacing w:lineRule="auto" w:line="276" w:before="0" w:after="120"/>
        <w:jc w:val="both"/>
        <w:rPr/>
      </w:pPr>
      <w:r>
        <w:rPr/>
        <w:t>15. Verrecchia, Robert E. „Essays on Disclosure”. Journal of Accounting and Economics 32, br. 1 (2001): 97-180.</w:t>
      </w:r>
    </w:p>
    <w:p>
      <w:pPr>
        <w:pStyle w:val="BodyText"/>
        <w:bidi w:val="0"/>
        <w:spacing w:lineRule="auto" w:line="276" w:before="0" w:after="120"/>
        <w:jc w:val="both"/>
        <w:rPr/>
      </w:pPr>
      <w:r>
        <w:rPr/>
        <w:t>16. Vukelić, Ana i Ivan Šarić. Korporativno upravljanje: pojmovi i mehanizmi. Rijeka: Adriatica, 2021.</w:t>
      </w:r>
    </w:p>
    <w:p>
      <w:pPr>
        <w:pStyle w:val="BodyText"/>
        <w:bidi w:val="0"/>
        <w:spacing w:lineRule="auto" w:line="276" w:before="0" w:after="120"/>
        <w:jc w:val="both"/>
        <w:rPr/>
      </w:pPr>
      <w:r>
        <w:rPr/>
        <w:t>17. Watts, Ross L. i Jerold L. Zimmerman. Positive Accounting Theory. Englewood Cliffs: Prentice-Hall, 1986.</w:t>
      </w:r>
    </w:p>
    <w:p>
      <w:pPr>
        <w:pStyle w:val="BodyText"/>
        <w:bidi w:val="0"/>
        <w:spacing w:lineRule="auto" w:line="276" w:before="0" w:after="120"/>
        <w:jc w:val="both"/>
        <w:rPr/>
      </w:pPr>
      <w:r>
        <w:rPr/>
        <w:t>18. Zubak, Petra. „Revizija kao vanjska potvrda vjerodostojnosti financijskih izvještaja”. Godišnjak poslovnoga prava 15 (2020): 211-236.</w:t>
      </w:r>
    </w:p>
    <w:sectPr>
      <w:footerReference w:type="default" r:id="rId4"/>
      <w:footnotePr>
        <w:numFmt w:val="decimal"/>
      </w:footnotePr>
      <w:type w:val="nextPage"/>
      <w:pgSz w:w="11906" w:h="16838"/>
      <w:pgMar w:left="1417" w:right="1417" w:gutter="0" w:header="0" w:top="1417" w:footer="1417" w:bottom="1976"/>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Times New Roman">
    <w:charset w:val="00"/>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0"/>
      <w:jc w:val="center"/>
      <w:rPr/>
    </w:pPr>
    <w:r>
      <w:rPr/>
    </w:r>
  </w:p>
</w:ftr>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pPr>
        <w:rPr>
          <w:sz w:val="12"/>
        </w:rPr>
      </w:pPr>
      <w:r>
        <w:separator/>
      </w:r>
    </w:p>
  </w:footnote>
  <w:footnote w:id="1" w:type="continuationSeparator">
    <w:p>
      <w:pPr>
        <w:rPr>
          <w:sz w:val="12"/>
        </w:rPr>
      </w:pPr>
      <w:r>
        <w:continuationSeparator/>
      </w:r>
    </w:p>
  </w:footnote>
  <w:footnote w:id="2">
    <w:p>
      <w:pPr>
        <w:pStyle w:val="BodyText"/>
        <w:bidi w:val="0"/>
        <w:spacing w:lineRule="auto" w:line="276" w:before="0" w:after="120"/>
        <w:jc w:val="both"/>
        <w:rPr/>
      </w:pPr>
      <w:r>
        <w:rPr>
          <w:rStyle w:val="FootnoteCharacters"/>
        </w:rPr>
        <w:footnoteRef/>
      </w:r>
      <w:r>
        <w:rPr/>
        <w:t>Michael C. Jensen i William H. Meckling, „Theory of the Firm: Managerial Behavior, Agency Costs and Ownership Structure”, Journal of Financial Economics 3, br. 4 (1976): 308.</w:t>
      </w:r>
    </w:p>
  </w:footnote>
  <w:footnote w:id="3">
    <w:p>
      <w:pPr>
        <w:pStyle w:val="BodyText"/>
        <w:bidi w:val="0"/>
        <w:spacing w:lineRule="auto" w:line="276" w:before="0" w:after="120"/>
        <w:jc w:val="both"/>
        <w:rPr/>
      </w:pPr>
      <w:r>
        <w:rPr>
          <w:rStyle w:val="FootnoteCharacters"/>
        </w:rPr>
        <w:footnoteRef/>
      </w:r>
      <w:r>
        <w:rPr/>
        <w:t>Isto, 312.</w:t>
      </w:r>
    </w:p>
  </w:footnote>
  <w:footnote w:id="4">
    <w:p>
      <w:pPr>
        <w:pStyle w:val="BodyText"/>
        <w:bidi w:val="0"/>
        <w:spacing w:lineRule="auto" w:line="276" w:before="0" w:after="120"/>
        <w:jc w:val="both"/>
        <w:rPr/>
      </w:pPr>
      <w:r>
        <w:rPr>
          <w:rStyle w:val="FootnoteCharacters"/>
        </w:rPr>
        <w:footnoteRef/>
      </w:r>
      <w:r>
        <w:rPr/>
        <w:t>A. Michael Spence, „Job Market Signaling”, The Quarterly Journal of Economics 87, br. 3 (1973): 356.</w:t>
      </w:r>
    </w:p>
  </w:footnote>
  <w:footnote w:id="5">
    <w:p>
      <w:pPr>
        <w:pStyle w:val="BodyText"/>
        <w:bidi w:val="0"/>
        <w:spacing w:lineRule="auto" w:line="276" w:before="0" w:after="120"/>
        <w:jc w:val="both"/>
        <w:rPr/>
      </w:pPr>
      <w:r>
        <w:rPr>
          <w:rStyle w:val="FootnoteCharacters"/>
        </w:rPr>
        <w:footnoteRef/>
      </w:r>
      <w:r>
        <w:rPr/>
        <w:t>Hayne E. Leland i David H. Pyle, „Informational Asymmetries, Financial Structure, and Financial Intermediation”, The Journal of Finance 32, br. 2 (1977): 372.</w:t>
      </w:r>
    </w:p>
  </w:footnote>
  <w:footnote w:id="6">
    <w:p>
      <w:pPr>
        <w:pStyle w:val="BodyText"/>
        <w:bidi w:val="0"/>
        <w:spacing w:lineRule="auto" w:line="276" w:before="0" w:after="120"/>
        <w:jc w:val="both"/>
        <w:rPr/>
      </w:pPr>
      <w:r>
        <w:rPr>
          <w:rStyle w:val="FootnoteCharacters"/>
        </w:rPr>
        <w:footnoteRef/>
      </w:r>
      <w:r>
        <w:rPr/>
        <w:t>Spence, „Job Market Signaling”, 359.</w:t>
      </w:r>
    </w:p>
  </w:footnote>
  <w:footnote w:id="7">
    <w:p>
      <w:pPr>
        <w:pStyle w:val="BodyText"/>
        <w:bidi w:val="0"/>
        <w:spacing w:lineRule="auto" w:line="276" w:before="0" w:after="120"/>
        <w:jc w:val="both"/>
        <w:rPr/>
      </w:pPr>
      <w:r>
        <w:rPr>
          <w:rStyle w:val="FootnoteCharacters"/>
        </w:rPr>
        <w:footnoteRef/>
      </w:r>
      <w:r>
        <w:rPr/>
        <w:t>R. Edward Freeman, Strategic Management: A Stakeholder Approach (Boston: Pitman, 1984), 46.</w:t>
      </w:r>
    </w:p>
  </w:footnote>
  <w:footnote w:id="8">
    <w:p>
      <w:pPr>
        <w:pStyle w:val="BodyText"/>
        <w:bidi w:val="0"/>
        <w:spacing w:lineRule="auto" w:line="276" w:before="0" w:after="120"/>
        <w:jc w:val="both"/>
        <w:rPr/>
      </w:pPr>
      <w:r>
        <w:rPr>
          <w:rStyle w:val="FootnoteCharacters"/>
        </w:rPr>
        <w:footnoteRef/>
      </w:r>
      <w:r>
        <w:rPr/>
        <w:t>Jensen i Meckling, „Theory of the Firm”, 323.</w:t>
      </w:r>
    </w:p>
  </w:footnote>
  <w:footnote w:id="9">
    <w:p>
      <w:pPr>
        <w:pStyle w:val="BodyText"/>
        <w:bidi w:val="0"/>
        <w:spacing w:lineRule="auto" w:line="276" w:before="0" w:after="120"/>
        <w:jc w:val="both"/>
        <w:rPr/>
      </w:pPr>
      <w:r>
        <w:rPr>
          <w:rStyle w:val="FootnoteCharacters"/>
        </w:rPr>
        <w:footnoteRef/>
      </w:r>
      <w:r>
        <w:rPr/>
        <w:t>Nikola Bariše, Financijsko izvješćivanje i povjerenje tržišta (Zagreb: Naklada Kolarić, 2019), 87.</w:t>
      </w:r>
    </w:p>
  </w:footnote>
  <w:footnote w:id="10">
    <w:p>
      <w:pPr>
        <w:pStyle w:val="BodyText"/>
        <w:bidi w:val="0"/>
        <w:spacing w:lineRule="auto" w:line="276" w:before="0" w:after="120"/>
        <w:jc w:val="both"/>
        <w:rPr/>
      </w:pPr>
      <w:r>
        <w:rPr>
          <w:rStyle w:val="FootnoteCharacters"/>
        </w:rPr>
        <w:footnoteRef/>
      </w:r>
      <w:r>
        <w:rPr/>
        <w:t>Patricia M. Dechow, Weili Ge i Catherine Schrand, „Understanding Earnings Quality: A Review of the Proxies, Their Determinants and Their Consequences”, Journal of Accounting and Economics 50, br. 2 (2010): 351.</w:t>
      </w:r>
    </w:p>
  </w:footnote>
  <w:footnote w:id="11">
    <w:p>
      <w:pPr>
        <w:pStyle w:val="BodyText"/>
        <w:bidi w:val="0"/>
        <w:spacing w:lineRule="auto" w:line="276" w:before="0" w:after="120"/>
        <w:jc w:val="both"/>
        <w:rPr/>
      </w:pPr>
      <w:r>
        <w:rPr>
          <w:rStyle w:val="FootnoteCharacters"/>
        </w:rPr>
        <w:footnoteRef/>
      </w:r>
      <w:r>
        <w:rPr/>
        <w:t>Isto, 366.</w:t>
      </w:r>
    </w:p>
  </w:footnote>
  <w:footnote w:id="12">
    <w:p>
      <w:pPr>
        <w:pStyle w:val="BodyText"/>
        <w:bidi w:val="0"/>
        <w:spacing w:lineRule="auto" w:line="276" w:before="0" w:after="120"/>
        <w:jc w:val="both"/>
        <w:rPr/>
      </w:pPr>
      <w:r>
        <w:rPr>
          <w:rStyle w:val="FootnoteCharacters"/>
        </w:rPr>
        <w:footnoteRef/>
      </w:r>
      <w:r>
        <w:rPr/>
        <w:t>Sanja Kovačević, Pravni okvir računovodstvenoga izvještavanja (Zagreb: Institut za poslovno pravo, 2018), 142.</w:t>
      </w:r>
    </w:p>
  </w:footnote>
  <w:footnote w:id="13">
    <w:p>
      <w:pPr>
        <w:pStyle w:val="BodyText"/>
        <w:bidi w:val="0"/>
        <w:spacing w:lineRule="auto" w:line="276" w:before="0" w:after="120"/>
        <w:jc w:val="both"/>
        <w:rPr/>
      </w:pPr>
      <w:r>
        <w:rPr>
          <w:rStyle w:val="FootnoteCharacters"/>
        </w:rPr>
        <w:footnoteRef/>
      </w:r>
      <w:r>
        <w:rPr/>
        <w:t>Bariše, Financijsko izvješćivanje, 103.</w:t>
      </w:r>
    </w:p>
  </w:footnote>
</w:footnote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left"/>
      <w:pPr>
        <w:tabs>
          <w:tab w:val="num" w:pos="0"/>
        </w:tabs>
        <w:ind w:left="0" w:hanging="0"/>
      </w:pPr>
    </w:lvl>
    <w:lvl w:ilvl="1">
      <w:start w:val="1"/>
      <w:numFmt w:val="none"/>
      <w:pStyle w:val="Heading2"/>
      <w:suff w:val="nothing"/>
      <w:lvlText w:val=""/>
      <w:lvlJc w:val="left"/>
      <w:pPr>
        <w:tabs>
          <w:tab w:val="num" w:pos="0"/>
        </w:tabs>
        <w:ind w:left="0" w:hanging="0"/>
      </w:pPr>
    </w:lvl>
    <w:lvl w:ilvl="2">
      <w:start w:val="1"/>
      <w:numFmt w:val="none"/>
      <w:pStyle w:val="Heading3"/>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bering>
</file>

<file path=word/settings.xml><?xml version="1.0" encoding="utf-8"?>
<w:settings xmlns:w="http://schemas.openxmlformats.org/wordprocessingml/2006/main">
  <w:zoom w:percent="100"/>
  <w:defaultTabStop w:val="709"/>
  <w:autoHyphenation w:val="true"/>
  <w:hyphenationZone w:val="0"/>
  <w:footnotePr>
    <w:numFmt w:val="decimal"/>
    <w:footnote w:id="0"/>
    <w:footnote w:id="1"/>
  </w:footnotePr>
  <w:compat>
    <w:adjustLineHeightInTable/>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NSimSun" w:cs="Lucida Sans"/>
        <w:kern w:val="2"/>
        <w:sz w:val="24"/>
        <w:szCs w:val="24"/>
        <w:lang w:val="hr-HR" w:eastAsia="zh-CN" w:bidi="hi-IN"/>
      </w:rPr>
    </w:rPrDefault>
    <w:pPrDefault>
      <w:pPr>
        <w:widowControl/>
        <w:suppressAutoHyphens w:val="true"/>
        <w:spacing w:lineRule="auto" w:line="276"/>
        <w:jc w:val="both"/>
      </w:pPr>
    </w:pPrDefault>
  </w:docDefaults>
  <w:style w:type="paragraph" w:styleId="Normal">
    <w:name w:val="Normal"/>
    <w:qFormat/>
    <w:pPr>
      <w:widowControl/>
      <w:bidi w:val="0"/>
      <w:spacing w:lineRule="auto" w:line="276"/>
      <w:jc w:val="both"/>
    </w:pPr>
    <w:rPr>
      <w:rFonts w:ascii="Times New Roman" w:hAnsi="Times New Roman" w:eastAsia="NSimSun" w:cs="Lucida Sans"/>
      <w:color w:val="auto"/>
      <w:kern w:val="2"/>
      <w:sz w:val="24"/>
      <w:szCs w:val="24"/>
      <w:lang w:val="hr-HR" w:eastAsia="zh-CN" w:bidi="hi-IN"/>
    </w:rPr>
  </w:style>
  <w:style w:type="paragraph" w:styleId="Heading1">
    <w:name w:val="heading 1"/>
    <w:basedOn w:val="Heading"/>
    <w:qFormat/>
    <w:pPr>
      <w:numPr>
        <w:ilvl w:val="0"/>
        <w:numId w:val="1"/>
      </w:numPr>
      <w:outlineLvl w:val="0"/>
    </w:pPr>
    <w:rPr>
      <w:rFonts w:ascii="Times New Roman" w:hAnsi="Times New Roman"/>
      <w:b/>
      <w:sz w:val="32"/>
    </w:rPr>
  </w:style>
  <w:style w:type="paragraph" w:styleId="Heading2">
    <w:name w:val="heading 2"/>
    <w:basedOn w:val="Heading"/>
    <w:qFormat/>
    <w:pPr>
      <w:numPr>
        <w:ilvl w:val="1"/>
        <w:numId w:val="1"/>
      </w:numPr>
      <w:outlineLvl w:val="1"/>
    </w:pPr>
    <w:rPr>
      <w:rFonts w:ascii="Times New Roman" w:hAnsi="Times New Roman"/>
      <w:b/>
      <w:sz w:val="28"/>
    </w:rPr>
  </w:style>
  <w:style w:type="paragraph" w:styleId="Heading3">
    <w:name w:val="heading 3"/>
    <w:basedOn w:val="Heading"/>
    <w:qFormat/>
    <w:pPr>
      <w:numPr>
        <w:ilvl w:val="2"/>
        <w:numId w:val="1"/>
      </w:numPr>
      <w:outlineLvl w:val="2"/>
    </w:pPr>
    <w:rPr>
      <w:rFonts w:ascii="Times New Roman" w:hAnsi="Times New Roman"/>
      <w:b/>
      <w:sz w:val="26"/>
    </w:rPr>
  </w:style>
  <w:style w:type="character" w:styleId="FootnoteCharacters">
    <w:name w:val="Footnote Characters"/>
    <w:qFormat/>
    <w:rPr/>
  </w:style>
  <w:style w:type="character" w:styleId="FootnoteReference">
    <w:name w:val="footnote reference"/>
    <w:rPr>
      <w:vertAlign w:val="superscript"/>
    </w:rPr>
  </w:style>
  <w:style w:type="character" w:styleId="EndnoteReference">
    <w:name w:val="endnote reference"/>
    <w:rPr>
      <w:vertAlign w:val="superscript"/>
    </w:rPr>
  </w:style>
  <w:style w:type="character" w:styleId="EndnoteCharacters">
    <w:name w:val="Endnote Characters"/>
    <w:qFormat/>
    <w:rPr/>
  </w:style>
  <w:style w:type="paragraph" w:styleId="Heading">
    <w:name w:val="Heading"/>
    <w:basedOn w:val="Normal"/>
    <w:next w:val="BodyText"/>
    <w:qFormat/>
    <w:pPr>
      <w:spacing w:before="240" w:after="120"/>
    </w:pPr>
    <w:rPr>
      <w:rFonts w:ascii="Times New Roman" w:hAnsi="Times New Roman"/>
      <w:b/>
      <w:sz w:val="28"/>
    </w:rPr>
  </w:style>
  <w:style w:type="paragraph" w:styleId="BodyText">
    <w:name w:val="Body Text"/>
    <w:basedOn w:val="Normal"/>
    <w:pPr>
      <w:spacing w:lineRule="auto" w:line="276" w:before="0" w:after="120"/>
      <w:jc w:val="both"/>
    </w:pPr>
    <w:rPr>
      <w:rFonts w:ascii="Times New Roman" w:hAnsi="Times New Roman"/>
      <w:sz w:val="24"/>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IndexHeading">
    <w:name w:val="index heading"/>
    <w:basedOn w:val="Heading"/>
    <w:pPr>
      <w:suppressLineNumbers/>
      <w:ind w:hanging="0" w:left="0"/>
    </w:pPr>
    <w:rPr>
      <w:b/>
      <w:bCs/>
      <w:sz w:val="32"/>
      <w:szCs w:val="32"/>
    </w:rPr>
  </w:style>
  <w:style w:type="paragraph" w:styleId="TOCHeading">
    <w:name w:val="TOC Heading"/>
    <w:basedOn w:val="Heading"/>
    <w:qFormat/>
    <w:pPr/>
    <w:rPr>
      <w:b/>
      <w:sz w:val="32"/>
    </w:rPr>
  </w:style>
  <w:style w:type="paragraph" w:styleId="TOC1">
    <w:name w:val="toc 1"/>
    <w:basedOn w:val="Normal"/>
    <w:pPr/>
    <w:rPr/>
  </w:style>
  <w:style w:type="paragraph" w:styleId="TOC2">
    <w:name w:val="toc 2"/>
    <w:basedOn w:val="Normal"/>
    <w:pPr/>
    <w:rPr/>
  </w:style>
  <w:style w:type="paragraph" w:styleId="Naslovnica">
    <w:name w:val="Naslovnica"/>
    <w:basedOn w:val="Normal"/>
    <w:qFormat/>
    <w:pPr>
      <w:spacing w:lineRule="auto" w:line="360" w:before="113" w:after="113"/>
      <w:jc w:val="center"/>
    </w:pPr>
    <w:rPr>
      <w:rFonts w:ascii="Times New Roman" w:hAnsi="Times New Roman"/>
      <w:sz w:val="24"/>
    </w:rPr>
  </w:style>
  <w:style w:type="paragraph" w:styleId="Natpis">
    <w:name w:val="Natpis"/>
    <w:basedOn w:val="Normal"/>
    <w:qFormat/>
    <w:pPr>
      <w:spacing w:before="113" w:after="227"/>
      <w:jc w:val="center"/>
    </w:pPr>
    <w:rPr>
      <w:rFonts w:ascii="Times New Roman" w:hAnsi="Times New Roman"/>
      <w:i/>
      <w:sz w:val="22"/>
    </w:rPr>
  </w:style>
  <w:style w:type="paragraph" w:styleId="PrijelomStranice">
    <w:name w:val="PrijelomStranice"/>
    <w:basedOn w:val="Normal"/>
    <w:qFormat/>
    <w:pPr/>
    <w:rPr/>
  </w:style>
  <w:style w:type="paragraph" w:styleId="HeaderandFooter">
    <w:name w:val="Header and Footer"/>
    <w:basedOn w:val="Normal"/>
    <w:qFormat/>
    <w:pPr>
      <w:suppressLineNumbers/>
      <w:tabs>
        <w:tab w:val="clear" w:pos="709"/>
        <w:tab w:val="center" w:pos="4819" w:leader="none"/>
        <w:tab w:val="right" w:pos="9638" w:leader="none"/>
      </w:tabs>
    </w:pPr>
    <w:rPr/>
  </w:style>
  <w:style w:type="paragraph" w:styleId="Footer">
    <w:name w:val="footer"/>
    <w:basedOn w:val="Normal"/>
    <w:pPr>
      <w:jc w:val="center"/>
    </w:pPr>
    <w:rPr>
      <w:rFonts w:ascii="Times New Roman" w:hAnsi="Times New Roman"/>
      <w:sz w:val="24"/>
    </w:rPr>
  </w:style>
  <w:style w:type="paragraph" w:styleId="FootnoteText">
    <w:name w:val="footnote text"/>
    <w:basedOn w:val="Normal"/>
    <w:pPr>
      <w:suppressLineNumbers/>
      <w:ind w:hanging="340" w:left="340"/>
    </w:pPr>
    <w:rPr>
      <w:sz w:val="20"/>
      <w:szCs w:val="20"/>
    </w:rPr>
  </w:style>
  <w:style w:type="paragraph" w:styleId="TableContents">
    <w:name w:val="Table Contents"/>
    <w:basedOn w:val="Normal"/>
    <w:qFormat/>
    <w:pPr>
      <w:widowControl w:val="false"/>
      <w:suppressLineNumber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1.png"/><Relationship Id="rId4" Type="http://schemas.openxmlformats.org/officeDocument/2006/relationships/footer" Target="footer1.xml"/><Relationship Id="rId5" Type="http://schemas.openxmlformats.org/officeDocument/2006/relationships/footnotes" Target="footnotes.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LibreOffice/26.2.5.2$Windows_X86_64 LibreOffice_project/cd7284b4cbbfeb507e630c1aac019f4157393acb</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hr-HR</dc:language>
  <cp:lastModifiedBy/>
  <cp:revision>0</cp:revision>
  <dc:subject/>
  <dc:title/>
</cp:coreProperties>
</file>