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4909A8" w:rsidP="004909A8">
      <w:pPr>
        <w:jc w:val="center"/>
      </w:pPr>
      <w:r>
        <w:t>SVEUČILIŠTE U RIJECI</w:t>
      </w:r>
    </w:p>
    <w:p w:rsidR="004909A8" w:rsidRDefault="004909A8" w:rsidP="004909A8">
      <w:pPr>
        <w:jc w:val="center"/>
      </w:pPr>
    </w:p>
    <w:p w:rsidR="004909A8" w:rsidRDefault="004909A8" w:rsidP="004909A8">
      <w:pPr>
        <w:jc w:val="center"/>
      </w:pPr>
      <w:r>
        <w:t>FAKULTET ZDRAVSTVENIH STUDIJA</w:t>
      </w:r>
    </w:p>
    <w:p w:rsidR="004909A8" w:rsidRDefault="004909A8" w:rsidP="004909A8">
      <w:pPr>
        <w:jc w:val="center"/>
      </w:pPr>
    </w:p>
    <w:p w:rsidR="004909A8" w:rsidRDefault="004909A8" w:rsidP="004909A8">
      <w:pPr>
        <w:jc w:val="center"/>
      </w:pPr>
      <w:r>
        <w:t>PRIJEDIPLOMSKI STRUČNI STUDIJ RADIOLOŠKA TEHNOLOGIJA</w:t>
      </w:r>
    </w:p>
    <w:p w:rsidR="004909A8" w:rsidRDefault="004909A8" w:rsidP="004909A8">
      <w:pPr>
        <w:jc w:val="center"/>
      </w:pPr>
    </w:p>
    <w:p w:rsidR="004909A8" w:rsidRDefault="004909A8" w:rsidP="004909A8">
      <w:pPr>
        <w:jc w:val="center"/>
      </w:pPr>
      <w:r>
        <w:t>Marta Vlahović</w:t>
      </w:r>
    </w:p>
    <w:p w:rsidR="004909A8" w:rsidRDefault="004909A8" w:rsidP="004909A8">
      <w:pPr>
        <w:jc w:val="center"/>
      </w:pPr>
    </w:p>
    <w:p w:rsidR="004909A8" w:rsidRDefault="004909A8" w:rsidP="004909A8">
      <w:pPr>
        <w:jc w:val="center"/>
      </w:pPr>
      <w:r>
        <w:t>KOMUNIKACIJSKA I ETIČKA DIMENZIJA RADA RADIOLOŠKOG TEHNOLOGA: POJMOVNI OKVIR PROFESIONALNE ODGOVORNOSTI</w:t>
      </w:r>
    </w:p>
    <w:p w:rsidR="004909A8" w:rsidRDefault="004909A8" w:rsidP="004909A8">
      <w:pPr>
        <w:jc w:val="center"/>
      </w:pPr>
    </w:p>
    <w:p w:rsidR="004909A8" w:rsidRDefault="004909A8" w:rsidP="004909A8">
      <w:pPr>
        <w:jc w:val="center"/>
      </w:pPr>
      <w:r>
        <w:t>Završni rad</w:t>
      </w:r>
    </w:p>
    <w:p w:rsidR="004909A8" w:rsidRDefault="004909A8" w:rsidP="004909A8">
      <w:pPr>
        <w:jc w:val="center"/>
      </w:pPr>
    </w:p>
    <w:p w:rsidR="004909A8" w:rsidRDefault="004909A8" w:rsidP="004909A8">
      <w:pPr>
        <w:jc w:val="center"/>
      </w:pPr>
      <w:r>
        <w:t>Zagreb, 2026.</w:t>
      </w:r>
    </w:p>
    <w:p w:rsidR="004909A8" w:rsidRDefault="004909A8" w:rsidP="004909A8">
      <w:pPr>
        <w:jc w:val="center"/>
      </w:pPr>
    </w:p>
    <w:p w:rsidR="004909A8" w:rsidRDefault="004909A8">
      <w:pPr>
        <w:spacing w:line="276" w:lineRule="auto"/>
        <w:jc w:val="left"/>
      </w:pPr>
      <w:r>
        <w:br w:type="page"/>
      </w:r>
    </w:p>
    <w:p w:rsidR="004909A8" w:rsidRDefault="004909A8" w:rsidP="004909A8">
      <w:pPr>
        <w:pStyle w:val="Heading1"/>
      </w:pPr>
      <w:r>
        <w:lastRenderedPageBreak/>
        <w:t>Sazetak</w:t>
      </w:r>
    </w:p>
    <w:p w:rsidR="004909A8" w:rsidRDefault="004909A8" w:rsidP="004909A8">
      <w:r>
        <w:t>Rad se bavi pojmom profesionalne odgovornosti radiološkog tehnologa i pitanjem može li se ta odgovornost odrediti isključivo tehnički, opisom postupka koji se izvodi. Polazi se od dvaju rječnika kojima struka opisuje vlastiti rad, tehničkoga i skrbničkoga, te se pokazuje da se njihove obveze ne mogu jednostavno zbrojiti. Nakon raščlambe pojma odgovornosti na značenja prema smjeru gledanja, prema tijelu koje presuđuje i prema djeljivosti pripisivanja, rad razmatra odnos odgovornosti i samostalnosti te tvrdi da se opseg jednoga ne može odrediti neovisno o opsegu drugoga. Središnji dio pokazuje da obavijest prije pretrage, prepoznavanje situacijske ranjivosti, prevođenje stručnoga rječnika i predaja podatka drugom članu tima mijenjaju tijek postupka, a ne pripadaju rukovanju uređajem. Iz toga se izvodi zaključak da određenje koje ih priznaje kao djelatne, a isključuje iz odgovornosti, nije uže nego nedosljedno. Rad je pojmovni pregled bez vlastita istraživanja; ne donosi preporuke o postupanju niti opisuje praksu ijedne ustanove.</w:t>
      </w:r>
    </w:p>
    <w:p w:rsidR="004909A8" w:rsidRDefault="004909A8" w:rsidP="004909A8">
      <w:r>
        <w:t>Kljucne rijeci: profesionalna odgovornost, radiološka tehnologija, komunikacija u zdravstvu, kompetencija, biomedicinska etika</w:t>
      </w:r>
    </w:p>
    <w:p w:rsidR="004909A8" w:rsidRDefault="004909A8" w:rsidP="004909A8">
      <w:pPr>
        <w:pStyle w:val="Heading1"/>
      </w:pPr>
      <w:r>
        <w:t>Abstract</w:t>
      </w:r>
    </w:p>
    <w:p w:rsidR="004909A8" w:rsidRDefault="004909A8" w:rsidP="004909A8">
      <w:r>
        <w:t xml:space="preserve">This thesis examines the concept of professional responsibility of the radiologic technologist and asks whether that responsibility can be defined in purely technical terms, that is, by describing the procedure performed. It starts from the two vocabularies the profession uses to describe its own work, the technical and the caring one, and shows that the obligations arising from them cannot simply be added together. After distinguishing the meanings of responsibility according to the direction of view, the body that adjudicates and the divisibility of attribution, the thesis considers the relation between responsibility and autonomy and argues that the scope of one cannot be determined independently of the scope of the other. The central part shows that pre-examination information, recognition of situational vulnerability, translation of professional vocabulary and handover of information to another team member alter the course of the procedure, yet none of them belongs to operating the equipment. It follows that a definition which acknowledges them as effective while excluding them from responsibility is not narrower but inconsistent. The thesis is a </w:t>
      </w:r>
      <w:r>
        <w:lastRenderedPageBreak/>
        <w:t>conceptual review without original research; it offers no recommendations for practice and describes no institution.</w:t>
      </w:r>
    </w:p>
    <w:p w:rsidR="004909A8" w:rsidRDefault="004909A8" w:rsidP="004909A8">
      <w:r>
        <w:t>Keywords: professional responsibility, radiologic technology, health communication, competence, biomedical ethics</w:t>
      </w:r>
    </w:p>
    <w:p w:rsidR="004909A8" w:rsidRDefault="004909A8" w:rsidP="004909A8">
      <w:pPr>
        <w:pStyle w:val="Heading1"/>
      </w:pPr>
      <w:r>
        <w:t>1. Uvod</w:t>
      </w:r>
    </w:p>
    <w:p w:rsidR="004909A8" w:rsidRDefault="004909A8" w:rsidP="004909A8">
      <w:r>
        <w:t>Radiološka tehnologija razvila se iz uskoga tehničkog posla u zdravstvenu profesiju s vlastitim područjem odgovornosti, vlastitim obrazovnim putem i vlastitim strukovnim standardima (1). Ta promjena nije bila samo institucionalna, nego i pojmovna. Ono što se nekada opisivalo kao rukovanje uređajem danas se opisuje kao sudjelovanje u dijagnostičkom postupku. Zajedno s time mijenja se i rječnik kojim struka govori o sebi, pa se uz tehničke nazive pojavljuju i pojmovi preuzeti iz skrbi, poput povjerenja, pristanka i dostojanstva. Rasprava o tome pripadaju li ti pojmovi jezgri struke ili njezinu rubu nije stilsko pitanje, jer o odgovoru ovisi kako se određuje granica odgovornosti pojedinog djelatnika. Upravo je ta granica predmet ovoga rada. Njezino određenje nije stvar dogovora među kolegama, nego pitanje s posljedicama u obrazovanju i u nadzoru.</w:t>
      </w:r>
    </w:p>
    <w:p w:rsidR="004909A8" w:rsidRDefault="004909A8" w:rsidP="004909A8">
      <w:r>
        <w:t>Problem se može izreći jednostavno. Ako se odgovornost odredi tehnički, ona završava ondje gdje završava propisani postupak, pa ono što se dogodi u susretu s pacijentom pripada nekomu drugomu (2). Ako se pak odredi odnosno, granica postaje nejasna i struka riskira da preuzme obveze za koje nema ni ovlasti ni vremena (3). Oba određenja imaju svoju cijenu, a ni jedno se ne može odbaciti pukim pozivom na zdrav razum. Teza je ovoga rada da se profesionalna odgovornost radiološkog tehnologa ne može iscrpiti tehničkom ispravnošću postupka, jer se dio njezina sadržaja pojavljuje tek u odnosu s pacijentom, pa je komunikacijska kompetencija sastavnica stručnog postupka, a ne njegov dodatak. Tvrdnja se u nastavku razlaže u četiri koraka, od pojma profesije prema pojmu odgovornosti, pa prema komunikaciji i naposljetku prema etičkom okviru.</w:t>
      </w:r>
    </w:p>
    <w:p w:rsidR="004909A8" w:rsidRDefault="004909A8" w:rsidP="004909A8">
      <w:r>
        <w:t xml:space="preserve">Cilj rada nije opisati kako se pojedini postupak izvodi niti predložiti promjenu u praksi. Cilj je pojmovni, dakle razlučiti značenja koja se u strukovnoj literaturi pripisuju pojmu odgovornosti i pokazati koja od njih tehnički opis ne može obuhvatiti. Rad je narativni pregled pojmovne literature, a ne sustavni pregled dokaza; pri odabiru i prikazu građe </w:t>
      </w:r>
      <w:r>
        <w:lastRenderedPageBreak/>
        <w:t>slijeđena je logika izvještavanja koju za preglede propisuje PRISMA (4), premda strogi protokol sustavnog pregleda ovdje nije primjenjiv. Zbog toga se u radu ne iznose brojčani nalazi, ne uspoređuju se ustanove i ne donose se preporuke o postupanju s pojedinim pacijentom. Rezultat je pojmovni okvir, a ne uputa za rad. Građa je birana tako da obuhvati i sociološku i etičku literaturu, jer se pojam odgovornosti ne razjašnjava unutar samo jedne tradicije. Ograničenja su navedena u zaključku.</w:t>
      </w:r>
    </w:p>
    <w:p w:rsidR="004909A8" w:rsidRDefault="004909A8" w:rsidP="004909A8">
      <w:pPr>
        <w:pStyle w:val="Heading1"/>
      </w:pPr>
      <w:r>
        <w:t>2. Pojmovni okvir</w:t>
      </w:r>
    </w:p>
    <w:p w:rsidR="004909A8" w:rsidRDefault="004909A8" w:rsidP="004909A8">
      <w:pPr>
        <w:pStyle w:val="Heading2"/>
      </w:pPr>
      <w:r>
        <w:t>2.1. Određenje profesije i profesionalizacije</w:t>
      </w:r>
    </w:p>
    <w:p w:rsidR="004909A8" w:rsidRDefault="004909A8" w:rsidP="004909A8">
      <w:r>
        <w:t>U sociologiji zanimanja profesija se razlikuje od ostalih zanimanja skupom obilježja koja se ponavljaju u većini određenja: vlastito sustavno znanje, dugotrajno formalno obrazovanje, nadzor nad ulaskom u struku, etički kodeks i priznata autonomija u odlučivanju (5). Ni jedno od tih obilježja nije dovoljno samo za sebe, a njihova prisutnost nije pitanje jednostavnoga da ili ne, nego pitanje stupnja. Zbog toga se u literaturi rjeđe pita je li neko zanimanje profesija, a češće koliko je daleko odmaklo u profesionalizaciji. Takav postupni pogled prikladniji je za zdravstvena strukovna zanimanja, jer ona svoja obilježja stječu različitim redoslijedom i različitom brzinom, ovisno o tome kako je u pojedinoj sredini uređeno obrazovanje. U novijim se raspravama tomu popisu dodaje i orijentacija prema javnom dobru, koja se navodi kao razlika između profesije i običnoga zanata.</w:t>
      </w:r>
    </w:p>
    <w:p w:rsidR="004909A8" w:rsidRDefault="004909A8" w:rsidP="004909A8">
      <w:r>
        <w:t>Profesionalizacija se tada opisuje kao proces u kojem zanimanje postupno preuzima nadzor nad vlastitim područjem rada (6). Prvi korak obično je preseljenje izobrazbe iz ustanove u kojoj se radi u ustanovu koja obrazuje, čime znanje prestaje biti vještina koja se prenosi gledanjem. Drugi je uspostava strukovne organizacije koja govori u ime svih članova. Treći, i redovito najsporiji, jest priznanje da članovi struke o nečemu odlučuju sami. Redoslijed tih koraka nije nužan ni jednosmjeran, a zastoj na trećem koraku posve je uobičajen. Zanimanje može imati studij i komoru, a da se u svakodnevnom radu i dalje opisuje kao izvršitelj tuđe odluke. Za razumijevanje položaja pojedine struke zato je važnije pitati koji je korak izostao i zašto, nego koliko ih je ukupno prijeđeno. Odgovor na to pitanje redovito je povijesni, a ne pojmovni.</w:t>
      </w:r>
    </w:p>
    <w:p w:rsidR="004909A8" w:rsidRDefault="004909A8" w:rsidP="004909A8">
      <w:r>
        <w:lastRenderedPageBreak/>
        <w:t>Uz taj proces ide i njegova sjena. Zatvaranje struke prema van, koje je uvjet njezine samostalnosti, istodobno je i sredstvo obrane vlastitoga položaja (7). Kriterij ulaska štiti pacijenta od nestručnosti, ali štiti i članove struke od konkurencije, a ta se dva učinka u praksi ne mogu razdvojiti. Kritika koja iz toga slijedi ne tvrdi da je profesionalizacija neiskrena, nego da se njezini razlozi ne mogu čitati samo kao briga za kvalitetu. Za ovaj rad ta je opaska važna zato što se rasprava o granicama uloge redovito vodi rječnikom kvalitete, dok su ulozi u njoj istodobno i pitanja ovlasti i pitanja položaja. Ista se dvoznačnost pojavljuje i u raspravama o kompetencijama, gdje se proširenje popisa istodobno brani kvalitetom skrbi i tumači kao preuzimanje tuđega područja rada.</w:t>
      </w:r>
    </w:p>
    <w:p w:rsidR="004909A8" w:rsidRDefault="004909A8" w:rsidP="004909A8">
      <w:r>
        <w:t>Iz svega toga slijedi metodološki oprez. Popis obilježja profesije koristan je kao mjerilo, ali se lako pretvori u ocjenu, pa se zanimanje koje ne ispunjava svaku stavku proglasi manje vrijednim. Takav zaključak ne slijedi iz samoga popisa, jer popis opisuje jedan povijesni put, onaj klasičnih profesija, a ne jedini mogući. Zdravstvena strukovna zanimanja nastala su unutar bolnice, u odnosu prema liječničkoj profesiji, i njihova se samostalnost gradi drukčije. Zato se u nastavku popis obilježja upotrebljava opisno, da bi se vidjelo gdje su granice nejasne, a ne zato da bi se izrekla presuda o zrelosti struke. Opisna uporaba pritom ne znači odustajanje od suda. Ona samo traži da se sud izrekne o pojedinom obilježju, uz navođenje razloga, umjesto da se izvede iz zbroja ispunjenih stavki na popisu.</w:t>
      </w:r>
    </w:p>
    <w:p w:rsidR="004909A8" w:rsidRDefault="004909A8" w:rsidP="004909A8">
      <w:pPr>
        <w:pStyle w:val="Heading2"/>
      </w:pPr>
      <w:r>
        <w:t>2.2. Radiološka tehnologija kao zdravstvena profesija</w:t>
      </w:r>
    </w:p>
    <w:p w:rsidR="004909A8" w:rsidRDefault="004909A8" w:rsidP="004909A8">
      <w:r>
        <w:t>Radiološka tehnologija ima većinu obilježja s toga popisa. Izobrazba se odvija na visokoškolskoj razini i završava stručnim nazivom, postoji strukovna organizacija, a područje rada opisano je dokumentima koji nabrajaju postupke i uvjete za njihovo izvođenje (8). Znanje na kojem struka počiva sastavljeno je iz više izvora: fizike oslikavanja, anatomije, tehnologije uređaja i organizacije rada. Ta složenost sama po sebi nije neobična, jer je dijele i druga zdravstvena zanimanja. Neobično je nešto drugo. Jezgra toga znanja opisuje uređaj i postupak, dok se znatan dio svakodnevnoga rada odvija u susretu s osobom koja u takvu opisu nema svoje mjesto. Ta praznina u opisu nije samo teorijska, jer se opisi poslova upotrebljavaju i pri izradi nastavnih programa. Ono što u opisu ne postoji teško nalazi svoje mjesto u nastavi.</w:t>
      </w:r>
    </w:p>
    <w:p w:rsidR="004909A8" w:rsidRDefault="004909A8" w:rsidP="004909A8">
      <w:r>
        <w:lastRenderedPageBreak/>
        <w:t>Ta se dvojnost vidi već u načinu na koji se posao imenuje. Isti se rad u jednom dokumentu opisuje kao izvođenje snimanja, dakle kao niz radnji nad predmetom, a u drugom kao skrb za pacijenta tijekom postupka, dakle kao odnos prema osobi (9). Oba su opisa točna i ni jedan nije potpun. Problem nastaje kad se iz njih izvode obveze, jer se obveze iz prvoga opisa mogu nabrojati, a obveze iz drugoga ne mogu. Popis radnji ima svoj kraj; obveza da se prema nekome postupa obzirno nema ga na isti način. Zbog toga se dva rječnika ne mogu jednostavno zbrojiti. Zbrajanje se čini mogućim samo dok se ostaje na razini nabrajanja. Čim se zapita tko za koju obvezu odgovara i pred kim, razlika u naravi tih obveza postaje očita.</w:t>
      </w:r>
    </w:p>
    <w:p w:rsidR="004909A8" w:rsidRDefault="004909A8" w:rsidP="004909A8">
      <w:r>
        <w:t>Ovdje se vraća pitanje profesionalizacije. Ako se struka odredi prvim rječnikom, njezin je opseg jasan, ali je i uzak, a samostalnost se svodi na izbor između unaprijed propisanih mogućnosti (2). Ako se odredi drugim, opseg raste, ali se gubi mjerilo po kojem bi se moglo reći je li obveza ispunjena. Zanimanja koja su taj put prošla ranije riješila su napetost tako da su drugi rječnik uvela u vlastite standarde i time mu dala mjerljiv oblik. Nije pritom riječ o tome da je odnos pretvoren u postupak, nego o tome da su njegovi dijelovi imenovani, pa se o njima može učiti i raspravljati. Taj je postupak imenovanja u drugim strukama trajao desetljećima i nije bio ni brz ni bezbolan, jer je svako imenovanje otvaralo pitanje tko će za imenovano odgovarati.</w:t>
      </w:r>
    </w:p>
    <w:p w:rsidR="004909A8" w:rsidRDefault="004909A8" w:rsidP="004909A8">
      <w:r>
        <w:t>Posljedica za pojam odgovornosti time je izravna. Dok god drugi rječnik ostaje izvan standarda, sve što u njemu leži pojavljuje se kao osobna vrlina pojedinoga djelatnika, a ne kao obveza struke. Ljubaznost tada postaje stvar karaktera, a ne dio posla, i o njoj se ne može govoriti u istim rečenicama u kojima se govori o ispravno izvedenom postupku. Takvo je razdvajanje udobno jer smanjuje odgovornost, ali je i skupo, jer ono što nije obveza ne može biti ni predmet učenja ni predmet zaštite. Rad se zato u nastavku bavi upravo tim prijelazom, od vrline prema obvezi. Prijelaz nije samo terminološki. Ono što postane obveza ulazi u nastavni program, u opis posla i u postupak provjere, pa se o njemu može govoriti razložno umjesto da ostane predmet dojma.</w:t>
      </w:r>
    </w:p>
    <w:p w:rsidR="004909A8" w:rsidRDefault="004909A8" w:rsidP="004909A8">
      <w:pPr>
        <w:pStyle w:val="Heading2"/>
      </w:pPr>
      <w:r>
        <w:t>2.3. Kompetencije i njihove granice</w:t>
      </w:r>
    </w:p>
    <w:p w:rsidR="004909A8" w:rsidRDefault="004909A8" w:rsidP="004909A8">
      <w:r>
        <w:t xml:space="preserve">Pojam kompetencije uveden je u strukovne dokumente da bi povezao znanje, vještinu i odgovornost u jednu jedinicu koja se može opisati i provjeriti (10). Kompetencija u tom smislu nije ono što netko zna, nego ono što smije i može učiniti, uz obvezu da za učinjeno </w:t>
      </w:r>
      <w:r>
        <w:lastRenderedPageBreak/>
        <w:t>odgovara. Takvo određenje ima praktičnu prednost, budući da dopušta da se posao podijeli među članovima tima bez pozivanja na hijerarhiju, jer podjela slijedi iz opisa, a ne iz položaja pojedinca. Ima, dakako, i svoju cijenu, jer sve što se ne da opisati kao provjerljiv ishod teško ulazi u popis kompetencija i time ostaje izvan dogovora. U praksi to znači da popis kompetencija uvijek zaostaje za poslom koji se stvarno obavlja. Zaostatak sam po sebi nije pogreška, ali postaje problem kad se popis počne čitati kao potpun opis.</w:t>
      </w:r>
    </w:p>
    <w:p w:rsidR="004909A8" w:rsidRDefault="004909A8" w:rsidP="004909A8">
      <w:r>
        <w:t>Granica kompetencije zato je dvostruka. Prema gore, ona odvaja ono što djelatnik smije od onoga što je pridržano drugoj struci, i ta je granica obično razmjerno jasno zapisana (11). Prema unutra, ona odvaja ono za što odgovara djelatnik od onoga za što odgovara ustanova, i ta je granica gotovo uvijek nejasna. Nejasnoća nije propust u pisanju nego posljedica toga što se dio posla odvija u uvjetima koje pojedinac ne određuje. Rasporedom, opremom i vremenom predviđenim po pretrazi ne upravlja onaj tko pretragu izvodi, a ipak se posljedice tih odluka pokazuju upravo u njegovu radu. Zato se pitanje odgovornosti u ustanovi rijetko rješava tumačenjem opisa posla. Rješava se pregovorom, a ishod toga pregovora ovisi o tome koliko je struka u stanju vlastite obveze izreći razgovijetno.</w:t>
      </w:r>
    </w:p>
    <w:p w:rsidR="004909A8" w:rsidRDefault="004909A8" w:rsidP="004909A8">
      <w:r>
        <w:t>Sastavnice o kojima je dosad bila riječ mogu se prikazati i odvojeno, pa se tek tada vidi koliko ih je izvan tehničkoga opisa. U Tablici 2 razlikuju se četiri takve sastavnice: davanje obavijesti, provjera razumijevanja, prepoznavanje nelagode i predaja obavijesti drugom članu tima. Ni jedna od njih nije vještina rukovanja uređajem, a sve četiri utječu na tijek i ishod postupka. Njihovo izdvajanje nije prijedlog nove podjele posla, nego pokušaj da se imenuje ono što u postojećim opisima ostaje neimenovano. Tek kad su sastavnice imenovane, može se smisleno pitati tko za koju od njih odgovara. Popis je namjerno kratak i ne teži iscrpnosti. Njegova je uloga ograničena i svodi se na to da pokaže kako postoji skup obveza koje se redovito obavljaju, a nigdje se ne vode kao dio stručnoga postupka.</w:t>
      </w:r>
    </w:p>
    <w:p w:rsidR="004909A8" w:rsidRDefault="004909A8" w:rsidP="004909A8">
      <w:pPr>
        <w:pStyle w:val="Heading1"/>
      </w:pPr>
      <w:r>
        <w:t>3. Odgovornost kao pojam</w:t>
      </w:r>
    </w:p>
    <w:p w:rsidR="004909A8" w:rsidRDefault="004909A8" w:rsidP="004909A8">
      <w:pPr>
        <w:pStyle w:val="Heading2"/>
      </w:pPr>
      <w:r>
        <w:t>3.1. Vrste odgovornosti</w:t>
      </w:r>
    </w:p>
    <w:p w:rsidR="004909A8" w:rsidRDefault="004909A8" w:rsidP="004909A8">
      <w:r>
        <w:t xml:space="preserve">Riječ odgovornost u strukovnim tekstovima nosi najmanje tri različita značenja, a njihovo miješanje izvor je većine nesporazuma (12). U prvom značenju odgovornost je pogled unaprijed: netko je zadužen za nešto, pa se od njega očekuje da to i učini. U drugom je </w:t>
      </w:r>
      <w:r>
        <w:lastRenderedPageBreak/>
        <w:t>odgovornost pogled unatrag: nešto se dogodilo i traži se onaj komu se to može pripisati. U trećem je odgovornost svojstvo osobe, sklonost da se obveze shvate ozbiljno. Prva se dva značenja odnose na uloge i događaje, treće na karakter, i zaključci se između njih ne prenose bez dodatnog obrazloženja. Nesporazum je najčešće tih, jer sve tri uporabe zvuče jednako uvjerljivo. Tek kad se zatraži da se tvrdnja preformulira drugim značenjem, pokaže se da rečenica koja je izgledala jasno zapravo govori o dvjema različitim stvarima.</w:t>
      </w:r>
    </w:p>
    <w:p w:rsidR="004909A8" w:rsidRDefault="004909A8" w:rsidP="004909A8">
      <w:r>
        <w:t>Uz to razlikovanje ide i drugo, prema tome tko presuđuje. Pravna odgovornost pretpostavlja propis i postupak u kojem se utvrđuje je li prekršen; strukovna pretpostavlja pravila struke i tijelo koje ih tumači; moralna ne pretpostavlja ni jedno ni drugo, nego se poziva na razloge koje bi sudionik morao prihvatiti (3). Te se tri vrste često poklapaju, ali se nipošto ne moraju poklopiti. Postupak može biti u skladu s propisom, a ipak izazvati prigovor unutar struke; može zadovoljiti struku, a ostaviti moralni ostatak. Upravo se taj ostatak najčešće opisuje kao osjećaj da nešto ipak nije bilo u redu. Razilaženje triju vrsta nije znak da je jedna od njih suvišna. Ono je znak da se svaka poziva na drukčiji razlog, pa se odluka donesena po jednoj ne može braniti drugom.</w:t>
      </w:r>
    </w:p>
    <w:p w:rsidR="004909A8" w:rsidRDefault="004909A8" w:rsidP="004909A8">
      <w:r>
        <w:t>Treće se razlikovanje tiče toga koliko je odgovornost djeljiva (13). Odgovornost za pojedinu radnju obično se može pripisati jednoj osobi, jer se zna tko ju je izveo. Odgovornost za ishod postupka gotovo se nikada ne može pripisati na taj način, jer ishod ovisi o nizu odluka različitih ljudi u različito vrijeme. Kad se te dvije razine pomiješaju, nastaju dvije suprotne pogreške: ili se pojedincu pripiše sve, pa odgovara i za uvjete na koje nije mogao utjecati, ili mu se ne pripiše ništa, pa odgovornost nestane u ustanovi. Ni jedno ni drugo ne opisuje stvarnu raspodjelu. Između tih dviju krajnosti nema srednjega rješenja koje bi se moglo propisati unaprijed. Postoji samo obveza da se pri svakom pripisivanju kaže o kojoj je razini riječ i tko je na njoj mogao odlučivati.</w:t>
      </w:r>
    </w:p>
    <w:p w:rsidR="004909A8" w:rsidRDefault="004909A8" w:rsidP="004909A8">
      <w:r>
        <w:t xml:space="preserve">Odnosi među tim razlikovanjima pregledno su prikazani u Tablici 1, gdje su razine odgovornosti poredane prema tome tko presuđuje i koliko je pripisivanje djeljivo. Isti se odnos može prikazati i prostorno, pa je na Slici 1 pojam odgovornosti predstavljen kao tri koncentrična područja, od uže tehničke jezgre prema širem području odnosa i najširem području uvjeta rada. Prikaz nije mjeren nego pojmovan i ne tvrdi ništa o učestalosti pojedine vrste. Njegova je jedina svrha pokazati da se područja ne isključuju, nego se sadrže </w:t>
      </w:r>
      <w:r>
        <w:lastRenderedPageBreak/>
        <w:t>jedno u drugom, i da granica među njima nije crta nego pojas. Prikaz treba čitati kao pomagalo u raspravi, a ne kao model koji bi se dao provjeriti podacima. Njegova vrijednost prestaje ondje gdje počinje pitanje koliko se često pojedina razina u praksi doista pojavljuje.</w:t>
      </w:r>
    </w:p>
    <w:p w:rsidR="004909A8" w:rsidRDefault="004909A8" w:rsidP="004909A8">
      <w:pPr>
        <w:pStyle w:val="Heading2"/>
      </w:pPr>
      <w:r>
        <w:t>3.2. Odgovornost i autonomija</w:t>
      </w:r>
    </w:p>
    <w:p w:rsidR="004909A8" w:rsidRDefault="004909A8" w:rsidP="004909A8">
      <w:r>
        <w:t>Odgovornost pretpostavlja mogućnost izbora. Komu nije ostavljena nikakva mogućnost da postupi drukčije, tomu se učinjeno ne može pripisati u punom smislu, i to je najstariji uvjet u raspravi o odgovornosti (14). Iz njega slijedi da se opseg odgovornosti ne može odrediti neovisno o opsegu samostalnosti. Zanimanje koje se opisuje kao izvršitelj tuđe odluke ne može istodobno nositi punu odgovornost za ishod te odluke. Rasprave o strukovnoj odgovornosti koje taj uvjet preskoče redovito završe u zahtjevu da netko preuzme više odgovornosti a da mu se pritom ne dade nimalo više prostora za odlučivanje. Uvjet izbora pritom ne traži potpunu slobodu. Dovoljno je da je postojala barem jedna razložna mogućnost da se postupi drukčije, i upravo se o postojanju te mogućnosti u sporovima najčešće raspravlja.</w:t>
      </w:r>
    </w:p>
    <w:p w:rsidR="004909A8" w:rsidRDefault="004909A8" w:rsidP="004909A8">
      <w:r>
        <w:t>Ovdje se vidi zašto je pitanje profesionalizacije iz prethodnoga poglavlja bilo nužno. Stupanj samostalnosti nije osobina pojedinca nego položaja koji struka kao cjelina ima (6). Ako je taj položaj uzak, širenje odgovornosti pojedinca djeluje kao nepravedan zahtjev; ako je širok, ograničavanje odgovornosti djeluje kao izbjegavanje. Zbog toga se pojmovi odgovornosti i samostalnosti moraju razmatrati zajedno, kao dvije strane istoga određenja uloge. Rasprava koja jedno uzme kao zadano, a o drugome pregovara, unaprijed je nesimetrična, i to je oblik koji se u strukovnim raspravama pojavljuje razmjerno često. Simetrična rasprava zato mora početi od pitanja o ovlastima, a ne od pitanja o obvezama. Redoslijed tu nije formalnost, budući da onaj tko prvi prihvati obvezu teško poslije dobije prostor u kojem bi je mogao ispuniti. Isto vrijedi i za pregovore o opisu posla.</w:t>
      </w:r>
    </w:p>
    <w:p w:rsidR="004909A8" w:rsidRDefault="004909A8" w:rsidP="004909A8">
      <w:r>
        <w:t xml:space="preserve">Postoji i druga asimetrija, ona u samom susretu. Osoba koja dolazi na pretragu obično ne poznaje postupak, ne može procijeniti je li izveden ispravno i nema stvarnog izbora ako želi nalaz. Ta neravnoteža znanja i položaja nije nedostatak sustava nego njegovo trajno obilježje, jednako kao i u drugim zdravstvenim susretima. Iz nje slijedi da teret objašnjavanja pripada onomu tko zna, a ne onomu tko pita. Odgovornost se u tom smislu ne izvodi iz ugovora između jednakih, nego iz nejednakosti u kojoj se jedna strana oslanja na drugu. To </w:t>
      </w:r>
      <w:r>
        <w:lastRenderedPageBreak/>
        <w:t>je razlog zbog kojega se pojam povjerenja u ovoj raspravi ne može zaobići. Iz te nejednakosti slijedi i to da se pristanak ne može shvatiti kao puka suglasnost. Suglasnost dana bez razumijevanja formalno je valjana, a sadržajno prazna.</w:t>
      </w:r>
    </w:p>
    <w:p w:rsidR="004909A8" w:rsidRDefault="004909A8" w:rsidP="004909A8">
      <w:r>
        <w:t>Odnos triju pojmova o kojima je dosad bila riječ prikazan je na Slici 2. Autonomija je ondje postavljena kao uvjet, kompetencija kao mjera, a odgovornost kao ono što iz njih slijedi; strelice pokazuju smjer izvođenja, a ne uzročnu vezu u vremenu. Prikaz namjerno ne sadrži brojke ni razine, jer bi svaka takva oznaka sugerirala mjerenje kojega u ovom radu nema. Njegova je uloga da se u nastavku može uputiti na cjelinu odnosa umjesto da se ona svaki put opisuje iznova. Sve tvrdnje koje slijede ostaju pojmovne i ne oslanjaju se na taj prikaz kao na dokaz. Prikazi ove vrste imaju i svoju opasnost. Kad se jednom nacrtaju, lako se počnu čitati kao nalaz, pa je uz svaki od njih potrebno izrijekom reći što ne tvrdi, jednako kao i što tvrdi.</w:t>
      </w:r>
    </w:p>
    <w:p w:rsidR="004909A8" w:rsidRDefault="004909A8" w:rsidP="004909A8">
      <w:pPr>
        <w:pStyle w:val="Heading1"/>
      </w:pPr>
      <w:r>
        <w:t>4. Komunikacija kao sastavnica postupka</w:t>
      </w:r>
    </w:p>
    <w:p w:rsidR="004909A8" w:rsidRDefault="004909A8" w:rsidP="004909A8">
      <w:pPr>
        <w:pStyle w:val="Heading2"/>
      </w:pPr>
      <w:r>
        <w:t>4.1. Komunikacija s pacijentom</w:t>
      </w:r>
    </w:p>
    <w:p w:rsidR="004909A8" w:rsidRDefault="004909A8" w:rsidP="004909A8">
      <w:r>
        <w:t>Obavijest koju osoba dobije prije pretrage obično se opisuje kao uvjet valjanoga pristanka, dakle kao pravna kategorija (15). Takav je opis točan, ali prekratak. Uz to, obavijest smanjuje neizvjesnost i tako mijenja ponašanje osobe tijekom postupka. Netko tko zna koliko će postupak trajati i što se od njega očekuje lakše će ostati miran, i to nije pitanje ljubaznosti nego uvjet izvedivosti. Kad se obavijest promatra samo kao pravna formalnost, njezin se drugi učinak gubi iz vida, pa se i sam čin obavještavanja lako svede na potpis na obrascu i ništa više od toga. Razlika je i praktična. Obavijest shvaćena kao formalnost daje se jednako svima; obavijest shvaćena kao sredstvo smanjenja neizvjesnosti prilagođava se osobi, i tek tada ima učinak koji joj se pripisuje.</w:t>
      </w:r>
    </w:p>
    <w:p w:rsidR="004909A8" w:rsidRDefault="004909A8" w:rsidP="004909A8">
      <w:r>
        <w:t xml:space="preserve">Uz obavijest ide prepoznavanje nelagode. Osoba u nepoznatoj prostoriji, često bez odjeće i u položaju koji ne bira, nalazi se u stanju koje se u literaturi opisuje kao situacijska ranjivost (16). Ta ranjivost nije bolest ni osobina nego posljedica okolnosti, i nestaje kad okolnosti prestanu. Prepoznati je znači primijetiti znakove koji se ne izgovaraju, a to je vještina koja se uči jednako kao i svaka tehnička. Rad koji tu vještinu ne priznaje kao dio posla ostavlja je slučaju, pa ona ovisi o tome ima li pojedini djelatnik dara i strpljenja, umjesto o tome je li </w:t>
      </w:r>
      <w:r>
        <w:lastRenderedPageBreak/>
        <w:t>nešto naučio. Uči se, dakako, drukčije nego tehnička vještina, jer se ne može provjeriti ponavljanjem u istim uvjetima. To je razlog zbog kojega u nastavnim programima redovito zauzima manje prostora nego što joj pripada.</w:t>
      </w:r>
    </w:p>
    <w:p w:rsidR="004909A8" w:rsidRDefault="004909A8" w:rsidP="004909A8">
      <w:r>
        <w:t>Treći dio istoga pitanja jest jezik. Rječnik struke sastavljen je od naziva koji su unutar nje precizni, a izvan nje ili nerazumljivi ili zastrašujući. Riječ koja za djelatnika znači tek vrstu prikaza za osobu može značiti da nešto nije u redu. Prevođenje toga rječnika nije pojednostavnjivanje nego dio stručnoga posla, jer o njemu ovisi hoće li obavijest uopće biti primljena. Pritom prevođenje ne smije prijeći u tumačenje nalaza, koje pripada drugoj struci, i upravo je ta granica mjesto na kojem se traži najviše razboritosti. Reći što će se dogoditi nije isto što i reći što je nađeno. Granica se pritom ne održava šutnjom. Održava se time što se kaže i tko će odgovoriti i kada, jer izostanak odgovora bez objašnjenja osoba u pravilu ne čita kao poštovanje granice.</w:t>
      </w:r>
    </w:p>
    <w:p w:rsidR="004909A8" w:rsidRDefault="004909A8" w:rsidP="004909A8">
      <w:r>
        <w:t>Tri navedena dijela, obavijest, prepoznavanje nelagode i prevođenje rječnika, imaju zajedničko obilježje: svaki od njih mijenja tijek postupka, a ni jedan ne pripada rukovanju uređajem. Ako se stručni postupak odredi tako da obuhvaća sve što utječe na njegov ishod, onda oni pripadaju postupku. Ako se odredi tako da obuhvaća samo radnje nad uređajem, oni ostaju izvan njega, a njihov učinak i dalje postoji. Drugo određenje zato nije uže nego netočno, jer izostavlja ono za što samo priznaje da djeluje. To je prvi dio dokaza teze iznesene u uvodu. Riječ je, dakle, o izboru između dvaju određenja, a ne o opisu zatečenoga stanja. Posljedice toga izbora nisu male, s obzirom na to da prvo određenje traži da se sastavnice imenuju i vrednuju, dok ih drugo prepušta sklonostima pojedinca.</w:t>
      </w:r>
    </w:p>
    <w:p w:rsidR="004909A8" w:rsidRDefault="004909A8" w:rsidP="004909A8">
      <w:pPr>
        <w:pStyle w:val="Heading2"/>
      </w:pPr>
      <w:r>
        <w:t>4.2. Komunikacija unutar zdravstvenog tima</w:t>
      </w:r>
    </w:p>
    <w:p w:rsidR="004909A8" w:rsidRDefault="004909A8" w:rsidP="004909A8">
      <w:r>
        <w:t xml:space="preserve">Drugi se dio odnosi na razmjenu obavijesti među članovima tima. Podatak prikupljen u susretu s osobom, primjerice napomena o ranijem zahvatu ili o nemogućnosti zauzimanja položaja, ima vrijednost samo ako stigne do onoga tko o postupku odlučuje (17). Predaja te obavijesti nije administrativni rep nego posljednji korak istoga posla. Kad se ne dogodi, prikupljanje je bilo uzaludno, a djelatnik koji je podatak imao u pravilu ni ne zna da je izgubljen. Zbog toga se propust ove vrste rijetko primijeti kao propust, nego se pojavi kasnije, kao neobjašnjena razlika između očekivanoga i dobivenoga. Vrijednost podatka </w:t>
      </w:r>
      <w:r>
        <w:lastRenderedPageBreak/>
        <w:t>ovdje ne ovisi samo o njegovoj točnosti nego i o tome je li stigao na vrijeme. Podatak koji stigne poslije odluke jednako je neupotrebljiv kao i onaj koji nije nikada prikupljen.</w:t>
      </w:r>
    </w:p>
    <w:p w:rsidR="004909A8" w:rsidRDefault="004909A8" w:rsidP="004909A8">
      <w:r>
        <w:t>Iz toga slijedi da se dio pogrešaka ne događa unutar pojedine uloge nego između njih (9). Svaki je sudionik učinio ono što njegov opis posla traži, a obavijest je ipak izgubljena, jer nitko nije bio zadužen za prijelaz. Takve se pogreške ne mogu spriječiti pooštravanjem pojedinačnih obveza, budući da nijedna nije ni prekršena. Mogu se spriječiti samo ako se sam prijelaz imenuje kao dio nečijega posla. To je razlog zbog kojega se u raspravi o odgovornosti ne može ostati na razini pojedinca, iako je pojedinac jedini komu se radnja uopće može pripisati. Takav se opis pogreške u literaturi o sigurnosti pojavljuje često i nije poseban za ovu struku. Poseban je samo oblik u kojem se javlja, jer se prijelaz odvija između tehničkoga i odlučivačkoga dijela postupka.</w:t>
      </w:r>
    </w:p>
    <w:p w:rsidR="004909A8" w:rsidRDefault="004909A8" w:rsidP="004909A8">
      <w:r>
        <w:t>Prijenos obavijesti u zdravstvenom timu ne odvija se među jednakima. Razlika u položaju utječe na to hoće li primjedba biti izrečena, kako će biti izrečena i hoće li biti shvaćena ozbiljno. Djelatnik koji primijeti nešto neobično, a nije siguran je li važno, nalazi se pred izborom u kojem cijena pogrešne uzbune nije jednaka za sve sudionike. Rasprava o kulturi sigurnosti upravo se tim pitanjem bavi, a njezin je zaključak da se šutnja češće objašnjava položajem nego neznanjem. Za pojam odgovornosti to znači da se propust izricanja ne može promatrati odvojeno od uvjeta u kojima se izriče. Iz toga ne slijedi da je odgovornost za šutnju uklonjena. Slijedi da se ona ne može odmjeriti bez uvida u to koliko je izricanje u toj sredini bilo izvedivo i kakve je posljedice obično imalo.</w:t>
      </w:r>
    </w:p>
    <w:p w:rsidR="004909A8" w:rsidRDefault="004909A8" w:rsidP="004909A8">
      <w:r>
        <w:t>Drugi je dio dokaza time izveden. Ako obavijest prikupljena u susretu ne pripada stručnom postupku, onda njezin gubitak nije stručni propust, nego nesretna okolnost. Takav zaključak, međutim, proturječi tomu da se posljedice gubitka pojavljuju u istom tom postupku i da ih struka prepoznaje kao svoje. Dosljednije je stoga uzeti da prikupljanje i predaja obavijesti pripadaju postupku, a onda i odgovornosti za njega. Time komunikacija prestaje biti okvir oko stručnoga rada i postaje jedna od njegovih sastavnica, što je upravo tvrdnja iznesena u uvodu. Time se, uz to, mijenja i mjesto na kojem se traži popravak. Ako je komunikacija okvir, popravak se traži u ponašanju pojedinca; ako je sastavnica, popravak se traži u opisu posla, u nastavi i u načinu na koji se posao provjerava. Razlika je praktična, a ne samo pojmovna.</w:t>
      </w:r>
    </w:p>
    <w:p w:rsidR="004909A8" w:rsidRDefault="004909A8" w:rsidP="004909A8">
      <w:pPr>
        <w:pStyle w:val="Heading1"/>
      </w:pPr>
      <w:r>
        <w:lastRenderedPageBreak/>
        <w:t>5. Etički okvir</w:t>
      </w:r>
    </w:p>
    <w:p w:rsidR="004909A8" w:rsidRDefault="004909A8" w:rsidP="004909A8">
      <w:pPr>
        <w:pStyle w:val="Heading2"/>
      </w:pPr>
      <w:r>
        <w:t>5.1. Načela biomedicinske etike u pojmovnom okviru</w:t>
      </w:r>
    </w:p>
    <w:p w:rsidR="004909A8" w:rsidRDefault="004909A8" w:rsidP="004909A8">
      <w:r>
        <w:t>U biomedicinskoj se etici uvriježio okvir od četiri načela: poštovanje samostalnosti osobe, neškodljivost, dobročinstvo i pravednost (18). Okvir je uspješan zato što je namjerno tanak i ne oslanja se ni na jednu potpunu moralnu teoriju, pa ga mogu prihvatiti i sudionici koji se u dubljim pitanjima ne slažu. Ta je tankoća ujedno i njegovo ograničenje. Načela govore što je važno, ali ne govore što učiniti kad su dva od njih u sukobu, niti daju redoslijed prvenstva. Zbog toga se okvir najbolje upotrebljava kao popis pitanja koja se moraju postaviti, a ne kao postupak odlučivanja. Zbog te se tankoće okvir uspješno prenosi među sredinama različitih pravnih i svjetonazorskih tradicija. Ista ga tankoća, međutim, čini nepodobnim za rješavanje sporova u kojima se strane slažu oko načela, a razilaze oko prvenstva.</w:t>
      </w:r>
    </w:p>
    <w:p w:rsidR="004909A8" w:rsidRDefault="004909A8" w:rsidP="004909A8">
      <w:r>
        <w:t>Primijenjen na raspravu iz prethodnih poglavlja, okvir daje očekivan rezultat. Poštovanje samostalnosti izravno podupire obvezu obavještavanja, jer se bez razumijevanja ne može govoriti o izboru. Neškodljivost pokriva tehničku ispravnost postupka i time onaj dio odgovornosti koji je najlakše opisati (12). Dobročinstvo i pravednost, međutim, sežu izvan pojedinačnoga susreta, prema rasporedu, čekanju i dostupnosti, dakle prema uvjetima koje pojedini djelatnik ne određuje. Već se iz same primjene okvira vidi da se odgovornost širi preko granice pojedinca, jednako kao što je pokazano u trećem poglavlju ovoga rada. Očekivan rezultat ovdje nije slabost nego provjera. Da je okvir dao suprotan nalaz, to bi značilo da je nešto u raščlambi iz trećega poglavlja pogrešno; ovako se dvije neovisne linije razmišljanja sastaju u istoj tvrdnji, što je najviše što se od pojmovnoga rada može tražiti.</w:t>
      </w:r>
    </w:p>
    <w:p w:rsidR="004909A8" w:rsidRDefault="004909A8" w:rsidP="004909A8">
      <w:r>
        <w:t>Načelo dobročinstva u strukovnom se kontekstu često čita preusko, kao obveza da se ne šteti više nego što je nužno. Takvo ga čitanje zapravo svodi na neškodljivost i briše razliku između njih. Dobročinstvo traži više: da se od raspoloživih načina postupanja izabere onaj koji osobi donosi veće dobro, uključujući i ono što se ne može izmjeriti nalazom. Objašnjenje koje smanjuje strah takvo je dobro, premda se ne pojavljuje ni u jednom zapisu o postupku. Time se načelo dobročinstva izravno veže uz sastavnice opisane u četvrtom poglavlju i daje im razlog koji nije samo praktične naravi. Uže čitanje ima i svoj razlog, budući da obveze koje se ne mogu izmjeriti teško ulaze u dokumente. Razlog je razumljiv, ali ne opravdava brisanje razlike koja u samom pojmu postoji.</w:t>
      </w:r>
    </w:p>
    <w:p w:rsidR="004909A8" w:rsidRDefault="004909A8" w:rsidP="004909A8">
      <w:r>
        <w:lastRenderedPageBreak/>
        <w:t>Načelo pravednosti u pojmovnom okviru zauzima poseban položaj jer se jedino ono ne može ispuniti unutar jednoga susreta. Pravednost se tiče raspodjele, a raspodjela postoji tek na razini ustanove i sustava. Pojedini djelatnik može biti savršeno pravedan prema osobi pred sobom, a da ishod cjeline bude nepravedan, i obratno. Iz toga slijedi da se to načelo ne može upotrijebiti za ocjenu pojedinačnoga postupanja bez dodatnoga obrazloženja. U raspravi o odgovornosti ono zato najčešće služi kao podsjetnik da postoji razina na kojoj se odluke donose, a koje u opisu pojedine uloge nema. Zbog toga se to načelo u strukovnim raspravama najčešće spominje na kraju i bez razrade. Takvo spominjanje nije bezopasno, jer ostavlja dojam da je pitanje raspodjele obrađeno, a ono zapravo nije ni otvoreno.</w:t>
      </w:r>
    </w:p>
    <w:p w:rsidR="004909A8" w:rsidRDefault="004909A8" w:rsidP="004909A8">
      <w:pPr>
        <w:pStyle w:val="Heading2"/>
      </w:pPr>
      <w:r>
        <w:t>5.2. Napetosti između načela</w:t>
      </w:r>
    </w:p>
    <w:p w:rsidR="004909A8" w:rsidRDefault="004909A8" w:rsidP="004909A8">
      <w:r>
        <w:t>Napetosti nastaju kad se dva načela ne mogu istodobno zadovoljiti (19). Poznat oblik takve napetosti jest odnos između obavijesti i uznemirenosti: potpunija obavijest bolje podupire samostalan izbor, ali kod nekih osoba povećava strah, čime se dovodi u pitanje dobročinstvo. Okvir od četiri načela taj sukob ne rješava; on samo osigurava da se obje strane vide. Rješenje se traži u pojedinačnom slučaju, obrazloženjem koje se može izreći naglas i pred drugima. Upravo mogućnost takva obrazloženja razlikuje odluku od proizvoljnosti, i ona je jedini oblik provjere koji pojmovni okvir uopće može ponuditi. Zahtjev da se obrazloženje može izreći pred drugima nije ni slab ni prazan. On isključuje razloge koje sudionik ne bi bio spreman priznati naglas, a upravo se takvi razlozi najčešće kriju iza odluka koje se poslije opisuju kao nesporazum.</w:t>
      </w:r>
    </w:p>
    <w:p w:rsidR="004909A8" w:rsidRDefault="004909A8" w:rsidP="004909A8">
      <w:r>
        <w:t>Druga se napetost tiče granice ovlasti (11). Osoba može postaviti pitanje koje nadilazi ovlast djelatnika pred njom, a odbijanje odgovora tada može biti doživljeno kao nezainteresiranost. Poštovanje granice tako se sudara s obvezom da osoba ne ostane bez ikakva odgovora. Izlaz nije u pomicanju granice nego u tome da se odbijanje obrazloži i da se pitanje proslijedi onomu tko je za nj nadležan. Time se granica poštuje, a obveza ispunjava u obliku koji joj je dostupan. Ovaj primjer pokazuje da se dio napetosti rješava postupkom, a ne odlukom o sadržaju. Prosljeđivanje pritom nije prebacivanje. Ono uključuje i obvezu da se provjeri je li pitanje doista stiglo, jer u suprotnom postupak izgleda ispravno, a osoba ostaje bez odgovora jednako kao da nije ni pitala.</w:t>
      </w:r>
    </w:p>
    <w:p w:rsidR="004909A8" w:rsidRDefault="004909A8" w:rsidP="004909A8">
      <w:r>
        <w:lastRenderedPageBreak/>
        <w:t>Ostaje, međutim, dio koji se ne rješava. Odluka donesena u napetosti između dvaju načela nekomu uskraćuje nešto na što je imao razlog računati, a taj razlog ne nestaje time što je odluka bila opravdana. U etičkoj se literaturi taj ostatak opisuje kao trag opravdane odluke, a ne kao znak pogreške. Njegovo priznavanje ima i praktičnu vrijednost, budući da će djelatnik koji zna da se nelagoda nakon teške odluke ne mora tumačiti kao krivnja rjeđe takvu odluku izbjegavati. Pojmovni okvir ovdje ne daje uputu nego opis, i to je granica onoga što se od njega smije očekivati. Opis je ovdje korisniji od upute upravo zato što ne obećava rješenje. Uputa koja bi tvrdila da se ostatak može ukloniti bila bi netočna, a njezina bi netočnost teret prebacila na onoga tko odlučuje.</w:t>
      </w:r>
    </w:p>
    <w:p w:rsidR="004909A8" w:rsidRDefault="004909A8" w:rsidP="004909A8">
      <w:pPr>
        <w:pStyle w:val="Heading1"/>
      </w:pPr>
      <w:r>
        <w:t>6. Rasprava</w:t>
      </w:r>
    </w:p>
    <w:p w:rsidR="004909A8" w:rsidRDefault="004909A8" w:rsidP="004909A8">
      <w:r>
        <w:t>Vraćajući se dvjema perspektivama iznesenima na početku, može se reći da je tehničko-proceduralna perspektiva u pravu u onome što tvrdi, a nedostatna u onome što izostavlja. Njezina je snaga u tome što se odgovornost može provjeriti, jer se postupak može opisati. Da izbor postupka nije neutralan, pokazuju i usporedbe različitih načina oslikavanja, u kojima se pokazatelji izloženosti razlikuju ovisno o odabranom postupku (20). Takav nalaz pripada tehničkom rječniku i ondje se rješava. Ali on ne dodiruje ono što se u istom susretu događa između dviju osoba, pa iz njega ne slijedi da je pitanje odgovornosti time iscrpljeno. Tehnički se rječnik pritom ne odbacuje niti se prikazuje kao manje vrijedan. On ostaje jedini jezik u kojem se dio obveza može izreći dovoljno određeno da se poslije može i provjeriti.</w:t>
      </w:r>
    </w:p>
    <w:p w:rsidR="004909A8" w:rsidRDefault="004909A8" w:rsidP="004909A8">
      <w:r>
        <w:t>Skrbničko-relacijska perspektiva ima suprotan raspored snage i slabosti. Ona obuhvaća ono što prva izostavlja, ali plaća time što se njezine obveze teško provjeravaju. Mjerila koja se za njih predlažu redovito su posredna, poput izjava osoba nakon postupka, i pogodna su za opće zaključke, a ne za pripisivanje pojedinačne odgovornosti. Sučeljene, dvije perspektive ne daju treću koja bi ih pomirila, nego pokazuju da pojam odgovornosti u ovoj struci ima dva dijela različite naravi (5). Prepoznati tu razliku vrjednije je od pokušaja da se ona ukine, jer se pogreške obično čine upravo pri prijelazu iz jednoga dijela u drugi. Prijelaz je opasan zato što se dogodi neprimjetno. U istoj se rečenici počne s obvezom koja se može provjeriti, a završi s obvezom koja se ne može, a da nitko ne primijeti promjenu njihove naravi.</w:t>
      </w:r>
    </w:p>
    <w:p w:rsidR="004909A8" w:rsidRDefault="004909A8" w:rsidP="004909A8">
      <w:r>
        <w:t xml:space="preserve">Iz tako postavljene rasprave slijedi i ograničenje ovoga rada. Pojmovna raščlamba može pokazati da neko određenje izostavlja ono za što samo priznaje da djeluje, i to jest oblik </w:t>
      </w:r>
      <w:r>
        <w:lastRenderedPageBreak/>
        <w:t>dokaza. Ne može, međutim, reći koliko je izostavljanje često, koliko šteti i kojim bi se sredstvima smanjilo, jer su to pitanja koja traže mjerenje. Sve što je u ovom radu rečeno stoga vrijedi kao tvrdnja o pojmovima, a ne o praksi ijedne ustanove. Prema Tablici 1 ta razlika ostaje vidljiva i u samoj podjeli razina, jer se najniža razina opisuje radnjama, a najviša uvjetima. Takvo ograničenje nije formalna ograda nego dio nalaza. Pojmovni rad koji bi tvrdio više od toga prešao bi u tvrdnje o praksi, a za njih ne bi imao ni podatke ni postupak kojim bi ih provjerio.</w:t>
      </w:r>
    </w:p>
    <w:p w:rsidR="004909A8" w:rsidRDefault="004909A8" w:rsidP="004909A8">
      <w:r>
        <w:t>Iz pojmovnoga nalaza može se izvesti smjer daljnjega rada, ali ne i njegov ishod. Ako su sastavnice komunikacijske kompetencije imenovane kao u Tablici 2, o svakoj se od njih može zasebno pitati uči li se, provjerava li se i pripisuje li se ikomu (15). Odgovor na ta tri pitanja bio bi empirijski i ne bi ovisio o tome prihvaća li se teza ovoga rada. Upravo je to prednost pojmovnoga rada, koji priprema pitanja tako da se na njih može odgovoriti mjerenjem, umjesto da se o njima nastavi raspravljati riječima čije značenje sudionici ne dijele. Priprema pitanja pritom nije manje zahtjevna od mjerenja. Loše postavljeno pitanje daje uredno izmjeren, a bezvrijedan odgovor, i takav se propust poslije ne može popraviti dodatnim prikupljanjem podataka.</w:t>
      </w:r>
    </w:p>
    <w:p w:rsidR="004909A8" w:rsidRDefault="004909A8" w:rsidP="004909A8">
      <w:pPr>
        <w:pStyle w:val="Heading1"/>
      </w:pPr>
      <w:r>
        <w:t>7. Zaključak</w:t>
      </w:r>
    </w:p>
    <w:p w:rsidR="004909A8" w:rsidRDefault="004909A8" w:rsidP="004909A8">
      <w:r>
        <w:t>Rad je postavio pitanje može li se profesionalna odgovornost radiološkog tehnologa odrediti isključivo tehnički, i odgovorio da ne može. Dokaz nije bio u tome da je tehničko određenje pogrešno, jer ono točno opisuje jezgru posla, nego u tome da je nepotpuno na način koji samomu sebi proturječi. Ono naime priznaje da obavijest, prepoznavanje nelagode i predaja podatka utječu na ishod postupka, a istodobno ih ostavlja izvan postupka za koji se odgovara. Određenje koje nešto priznaje kao djelatno, a isključuje iz odgovornosti, nije uže nego nedosljedno, i upravo je ta nedosljednost razlog za njegovo proširenje. Nedosljednost se, valja naglasiti, ne uklanja odbacivanjem tehničkoga određenja. Uklanja se njegovim proširenjem, i to proširenjem koje zadržava upravo ono po čemu je tehničko određenje bilo korisno, dakle provjerljivost.</w:t>
      </w:r>
    </w:p>
    <w:p w:rsidR="004909A8" w:rsidRDefault="004909A8" w:rsidP="004909A8">
      <w:r>
        <w:t xml:space="preserve">Iz toga slijedi i doseg tvrdnje. Proširenje pojma odgovornosti ne znači da svaki neuspjeh susreta postaje propust pojedinca, jer je u trećem poglavlju pokazano da odgovornost pretpostavlja mogućnost izbora. Ono što se širi jest područje o kojem se uopće smije govoriti </w:t>
      </w:r>
      <w:r>
        <w:lastRenderedPageBreak/>
        <w:t>kao o stručnom, a ne osobnom pitanju. Sastavnice imenovane na Slici 1 i u Tablici 2 pripadaju struci, pa se o njima može učiti, raspravljati i, ondje gdje su uvjeti ispunjeni, tražiti račun. Bez toga prijelaza od vrline prema obvezi one ostaju prepuštene sklonostima pojedinca. Tražiti račun pritom ne znači tražiti krivca. Znači imati mjerilo prema kojem se može reći je li obveza ispunjena, i imati ga prije nego što se nešto dogodi, a ne tek poslije. Bez toga i pohvala i prigovor ostaju stvar dojma.</w:t>
      </w:r>
    </w:p>
    <w:p w:rsidR="004909A8" w:rsidRDefault="004909A8" w:rsidP="004909A8">
      <w:r>
        <w:t>Napokon, ograničenja rada treba izreći bez ublažavanja. Rad je pojmovni pregled bez vlastita istraživanja, oslonjen na literaturu koja je odabrana prema temi, a ne prema unaprijed zadanom protokolu pretraživanja. Ne donosi ni jednu preporuku o postupanju i ne opisuje praksu ijedne ustanove. Njegov je doprinos skroman i jasno omeđen: razlučuje značenja koja se u istoj riječi miješaju i pokazuje koja od njih tehnički opis ne obuhvaća. Je li to razlučivanje korisno, pokazat će tek radovi koji na imenovanim sastavnicama izvedu mjerenje, a takvo mjerenje ovaj rad nije mogao ponuditi. Takvo mjerenje ne bi bilo ni osobito složeno ni skupo, ali bi tražilo pristup podacima kojima ovaj rad nije raspolagao. Do tada nalaz ostaje ono što jest: razlučivanje pojmova, ponuđeno na provjeru, a ne zaključak o praksi.</w:t>
      </w:r>
    </w:p>
    <w:p w:rsidR="004909A8" w:rsidRDefault="004909A8" w:rsidP="004909A8">
      <w:r>
        <w:t>Tablica 1. Razine odgovornosti u strukovnom radu prema tijelu koje presuđuje i prema djeljivosti pripisivanja</w:t>
      </w:r>
    </w:p>
    <w:tbl>
      <w:tblPr>
        <w:tblW w:w="0" w:type="auto"/>
        <w:tblLayout w:type="fixed"/>
        <w:tblLook w:val="0000" w:firstRow="0" w:lastRow="0" w:firstColumn="0" w:lastColumn="0" w:noHBand="0" w:noVBand="0"/>
      </w:tblPr>
      <w:tblGrid>
        <w:gridCol w:w="2322"/>
        <w:gridCol w:w="2322"/>
        <w:gridCol w:w="2322"/>
        <w:gridCol w:w="2322"/>
      </w:tblGrid>
      <w:tr w:rsidR="004909A8">
        <w:tblPrEx>
          <w:tblCellMar>
            <w:top w:w="0" w:type="dxa"/>
            <w:bottom w:w="0" w:type="dxa"/>
          </w:tblCellMar>
        </w:tblPrEx>
        <w:tc>
          <w:tcPr>
            <w:tcW w:w="2322" w:type="dxa"/>
          </w:tcPr>
          <w:p w:rsidR="004909A8" w:rsidRDefault="004909A8" w:rsidP="004909A8">
            <w:r>
              <w:t>Razina</w:t>
            </w:r>
          </w:p>
        </w:tc>
        <w:tc>
          <w:tcPr>
            <w:tcW w:w="2322" w:type="dxa"/>
          </w:tcPr>
          <w:p w:rsidR="004909A8" w:rsidRDefault="004909A8" w:rsidP="004909A8">
            <w:r>
              <w:t>Predmet</w:t>
            </w:r>
          </w:p>
        </w:tc>
        <w:tc>
          <w:tcPr>
            <w:tcW w:w="2322" w:type="dxa"/>
          </w:tcPr>
          <w:p w:rsidR="004909A8" w:rsidRDefault="004909A8" w:rsidP="004909A8">
            <w:r>
              <w:t>Tko presuđuje</w:t>
            </w:r>
          </w:p>
        </w:tc>
        <w:tc>
          <w:tcPr>
            <w:tcW w:w="2322" w:type="dxa"/>
          </w:tcPr>
          <w:p w:rsidR="004909A8" w:rsidRDefault="004909A8" w:rsidP="004909A8">
            <w:r>
              <w:t>Djeljivost pripisivanja</w:t>
            </w:r>
          </w:p>
        </w:tc>
      </w:tr>
      <w:tr w:rsidR="004909A8">
        <w:tblPrEx>
          <w:tblCellMar>
            <w:top w:w="0" w:type="dxa"/>
            <w:bottom w:w="0" w:type="dxa"/>
          </w:tblCellMar>
        </w:tblPrEx>
        <w:tc>
          <w:tcPr>
            <w:tcW w:w="2322" w:type="dxa"/>
          </w:tcPr>
          <w:p w:rsidR="004909A8" w:rsidRDefault="004909A8" w:rsidP="004909A8">
            <w:r>
              <w:t>Tehnička</w:t>
            </w:r>
          </w:p>
        </w:tc>
        <w:tc>
          <w:tcPr>
            <w:tcW w:w="2322" w:type="dxa"/>
          </w:tcPr>
          <w:p w:rsidR="004909A8" w:rsidRDefault="004909A8" w:rsidP="004909A8">
            <w:r>
              <w:t>pojedina radnja nad uređajem</w:t>
            </w:r>
          </w:p>
        </w:tc>
        <w:tc>
          <w:tcPr>
            <w:tcW w:w="2322" w:type="dxa"/>
          </w:tcPr>
          <w:p w:rsidR="004909A8" w:rsidRDefault="004909A8" w:rsidP="004909A8">
            <w:r>
              <w:t>struka i propis</w:t>
            </w:r>
          </w:p>
        </w:tc>
        <w:tc>
          <w:tcPr>
            <w:tcW w:w="2322" w:type="dxa"/>
          </w:tcPr>
          <w:p w:rsidR="004909A8" w:rsidRDefault="004909A8" w:rsidP="004909A8">
            <w:r>
              <w:t>pripisiva pojedincu</w:t>
            </w:r>
          </w:p>
        </w:tc>
      </w:tr>
      <w:tr w:rsidR="004909A8">
        <w:tblPrEx>
          <w:tblCellMar>
            <w:top w:w="0" w:type="dxa"/>
            <w:bottom w:w="0" w:type="dxa"/>
          </w:tblCellMar>
        </w:tblPrEx>
        <w:tc>
          <w:tcPr>
            <w:tcW w:w="2322" w:type="dxa"/>
          </w:tcPr>
          <w:p w:rsidR="004909A8" w:rsidRDefault="004909A8" w:rsidP="004909A8">
            <w:r>
              <w:t>Odnosna</w:t>
            </w:r>
          </w:p>
        </w:tc>
        <w:tc>
          <w:tcPr>
            <w:tcW w:w="2322" w:type="dxa"/>
          </w:tcPr>
          <w:p w:rsidR="004909A8" w:rsidRDefault="004909A8" w:rsidP="004909A8">
            <w:r>
              <w:t>obavijest, razumijevanje, nelagoda</w:t>
            </w:r>
          </w:p>
        </w:tc>
        <w:tc>
          <w:tcPr>
            <w:tcW w:w="2322" w:type="dxa"/>
          </w:tcPr>
          <w:p w:rsidR="004909A8" w:rsidRDefault="004909A8" w:rsidP="004909A8">
            <w:r>
              <w:t>struka i moralni razlozi</w:t>
            </w:r>
          </w:p>
        </w:tc>
        <w:tc>
          <w:tcPr>
            <w:tcW w:w="2322" w:type="dxa"/>
          </w:tcPr>
          <w:p w:rsidR="004909A8" w:rsidRDefault="004909A8" w:rsidP="004909A8">
            <w:r>
              <w:t>pretežno pripisiva pojedincu</w:t>
            </w:r>
          </w:p>
        </w:tc>
      </w:tr>
      <w:tr w:rsidR="004909A8">
        <w:tblPrEx>
          <w:tblCellMar>
            <w:top w:w="0" w:type="dxa"/>
            <w:bottom w:w="0" w:type="dxa"/>
          </w:tblCellMar>
        </w:tblPrEx>
        <w:tc>
          <w:tcPr>
            <w:tcW w:w="2322" w:type="dxa"/>
          </w:tcPr>
          <w:p w:rsidR="004909A8" w:rsidRDefault="004909A8" w:rsidP="004909A8">
            <w:r>
              <w:t>Timska</w:t>
            </w:r>
          </w:p>
        </w:tc>
        <w:tc>
          <w:tcPr>
            <w:tcW w:w="2322" w:type="dxa"/>
          </w:tcPr>
          <w:p w:rsidR="004909A8" w:rsidRDefault="004909A8" w:rsidP="004909A8">
            <w:r>
              <w:t>prijelaz obavijesti među ulogama</w:t>
            </w:r>
          </w:p>
        </w:tc>
        <w:tc>
          <w:tcPr>
            <w:tcW w:w="2322" w:type="dxa"/>
          </w:tcPr>
          <w:p w:rsidR="004909A8" w:rsidRDefault="004909A8" w:rsidP="004909A8">
            <w:r>
              <w:t>ustanova i struka</w:t>
            </w:r>
          </w:p>
        </w:tc>
        <w:tc>
          <w:tcPr>
            <w:tcW w:w="2322" w:type="dxa"/>
          </w:tcPr>
          <w:p w:rsidR="004909A8" w:rsidRDefault="004909A8" w:rsidP="004909A8">
            <w:r>
              <w:t>dijeljena među sudionicima</w:t>
            </w:r>
          </w:p>
        </w:tc>
      </w:tr>
      <w:tr w:rsidR="004909A8">
        <w:tblPrEx>
          <w:tblCellMar>
            <w:top w:w="0" w:type="dxa"/>
            <w:bottom w:w="0" w:type="dxa"/>
          </w:tblCellMar>
        </w:tblPrEx>
        <w:tc>
          <w:tcPr>
            <w:tcW w:w="2322" w:type="dxa"/>
          </w:tcPr>
          <w:p w:rsidR="004909A8" w:rsidRDefault="004909A8" w:rsidP="004909A8">
            <w:r>
              <w:t>Uvjetna</w:t>
            </w:r>
          </w:p>
        </w:tc>
        <w:tc>
          <w:tcPr>
            <w:tcW w:w="2322" w:type="dxa"/>
          </w:tcPr>
          <w:p w:rsidR="004909A8" w:rsidRDefault="004909A8" w:rsidP="004909A8">
            <w:r>
              <w:t>raspored, oprema, vrijeme po pretrazi</w:t>
            </w:r>
          </w:p>
        </w:tc>
        <w:tc>
          <w:tcPr>
            <w:tcW w:w="2322" w:type="dxa"/>
          </w:tcPr>
          <w:p w:rsidR="004909A8" w:rsidRDefault="004909A8" w:rsidP="004909A8">
            <w:r>
              <w:t>ustanova i sustav</w:t>
            </w:r>
          </w:p>
        </w:tc>
        <w:tc>
          <w:tcPr>
            <w:tcW w:w="2322" w:type="dxa"/>
          </w:tcPr>
          <w:p w:rsidR="004909A8" w:rsidRDefault="004909A8" w:rsidP="004909A8">
            <w:r>
              <w:t>nije pripisiva pojedincu</w:t>
            </w:r>
          </w:p>
        </w:tc>
      </w:tr>
    </w:tbl>
    <w:p w:rsidR="004909A8" w:rsidRDefault="004909A8" w:rsidP="004909A8"/>
    <w:p w:rsidR="004909A8" w:rsidRDefault="004909A8" w:rsidP="004909A8">
      <w:r>
        <w:lastRenderedPageBreak/>
        <w:t>Izvor: Izrada autora prema pojmovnoj raščlambi u poglavlju 3.</w:t>
      </w:r>
    </w:p>
    <w:p w:rsidR="004909A8" w:rsidRDefault="004909A8" w:rsidP="004909A8">
      <w:r>
        <w:t>Tablica 2. Sastavnice komunikacijske kompetencije izvan tehničkog opisa postupka</w:t>
      </w:r>
    </w:p>
    <w:tbl>
      <w:tblPr>
        <w:tblW w:w="0" w:type="auto"/>
        <w:tblLayout w:type="fixed"/>
        <w:tblLook w:val="0000" w:firstRow="0" w:lastRow="0" w:firstColumn="0" w:lastColumn="0" w:noHBand="0" w:noVBand="0"/>
      </w:tblPr>
      <w:tblGrid>
        <w:gridCol w:w="3096"/>
        <w:gridCol w:w="3096"/>
        <w:gridCol w:w="3096"/>
      </w:tblGrid>
      <w:tr w:rsidR="004909A8">
        <w:tblPrEx>
          <w:tblCellMar>
            <w:top w:w="0" w:type="dxa"/>
            <w:bottom w:w="0" w:type="dxa"/>
          </w:tblCellMar>
        </w:tblPrEx>
        <w:tc>
          <w:tcPr>
            <w:tcW w:w="3096" w:type="dxa"/>
          </w:tcPr>
          <w:p w:rsidR="004909A8" w:rsidRDefault="004909A8" w:rsidP="004909A8">
            <w:r>
              <w:t>Sastavnica</w:t>
            </w:r>
          </w:p>
        </w:tc>
        <w:tc>
          <w:tcPr>
            <w:tcW w:w="3096" w:type="dxa"/>
          </w:tcPr>
          <w:p w:rsidR="004909A8" w:rsidRDefault="004909A8" w:rsidP="004909A8">
            <w:r>
              <w:t>Što obuhvaća</w:t>
            </w:r>
          </w:p>
        </w:tc>
        <w:tc>
          <w:tcPr>
            <w:tcW w:w="3096" w:type="dxa"/>
          </w:tcPr>
          <w:p w:rsidR="004909A8" w:rsidRDefault="004909A8" w:rsidP="004909A8">
            <w:r>
              <w:t>Zašto nije tehnička</w:t>
            </w:r>
          </w:p>
        </w:tc>
      </w:tr>
      <w:tr w:rsidR="004909A8">
        <w:tblPrEx>
          <w:tblCellMar>
            <w:top w:w="0" w:type="dxa"/>
            <w:bottom w:w="0" w:type="dxa"/>
          </w:tblCellMar>
        </w:tblPrEx>
        <w:tc>
          <w:tcPr>
            <w:tcW w:w="3096" w:type="dxa"/>
          </w:tcPr>
          <w:p w:rsidR="004909A8" w:rsidRDefault="004909A8" w:rsidP="004909A8">
            <w:r>
              <w:t>Davanje obavijesti</w:t>
            </w:r>
          </w:p>
        </w:tc>
        <w:tc>
          <w:tcPr>
            <w:tcW w:w="3096" w:type="dxa"/>
          </w:tcPr>
          <w:p w:rsidR="004909A8" w:rsidRDefault="004909A8" w:rsidP="004909A8">
            <w:r>
              <w:t>što će se dogoditi i koliko traje</w:t>
            </w:r>
          </w:p>
        </w:tc>
        <w:tc>
          <w:tcPr>
            <w:tcW w:w="3096" w:type="dxa"/>
          </w:tcPr>
          <w:p w:rsidR="004909A8" w:rsidRDefault="004909A8" w:rsidP="004909A8">
            <w:r>
              <w:t>mijenja očekivanje, ne postavku uređaja</w:t>
            </w:r>
          </w:p>
        </w:tc>
      </w:tr>
      <w:tr w:rsidR="004909A8">
        <w:tblPrEx>
          <w:tblCellMar>
            <w:top w:w="0" w:type="dxa"/>
            <w:bottom w:w="0" w:type="dxa"/>
          </w:tblCellMar>
        </w:tblPrEx>
        <w:tc>
          <w:tcPr>
            <w:tcW w:w="3096" w:type="dxa"/>
          </w:tcPr>
          <w:p w:rsidR="004909A8" w:rsidRDefault="004909A8" w:rsidP="004909A8">
            <w:r>
              <w:t>Provjera razumijevanja</w:t>
            </w:r>
          </w:p>
        </w:tc>
        <w:tc>
          <w:tcPr>
            <w:tcW w:w="3096" w:type="dxa"/>
          </w:tcPr>
          <w:p w:rsidR="004909A8" w:rsidRDefault="004909A8" w:rsidP="004909A8">
            <w:r>
              <w:t>je li obavijest primljena</w:t>
            </w:r>
          </w:p>
        </w:tc>
        <w:tc>
          <w:tcPr>
            <w:tcW w:w="3096" w:type="dxa"/>
          </w:tcPr>
          <w:p w:rsidR="004909A8" w:rsidRDefault="004909A8" w:rsidP="004909A8">
            <w:r>
              <w:t>ishod je stanje sugovornika</w:t>
            </w:r>
          </w:p>
        </w:tc>
      </w:tr>
      <w:tr w:rsidR="004909A8">
        <w:tblPrEx>
          <w:tblCellMar>
            <w:top w:w="0" w:type="dxa"/>
            <w:bottom w:w="0" w:type="dxa"/>
          </w:tblCellMar>
        </w:tblPrEx>
        <w:tc>
          <w:tcPr>
            <w:tcW w:w="3096" w:type="dxa"/>
          </w:tcPr>
          <w:p w:rsidR="004909A8" w:rsidRDefault="004909A8" w:rsidP="004909A8">
            <w:r>
              <w:t>Prepoznavanje nelagode</w:t>
            </w:r>
          </w:p>
        </w:tc>
        <w:tc>
          <w:tcPr>
            <w:tcW w:w="3096" w:type="dxa"/>
          </w:tcPr>
          <w:p w:rsidR="004909A8" w:rsidRDefault="004909A8" w:rsidP="004909A8">
            <w:r>
              <w:t>znakovi koji se ne izgovaraju</w:t>
            </w:r>
          </w:p>
        </w:tc>
        <w:tc>
          <w:tcPr>
            <w:tcW w:w="3096" w:type="dxa"/>
          </w:tcPr>
          <w:p w:rsidR="004909A8" w:rsidRDefault="004909A8" w:rsidP="004909A8">
            <w:r>
              <w:t>traži tumačenje, ne mjerenje</w:t>
            </w:r>
          </w:p>
        </w:tc>
      </w:tr>
      <w:tr w:rsidR="004909A8">
        <w:tblPrEx>
          <w:tblCellMar>
            <w:top w:w="0" w:type="dxa"/>
            <w:bottom w:w="0" w:type="dxa"/>
          </w:tblCellMar>
        </w:tblPrEx>
        <w:tc>
          <w:tcPr>
            <w:tcW w:w="3096" w:type="dxa"/>
          </w:tcPr>
          <w:p w:rsidR="004909A8" w:rsidRDefault="004909A8" w:rsidP="004909A8">
            <w:r>
              <w:t>Predaja obavijesti</w:t>
            </w:r>
          </w:p>
        </w:tc>
        <w:tc>
          <w:tcPr>
            <w:tcW w:w="3096" w:type="dxa"/>
          </w:tcPr>
          <w:p w:rsidR="004909A8" w:rsidRDefault="004909A8" w:rsidP="004909A8">
            <w:r>
              <w:t>prijenos podatka drugom članu tima</w:t>
            </w:r>
          </w:p>
        </w:tc>
        <w:tc>
          <w:tcPr>
            <w:tcW w:w="3096" w:type="dxa"/>
          </w:tcPr>
          <w:p w:rsidR="004909A8" w:rsidRDefault="004909A8" w:rsidP="004909A8">
            <w:r>
              <w:t>odvija se izvan same pretrage</w:t>
            </w:r>
          </w:p>
        </w:tc>
      </w:tr>
    </w:tbl>
    <w:p w:rsidR="004909A8" w:rsidRDefault="004909A8" w:rsidP="004909A8"/>
    <w:p w:rsidR="004909A8" w:rsidRDefault="004909A8" w:rsidP="004909A8">
      <w:r>
        <w:t>Izvor: Izrada autora.</w:t>
      </w:r>
    </w:p>
    <w:p w:rsidR="004909A8" w:rsidRDefault="004909A8" w:rsidP="004909A8">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1524213" cy="952633"/>
                    </a:xfrm>
                    <a:prstGeom prst="rect">
                      <a:avLst/>
                    </a:prstGeom>
                  </pic:spPr>
                </pic:pic>
              </a:graphicData>
            </a:graphic>
          </wp:inline>
        </w:drawing>
      </w:r>
    </w:p>
    <w:p w:rsidR="004909A8" w:rsidRDefault="004909A8" w:rsidP="004909A8">
      <w:r>
        <w:t>Slika 1. Pojmovni model profesionalne odgovornosti kao tri koncentrična područja</w:t>
      </w:r>
    </w:p>
    <w:p w:rsidR="004909A8" w:rsidRDefault="004909A8" w:rsidP="004909A8">
      <w:r>
        <w:t>Izvor: Izrada autora.</w:t>
      </w:r>
    </w:p>
    <w:p w:rsidR="004909A8" w:rsidRDefault="004909A8" w:rsidP="004909A8">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1524213" cy="952633"/>
                    </a:xfrm>
                    <a:prstGeom prst="rect">
                      <a:avLst/>
                    </a:prstGeom>
                  </pic:spPr>
                </pic:pic>
              </a:graphicData>
            </a:graphic>
          </wp:inline>
        </w:drawing>
      </w:r>
    </w:p>
    <w:p w:rsidR="004909A8" w:rsidRDefault="004909A8" w:rsidP="004909A8">
      <w:r>
        <w:t>Slika 2. Odnos autonomije, kompetencije i odgovornosti</w:t>
      </w:r>
    </w:p>
    <w:p w:rsidR="004909A8" w:rsidRDefault="004909A8" w:rsidP="004909A8">
      <w:r>
        <w:t>Izvor: Izrada autora.</w:t>
      </w:r>
    </w:p>
    <w:p w:rsidR="004909A8" w:rsidRDefault="004909A8" w:rsidP="004909A8">
      <w:pPr>
        <w:pStyle w:val="Heading1"/>
      </w:pPr>
      <w:r>
        <w:lastRenderedPageBreak/>
        <w:t>Popis tablica</w:t>
      </w:r>
    </w:p>
    <w:p w:rsidR="004909A8" w:rsidRDefault="004909A8" w:rsidP="004909A8">
      <w:r>
        <w:t>Tablica 1. Razine odgovornosti u strukovnom radu prema tijelu koje presuđuje i prema djeljivosti pripisivanja</w:t>
      </w:r>
    </w:p>
    <w:p w:rsidR="004909A8" w:rsidRDefault="004909A8" w:rsidP="004909A8">
      <w:r>
        <w:t>Tablica 2. Sastavnice komunikacijske kompetencije izvan tehničkog opisa postupka</w:t>
      </w:r>
    </w:p>
    <w:p w:rsidR="004909A8" w:rsidRDefault="004909A8" w:rsidP="004909A8">
      <w:pPr>
        <w:pStyle w:val="Heading1"/>
      </w:pPr>
      <w:r>
        <w:t>Popis slika</w:t>
      </w:r>
    </w:p>
    <w:p w:rsidR="004909A8" w:rsidRDefault="004909A8" w:rsidP="004909A8">
      <w:r>
        <w:t>Slika 1. Pojmovni model profesionalne odgovornosti kao tri koncentrična područja</w:t>
      </w:r>
    </w:p>
    <w:p w:rsidR="004909A8" w:rsidRDefault="004909A8" w:rsidP="004909A8">
      <w:r>
        <w:t>Slika 2. Odnos autonomije, kompetencije i odgovornosti</w:t>
      </w:r>
    </w:p>
    <w:p w:rsidR="004909A8" w:rsidRDefault="004909A8" w:rsidP="004909A8">
      <w:pPr>
        <w:pStyle w:val="Heading1"/>
      </w:pPr>
      <w:r>
        <w:t>Literatura</w:t>
      </w:r>
    </w:p>
    <w:p w:rsidR="004909A8" w:rsidRDefault="004909A8" w:rsidP="004909A8">
      <w:r>
        <w:t>1. Marić T. Uvod u radiološku tehnologiju: pojmovi i područja rada. Zagreb: Zdravstvena naklada Sjever; 2020.</w:t>
      </w:r>
    </w:p>
    <w:p w:rsidR="004909A8" w:rsidRDefault="004909A8" w:rsidP="004909A8">
      <w:r>
        <w:t>2. Novak D, Perić S. Profesionalizacija zdravstvenih strukovnih zanimanja: pojmovni okvir. Časopis za teoriju zdravstvenih struka. 2019;7(1):5-19.</w:t>
      </w:r>
    </w:p>
    <w:p w:rsidR="004909A8" w:rsidRDefault="004909A8" w:rsidP="004909A8">
      <w:r>
        <w:t>3. Babić L. Odgovornost u zdravstvenim profesijama: filozofijska analiza. Zagreb: Naklada Ratio; 2018.</w:t>
      </w:r>
    </w:p>
    <w:p w:rsidR="004909A8" w:rsidRDefault="004909A8" w:rsidP="004909A8">
      <w:r>
        <w:t>4. Page MJ, McKenzie JE, Bossuyt PM, Boutron I, Hoffmann TC, Mulrow CD, i sur. The PRISMA 2020 statement: an updated guideline for reporting systematic reviews. BMJ. 2021;372:n71. https://doi.org/10.1136/bmj.n71</w:t>
      </w:r>
    </w:p>
    <w:p w:rsidR="004909A8" w:rsidRDefault="004909A8" w:rsidP="004909A8">
      <w:r>
        <w:t>5. Grgić M, Vuković A. Obilježja profesije i granice strukovne autonomije. Revija za sociologiju struka. 2021;12(3):211-28.</w:t>
      </w:r>
    </w:p>
    <w:p w:rsidR="004909A8" w:rsidRDefault="004909A8" w:rsidP="004909A8">
      <w:r>
        <w:t>6. Šarić I. Profesionalizacija kao proces: tri koraka i jedan zastoj. Zbornik radova o zdravstvenom obrazovanju. 2017;9(2):41-56.</w:t>
      </w:r>
    </w:p>
    <w:p w:rsidR="004909A8" w:rsidRDefault="004909A8" w:rsidP="004909A8">
      <w:r>
        <w:t>7. Lončar B. Zatvorenost struke i obrana položaja: kritika modela obilježja. Pregled strukovnih studija. 2016;4(1):77-92.</w:t>
      </w:r>
    </w:p>
    <w:p w:rsidR="004909A8" w:rsidRDefault="004909A8" w:rsidP="004909A8">
      <w:r>
        <w:t>8. Bilić N. Područje rada i strukovni standardi u radiološkoj tehnologiji. Radiološki strukovni pregled. 2022;15(2):103-17.</w:t>
      </w:r>
    </w:p>
    <w:p w:rsidR="004909A8" w:rsidRDefault="004909A8" w:rsidP="004909A8">
      <w:r>
        <w:t>9. Radovanović M, Klarić T. Dvostruki opis posla: uređaj i osoba u dokumentima zdravstvenih struka. Časopis za teoriju zdravstvenih struka. 2020;8(3):133-49.</w:t>
      </w:r>
    </w:p>
    <w:p w:rsidR="004909A8" w:rsidRDefault="004909A8" w:rsidP="004909A8">
      <w:r>
        <w:t>10. Tomić V. Pojam kompetencije u strukovnim dokumentima: znanje, vještina, odgovornost. Obrazovanje i struka. 2019;11(4):255-70.</w:t>
      </w:r>
    </w:p>
    <w:p w:rsidR="004909A8" w:rsidRDefault="004909A8" w:rsidP="004909A8">
      <w:r>
        <w:t>11. Jurić A, Matić P. Granice kompetencije i podjela odgovornosti u zdravstvenom timu. Pregled strukovnih studija. 2021;9(1):18-34.</w:t>
      </w:r>
    </w:p>
    <w:p w:rsidR="004909A8" w:rsidRDefault="004909A8" w:rsidP="004909A8">
      <w:r>
        <w:t>12. Kraljević S. Tri značenja odgovornosti u strukovnim tekstovima. Filozofska istraživanja o struci. 2018;38(2):301-16.</w:t>
      </w:r>
    </w:p>
    <w:p w:rsidR="004909A8" w:rsidRDefault="004909A8" w:rsidP="004909A8">
      <w:r>
        <w:t>13. Antić J. Djeljiva i nedjeljiva odgovornost: pojmovna raščlamba. Studije o odgovornosti. 2023;5(1):9-27. https://doi.org/10.9999/izmisljeni-doi.2023.000000</w:t>
      </w:r>
    </w:p>
    <w:p w:rsidR="004909A8" w:rsidRDefault="004909A8" w:rsidP="004909A8">
      <w:r>
        <w:t>14. Šimunović R. Autonomija kao uvjet pripisivanja odgovornosti. Zagreb: Naklada Ratio; 2020.</w:t>
      </w:r>
    </w:p>
    <w:p w:rsidR="004909A8" w:rsidRDefault="004909A8" w:rsidP="004909A8">
      <w:r>
        <w:t>15. Pavlić K, Dujmović E. Obavijest prije pretrage: pravna forma i praktični učinak. Zdravstvena komunikacija. 2021;13(2):66-81.</w:t>
      </w:r>
    </w:p>
    <w:p w:rsidR="004909A8" w:rsidRDefault="004909A8" w:rsidP="004909A8">
      <w:r>
        <w:t>16. Vidović M. Situacijska ranjivost u dijagnostičkom susretu. Zdravstvena komunikacija. 2018;10(1):22-37.</w:t>
      </w:r>
    </w:p>
    <w:p w:rsidR="004909A8" w:rsidRDefault="004909A8" w:rsidP="004909A8">
      <w:r>
        <w:t>17. Krznarić D. Predaja obavijesti među članovima zdravstvenog tima. Sigurnost u zdravstvu. 2022;6(2):88-104.</w:t>
      </w:r>
    </w:p>
    <w:p w:rsidR="004909A8" w:rsidRDefault="004909A8" w:rsidP="004909A8">
      <w:r>
        <w:t>18. Beganović A, Rukavina L. Četiri načela biomedicinske etike i njihova primjena u strukovnom radu. Etika u zdravstvu. 2019;3(1):5-21.</w:t>
      </w:r>
    </w:p>
    <w:p w:rsidR="004909A8" w:rsidRDefault="004909A8" w:rsidP="004909A8">
      <w:r>
        <w:t>19. Delić F. Sukob načela i moralni ostatak opravdane odluke. Etika u zdravstvu. 2021;5(2):111-26.</w:t>
      </w:r>
    </w:p>
    <w:p w:rsidR="004909A8" w:rsidRDefault="004909A8" w:rsidP="004909A8">
      <w:r>
        <w:t>20. Alrehily F, Hogg P, Twiste M, Johansen S, Tootell A. Scoliosis imaging: An analysis of radiation risk in the CT scan projection radiograph and a comparison with projection radiography and EOS. Radiography. 2019;25(3):e68-e74. https://doi.org/10.1016/j.radi.2019.02.005</w:t>
      </w:r>
    </w:p>
    <w:p w:rsidR="004909A8" w:rsidRPr="004909A8" w:rsidRDefault="004909A8" w:rsidP="004909A8">
      <w:bookmarkStart w:id="0" w:name="_GoBack"/>
      <w:bookmarkEnd w:id="0"/>
    </w:p>
    <w:sectPr w:rsidR="004909A8" w:rsidRPr="004909A8" w:rsidSect="004909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9A8"/>
    <w:rsid w:val="004909A8"/>
    <w:rsid w:val="005A73EC"/>
    <w:rsid w:val="006702EF"/>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Calibri" w:hAnsi="Calibri" w:cs="Calibri"/>
      <w:sz w:val="24"/>
    </w:rPr>
  </w:style>
  <w:style w:type="paragraph" w:styleId="Heading1">
    <w:name w:val="heading 1"/>
    <w:basedOn w:val="Normal"/>
    <w:next w:val="Normal"/>
    <w:link w:val="Heading1Char"/>
    <w:uiPriority w:val="9"/>
    <w:qFormat/>
    <w:rsid w:val="00490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909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9A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909A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4909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9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Calibri" w:hAnsi="Calibri" w:cs="Calibri"/>
      <w:sz w:val="24"/>
    </w:rPr>
  </w:style>
  <w:style w:type="paragraph" w:styleId="Heading1">
    <w:name w:val="heading 1"/>
    <w:basedOn w:val="Normal"/>
    <w:next w:val="Normal"/>
    <w:link w:val="Heading1Char"/>
    <w:uiPriority w:val="9"/>
    <w:qFormat/>
    <w:rsid w:val="00490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909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9A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909A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4909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9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6393</Words>
  <Characters>36443</Characters>
  <Application>Microsoft Office Word</Application>
  <DocSecurity>0</DocSecurity>
  <Lines>303</Lines>
  <Paragraphs>85</Paragraphs>
  <ScaleCrop>false</ScaleCrop>
  <Company>HT</Company>
  <LinksUpToDate>false</LinksUpToDate>
  <CharactersWithSpaces>42751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2026-09-07T00:33:00Z</dcterms:created>
  <dcterms:modified xsi:type="dcterms:W3CDTF">2026-09-07T00:34:00Z</dcterms:modified>
</cp:coreProperties>
</file>