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240" w:after="120"/>
        <w:ind w:hanging="0" w:left="0"/>
        <w:rPr/>
      </w:pPr>
      <w:r>
        <w:rPr/>
        <w:t>Sadržaj</w:t>
      </w:r>
    </w:p>
    <w:p>
      <w:pPr>
        <w:pStyle w:val="SVodilicom"/>
        <w:bidi w:val="0"/>
        <w:rPr/>
      </w:pPr>
      <w:r>
        <w:rPr/>
        <w:t>1. Uvod</w:t>
        <w:tab/>
        <w:t>3</w:t>
      </w:r>
    </w:p>
    <w:p>
      <w:pPr>
        <w:pStyle w:val="SVodilicom"/>
        <w:bidi w:val="0"/>
        <w:rPr/>
      </w:pPr>
      <w:r>
        <w:rPr/>
        <w:t>2. Razrada</w:t>
        <w:tab/>
        <w:t>7</w:t>
      </w:r>
    </w:p>
    <w:p>
      <w:pPr>
        <w:pStyle w:val="SVodilicom"/>
        <w:bidi w:val="0"/>
        <w:rPr/>
      </w:pPr>
      <w:r>
        <w:rPr/>
        <w:t>2.1. Pojmovni okvir</w:t>
        <w:tab/>
        <w:t>9</w:t>
      </w:r>
    </w:p>
    <w:p>
      <w:pPr>
        <w:pStyle w:val="BodyText"/>
        <w:bidi w:val="0"/>
        <w:spacing w:lineRule="auto" w:line="240" w:before="0" w:after="340"/>
        <w:jc w:val="both"/>
        <w:rPr/>
      </w:pPr>
      <w:r>
        <w:rPr/>
        <w:commentReference w:id="0"/>
      </w:r>
      <w:r>
        <w:rPr>
          <w:rFonts w:cs="Arial"/>
          <w:szCs w:val="24"/>
        </w:rPr>
        <w:t>3. Zakljucak</w:t>
      </w:r>
      <w:r>
        <w:rPr/>
        <w:tab/>
        <w:t>21</w:t>
      </w:r>
    </w:p>
    <w:p>
      <w:pPr>
        <w:pStyle w:val="BodyText"/>
        <w:bidi w:val="0"/>
        <w:spacing w:lineRule="auto" w:line="240" w:before="0" w:after="340"/>
        <w:jc w:val="both"/>
        <w:rPr/>
      </w:pPr>
      <w:r>
        <w:rPr/>
        <w:commentReference w:id="1"/>
      </w:r>
      <w:r>
        <w:rPr>
          <w:rFonts w:cs="Arial"/>
          <w:szCs w:val="24"/>
        </w:rPr>
        <w:t>Literatura</w:t>
      </w:r>
      <w:r>
        <w:rPr/>
        <w:tab/>
        <w:t>23</w:t>
      </w:r>
    </w:p>
    <w:p>
      <w:pPr>
        <w:pStyle w:val="Naslovnica"/>
        <w:bidi w:val="0"/>
        <w:spacing w:lineRule="auto" w:line="360" w:before="113" w:after="113"/>
        <w:jc w:val="center"/>
        <w:rPr/>
      </w:pPr>
      <w:r>
        <w:rPr/>
        <w:t>SVEUČILIŠTE U RIJECI</w:t>
      </w:r>
    </w:p>
    <w:p>
      <w:pPr>
        <w:pStyle w:val="Naslovnica"/>
        <w:bidi w:val="0"/>
        <w:spacing w:lineRule="auto" w:line="360" w:before="113" w:after="113"/>
        <w:jc w:val="center"/>
        <w:rPr/>
      </w:pPr>
      <w:r>
        <w:rPr/>
      </w:r>
    </w:p>
    <w:p>
      <w:pPr>
        <w:pStyle w:val="Naslovnica"/>
        <w:bidi w:val="0"/>
        <w:spacing w:lineRule="auto" w:line="360" w:before="113" w:after="113"/>
        <w:jc w:val="center"/>
        <w:rPr/>
      </w:pPr>
      <w:r>
        <w:rPr/>
        <w:t>AKADEMIJA PRIMIJENJENIH UMJETNOSTI</w:t>
      </w:r>
    </w:p>
    <w:p>
      <w:pPr>
        <w:pStyle w:val="Naslovnica"/>
        <w:bidi w:val="0"/>
        <w:spacing w:lineRule="auto" w:line="360" w:before="113" w:after="113"/>
        <w:jc w:val="center"/>
        <w:rPr/>
      </w:pPr>
      <w:r>
        <w:rPr/>
      </w:r>
    </w:p>
    <w:p>
      <w:pPr>
        <w:pStyle w:val="Naslovnica"/>
        <w:bidi w:val="0"/>
        <w:spacing w:lineRule="auto" w:line="360" w:before="113" w:after="113"/>
        <w:jc w:val="center"/>
        <w:rPr/>
      </w:pPr>
      <w:r>
        <w:rPr/>
        <w:t>Prijediplomski sveučilišni studij Gluma i mediji</w:t>
      </w:r>
    </w:p>
    <w:p>
      <w:pPr>
        <w:pStyle w:val="Naslovnica"/>
        <w:bidi w:val="0"/>
        <w:spacing w:lineRule="auto" w:line="360" w:before="113" w:after="113"/>
        <w:jc w:val="center"/>
        <w:rPr/>
      </w:pPr>
      <w:r>
        <w:rPr/>
      </w:r>
    </w:p>
    <w:p>
      <w:pPr>
        <w:pStyle w:val="Naslovnica"/>
        <w:bidi w:val="0"/>
        <w:spacing w:lineRule="auto" w:line="360" w:before="113" w:after="113"/>
        <w:jc w:val="center"/>
        <w:rPr/>
      </w:pPr>
      <w:r>
        <w:rPr/>
        <w:t>PRISUTNOST IZVOĐAČA IZMEĐU POZORNICE I KAMERE: POJMOVNA RASPRAVA O MJERILU IZVEDBE</w:t>
      </w:r>
    </w:p>
    <w:p>
      <w:pPr>
        <w:pStyle w:val="Naslovnica"/>
        <w:bidi w:val="0"/>
        <w:spacing w:lineRule="auto" w:line="360" w:before="113" w:after="113"/>
        <w:jc w:val="center"/>
        <w:rPr/>
      </w:pPr>
      <w:r>
        <w:rPr/>
      </w:r>
    </w:p>
    <w:p>
      <w:pPr>
        <w:pStyle w:val="Naslovnica"/>
        <w:bidi w:val="0"/>
        <w:spacing w:lineRule="auto" w:line="360" w:before="113" w:after="113"/>
        <w:jc w:val="center"/>
        <w:rPr/>
      </w:pPr>
      <w:r>
        <w:rPr/>
        <w:t>ZAVRŠNI RAD</w:t>
      </w:r>
    </w:p>
    <w:p>
      <w:pPr>
        <w:pStyle w:val="Naslovnica"/>
        <w:bidi w:val="0"/>
        <w:spacing w:lineRule="auto" w:line="360" w:before="113" w:after="113"/>
        <w:jc w:val="center"/>
        <w:rPr/>
      </w:pPr>
      <w:r>
        <w:rPr/>
      </w:r>
    </w:p>
    <w:p>
      <w:pPr>
        <w:pStyle w:val="Naslovnica"/>
        <w:bidi w:val="0"/>
        <w:spacing w:lineRule="auto" w:line="360" w:before="113" w:after="113"/>
        <w:jc w:val="center"/>
        <w:rPr/>
      </w:pPr>
      <w:r>
        <w:rPr/>
        <w:t>Lucija Bregović</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Naslovnica"/>
        <w:bidi w:val="0"/>
        <w:spacing w:lineRule="auto" w:line="360" w:before="113" w:after="113"/>
        <w:jc w:val="center"/>
        <w:rPr/>
      </w:pPr>
      <w:r>
        <w:rPr/>
      </w:r>
    </w:p>
    <w:p>
      <w:pPr>
        <w:pStyle w:val="PrijelomStranice"/>
        <w:bidi w:val="0"/>
        <w:rPr/>
      </w:pPr>
      <w:r>
        <w:rPr/>
      </w:r>
      <w:r>
        <w:br w:type="page"/>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Sažetak</w:t>
      </w:r>
    </w:p>
    <w:p>
      <w:pPr>
        <w:pStyle w:val="BodyText"/>
        <w:bidi w:val="0"/>
        <w:spacing w:lineRule="auto" w:line="240" w:before="0" w:after="340"/>
        <w:jc w:val="both"/>
        <w:rPr/>
      </w:pPr>
      <w:r>
        <w:rPr>
          <w:rFonts w:cs="Arial"/>
          <w:szCs w:val="24"/>
        </w:rPr>
        <w:t>Rad ispituje je li prisutnost izvođača u posredovanoj izvedbi ista pojava kao pr</w:t>
      </w:r>
      <w:r>
        <w:rPr/>
        <w:t>isutnost na pozornici i što iz odgovora slijedi za rad glumca pred kamerom. Polazište je uvid da se tri postojeća čitanja prisutnosti ne razlikuju u opažanjima nego u tome što proglašavaju nužnim uvjetom: ontološko čitanje uvjetom drži suprisutnost izvođača i gledatelja, medijsko čitanje uživost proglašava povijesnom kategorijom koju je proizvela sama tehnologija reprodukcije, a zanatsko čitanje prisutnost opisuje kao kvalitetu koju izvođač postiže uvježbanim radom. Rad brani tezu da prisutnost pred kamerom nije ukinuta nego drukčije odmjerena, pri čemu se ono što se na pozornici rješava veličinom geste pred kamerom rješava izborom praga ispod kojega gesta prestaje biti čitljiva. Razlika je razložena na tri parametra koja se provjeravaju odvojeno, na okvir koji bira udaljenost, na montažu koja izvedbu razlaže na dijelove i na izostanak odaziva publike, a u svakome se pokazala ista pravilnost: odluka se premješta s izvođača na drugoga nositelja ili se odgađa za poslije. Iz toga rad izvodi da se prijelaz s pozornice pred kameru s pravom doživljava kao gubitak nadzora, a pogrešno kao gubitak izražajnosti, te da se u pripremi uloge mora bilježiti mjera, a ne stanje. Rad je pojmovni i pregledni, bez vlastite empirijske građe, i izrijekom navodi što nije dokazao.</w:t>
      </w:r>
    </w:p>
    <w:p>
      <w:pPr>
        <w:pStyle w:val="BodyText"/>
        <w:bidi w:val="0"/>
        <w:spacing w:lineRule="auto" w:line="240" w:before="0" w:after="340"/>
        <w:jc w:val="both"/>
        <w:rPr/>
      </w:pPr>
      <w:r>
        <w:rPr>
          <w:rFonts w:cs="Arial"/>
          <w:szCs w:val="24"/>
        </w:rPr>
        <w:t>Ključne riječi: prisutnost, mjerilo izvedbe, gluma pred kamerom, izvedbeni studi</w:t>
      </w:r>
      <w:r>
        <w:rPr/>
        <w:t>ji, uživost</w:t>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Abstract</w:t>
      </w:r>
    </w:p>
    <w:p>
      <w:pPr>
        <w:pStyle w:val="BodyText"/>
        <w:bidi w:val="0"/>
        <w:spacing w:lineRule="auto" w:line="240" w:before="0" w:after="340"/>
        <w:jc w:val="both"/>
        <w:rPr/>
      </w:pPr>
      <w:r>
        <w:rPr/>
        <w:t>This paper asks whether the presence of a performer in mediated performance is the same phenomenon as presence on stage, and what follows from the answer for the actor's work in front of a camera. The starting point is that the three existing readings of presence do not differ in what they observe but in what they declare to be a necessary condition: the ontological reading treats the co-presence of performer and spectator as that condition, the media-historical reading regards liveness as a historical category produced by reproduction technology itself, and the craft reading describes presence as a quality achieved through trained work. The paper defends the thesis that presence before the camera is not abolished but differently scaled, since what the stage settles through the size of a gesture the camera settles through the placement of the threshold below which a gesture ceases to be legible. The difference is broken down into three separately testable parameters, the frame that chooses distance, the editing that divides the performance into parts, and the absence of an audience response, and the same regularity appears in each: the decision moves away from the performer or is deferred. The paper is conceptual and expository, without empirical material, and states explicitly what it has not demonstrated.</w:t>
      </w:r>
    </w:p>
    <w:p>
      <w:pPr>
        <w:pStyle w:val="BodyText"/>
        <w:bidi w:val="0"/>
        <w:spacing w:lineRule="auto" w:line="240" w:before="0" w:after="340"/>
        <w:jc w:val="both"/>
        <w:rPr/>
      </w:pPr>
      <w:r>
        <w:rPr/>
        <w:t>Keywords: presence, scale of performance, screen acting, performance studies, liveness</w:t>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1.</w:t>
        <w:tab/>
        <w:t>Uvod</w:t>
      </w:r>
    </w:p>
    <w:p>
      <w:pPr>
        <w:pStyle w:val="BodyText"/>
        <w:bidi w:val="0"/>
        <w:spacing w:lineRule="auto" w:line="240" w:before="0" w:after="340"/>
        <w:jc w:val="both"/>
        <w:rPr/>
      </w:pPr>
      <w:r>
        <w:rPr/>
        <w:t>Glumac koji prelazi s pozornice pred kameru rijetko opisuje taj prijelaz kao promjenu medija. Opisuje ga kao promjenu količine, u kojoj se nešto mora smanjiti, a nije uvijek jasno što ni koliko. Ta svakodnevna formulacija krije pojmovno pitanje koje izvedbeni studiji vode desetljećima, a koje glasi je li prisutnost izvođača u posredovanoj izvedbi ista pojava kao prisutnost na pozornici. Odgovor nije akademska sitnica, a o njemu ovisi može li se pozornična tehnika prenositi pred kameru ili se ondje uči zanat koji s njom dijeli samo ime. Ovaj rad postavlja upravo to pitanje i traži odgovor koji je istodobno pojmovno održiv i upotrebljiv u pripremi uloge, dakle takav iz kojega slijedi neka odluka, a ne samo uredan opis zatečenoga stanja. Pitanje se pritom postavlja unutar struke, a ne protiv nje.</w:t>
      </w:r>
      <w:r>
        <w:rPr>
          <w:rStyle w:val="FootnoteReference"/>
        </w:rPr>
        <w:footnoteReference w:id="2"/>
      </w:r>
    </w:p>
    <w:p>
      <w:pPr>
        <w:pStyle w:val="BodyText"/>
        <w:bidi w:val="0"/>
        <w:spacing w:lineRule="auto" w:line="240" w:before="0" w:after="340"/>
        <w:jc w:val="both"/>
        <w:rPr/>
      </w:pPr>
      <w:r>
        <w:rPr/>
        <w:t>Spor oko toga pitanja nije spor oko činjenica nego oko toga što se pod prisutnošću uopće podrazumijeva. Jedno čitanje prisutnost veže uz susret tijela u istome vremenu i prostoru i iz toga izvodi zaključak da snimka nije izvedba nego njezin trag (Phelan, 1993). Drugo čitanje tvrdi da je uživost povijesna kategorija koju je proizvela sama tehnologija reprodukcije, uz zaključak da je prisutnost učinak okvira, a ne uvjet susreta (Auslander, 2012). Treće je čitanje zanatsko i najmanje se bavi ontologijom, a prisutnost drži kvalitetom koju izvođač postiže radom i koja se da uvježbati (Zarrilli, 2007). Tri čitanja ne razlikuju se u opažanjima nego u tome što proglašavaju nužnim uvjetom, i zato se ne mogu pomiriti nabrajanjem primjera. Odabir između njih zato je odluka o polazištu, a ne o tome koja strana bolje poznaje kazalište.</w:t>
      </w:r>
      <w:r>
        <w:rPr>
          <w:rStyle w:val="FootnoteReference"/>
        </w:rPr>
        <w:footnoteReference w:id="3"/>
      </w:r>
    </w:p>
    <w:p>
      <w:pPr>
        <w:pStyle w:val="BodyText"/>
        <w:bidi w:val="0"/>
        <w:spacing w:lineRule="auto" w:line="240" w:before="0" w:after="340"/>
        <w:jc w:val="both"/>
        <w:rPr/>
      </w:pPr>
      <w:r>
        <w:rPr/>
        <w:t>Teza ovoga rada glasi da prisutnost pred kamerom nije ukinuta prisutnost nego prisutnost drukčijega mjerila. Ono što se na pozornici rješava veličinom geste, pred kamerom se rješava izborom praga ispod kojega gesta prestaje biti čitljiva, pa razlika između dvaju medija nije razlika u vrsti pojave nego u položaju toga praga. Teza je namjerno osporiva. Ako vrijedi ontološko čitanje, po kojemu je posredovana izvedba samo dokument, onda mjerilo nije varijabla unutar iste pojave nego usporedba dviju različitih pojava, a cijeli je pojam prazan. Rad zato ne smije pretpostaviti ono što dokazuje, nego je dužan pokazati zašto pojam mjerila preživljava najjaču protutezu, a ne samo zašto je koristan. Tvrdnja se stoga postavlja tako da se zna što bi je oborilo, jer bi inače ostala uvjerljiva iz razloga koji s njezinom točnošću nemaju veze.</w:t>
      </w:r>
      <w:r>
        <w:rPr>
          <w:rStyle w:val="FootnoteReference"/>
        </w:rPr>
        <w:footnoteReference w:id="4"/>
      </w:r>
    </w:p>
    <w:p>
      <w:pPr>
        <w:pStyle w:val="BodyText"/>
        <w:bidi w:val="0"/>
        <w:spacing w:lineRule="auto" w:line="240" w:before="0" w:after="340"/>
        <w:jc w:val="both"/>
        <w:rPr/>
      </w:pPr>
      <w:r>
        <w:rPr/>
        <w:t>Postupak je pojmovni i pregledni, bez vlastite empirijske građe i bez ijednoga mjerenja. Rad najprije razlaže tri shvaćanja prisutnosti i njihove uvjete, zatim razliku medija razlaže na parametre koji se mogu imenovati pojedinačno, potom iz njih izvodi posljedice za glumački postupak i naposljetku presuđuje o održivosti predloženoga pojma po tri unaprijed zadana kriterija. Ograničenja se ne ostavljaju za kraj nego se navode odmah: rad ne mjeri izvedbe, ne uspoređuje škole glume i ne tvrdi ništa o tome kako gledatelji doista reagiraju. Njegov je doseg pojmovni, a jedini mu je dokazni materijal dosljednost vlastitih razlikovanja i njihova podudarnost s onim što literatura već tvrdi. Poglavlja se zato ne slažu kao pregled literature nego kao niz koraka u kojem svaki sljedeći ovisi o razlikovanju uvedenom u prethodnome.</w:t>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2.</w:t>
        <w:tab/>
        <w:t>Prisutnost kao pojam</w:t>
      </w:r>
    </w:p>
    <w:p>
      <w:pPr>
        <w:pStyle w:val="BodyText"/>
        <w:bidi w:val="0"/>
        <w:spacing w:lineRule="auto" w:line="240" w:before="0" w:after="340"/>
        <w:jc w:val="both"/>
        <w:rPr/>
      </w:pPr>
      <w:r>
        <w:rPr/>
        <w:t>Prisutnost je jedan od onih pojmova koje struka rabi svakodnevno, a definira rijetko, i u razgovoru o njoj brzo se pomiješaju tri različite tvrdnje. Prva je opisna i tiče se onoga što gledatelj osjeti, druga je uvjetna i tiče se onoga bez čega taj osjećaj navodno ne nastaje, a treća je tehnička i tiče se onoga što izvođač radi da bi ga izazvao. Pojmovnici izvedbene struke redovito bilježe upravo tu višeznačnost i upozoravaju da se termin naslijedio iz nekoliko nespojivih tradicija (Pavis, 2004). Za raspravu koja slijedi važno je razdvojiti ta tri sloja, jer se protuteze ovoga rada ne tiču istoga sloja: ontološka govori o uvjetu, medijska o okviru, a zanatska o postupku. Ovo poglavlje razlaže svaki od njih posebno i tek na kraju ih uspoređuje.</w:t>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BodyText"/>
        <w:bidi w:val="0"/>
        <w:spacing w:lineRule="auto" w:line="240" w:before="0" w:after="340"/>
        <w:jc w:val="both"/>
        <w:rPr/>
      </w:pPr>
      <w:r>
        <w:rPr/>
      </w:r>
    </w:p>
    <w:p>
      <w:pPr>
        <w:pStyle w:val="Heading3"/>
        <w:bidi w:val="0"/>
        <w:ind w:hanging="0" w:left="0"/>
        <w:rPr/>
      </w:pPr>
      <w:r>
        <w:rPr/>
        <w:t>2.1.</w:t>
        <w:tab/>
        <w:t>Suprisutnost kao uvjet</w:t>
      </w:r>
    </w:p>
    <w:p>
      <w:pPr>
        <w:pStyle w:val="BodyText"/>
        <w:bidi w:val="0"/>
        <w:spacing w:lineRule="auto" w:line="240" w:before="0" w:after="340"/>
        <w:jc w:val="both"/>
        <w:rPr/>
      </w:pPr>
      <w:r>
        <w:rPr/>
        <w:t>Najstrože čitanje prisutnosti postavlja jedan uvjet i drži ga neizostavnim: izvođač i gledatelj moraju dijeliti isto vrijeme i isti prostor. Iz toga uvjeta slijedi da je izvedba po naravi prolazna, da postoji samo dok traje i da svaki njezin zapis nužno pripada nekom drugom redu stvari (Phelan, 1993). Snimka po tome čitanju nije slabija izvedba. Štoviše, uopće nije izvedba, nego dokument, predmet koji o izvedbi svjedoči, ali je ne nastavlja. Privlačnost te pozicije nije u strogosti radi strogosti nego u tome što objašnjava zašto se iskustvo gledanja u dvorani opire zamjeni. Ako se izvedba definira kao događaj koji se troši u vlastitom odvijanju, onda je njezina neponovljivost svojstvo, a ne nedostatak koji bi tehnologija tek trebala nadoknaditi. Uvjet je postavljen strogo, i pozicija ga namjerno ne ublažava ni na jednome mjestu.</w:t>
      </w:r>
    </w:p>
    <w:p>
      <w:pPr>
        <w:pStyle w:val="BodyText"/>
        <w:bidi w:val="0"/>
        <w:spacing w:lineRule="auto" w:line="240" w:before="0" w:after="340"/>
        <w:jc w:val="both"/>
        <w:rPr/>
      </w:pPr>
      <w:r>
        <w:rPr/>
        <w:t>To čitanje dobiva dodatnu snagu kad se prisutnost opiše kao petlja, a ne kao svojstvo. Gledatelj koji reagira mijenja uvjete u kojima izvođač nastavlja, izvođač na tu promjenu odgovara, a promijenjeni odgovor opet mijenja gledatelja, te se događaj proizvodi u obostranom, neprekinutom kruženju odaziva (Fischer-Lichte, 2008). Petlja se pritom ne opisuje kao ugodna dodatna okolnost nego kao mehanizam kojim izvedba uopće nastaje. Bez nje ostaje niz radnji koje netko izvodi, ali ne i događaj koji se sastavlja u zajedničkom vremenu. Zapisana izvedba tu petlju nema, premda ima svoj poredak, svoju napetost i svoje trajanje. Naime, ni jedan gledatelj koji je gleda ne može više ništa promijeniti u onome što gleda, budući da je odluka o tome zaključena prije nego što je on došao. Petlja se, drugim riječima, ne dodaje izvedbi nego je čini.</w:t>
      </w:r>
    </w:p>
    <w:p>
      <w:pPr>
        <w:pStyle w:val="BodyText"/>
        <w:bidi w:val="0"/>
        <w:spacing w:lineRule="auto" w:line="240" w:before="0" w:after="340"/>
        <w:jc w:val="both"/>
        <w:rPr/>
      </w:pPr>
      <w:r>
        <w:rPr/>
        <w:t>Fenomenološki opisi kazališnog gledanja idu u istome smjeru, premda blažim rječnikom. Oni prisutnost smještaju u napetost između glumčeva tijela koje je doista tu i lika koji nije, i tvrde da gledatelj u dvorani neprekidno drži oba pojma istodobno, ne odlučujući se ni za jedan (States, 1985). Ta dvostrukost traži da tijelo pred nama bude stvarno na način na koji stvarna može biti samo stvar koja je uistinu prisutna, dakle ranjiva, umorna i podložna nezgodi. Snimljeno tijelo tu ranjivost prikazuje, ali je ne izlaže, a gledatelj zna da se ono što gleda već dogodilo i da ishod ne visi ni o čemu. Prisutnost se tako, tvrdi to čitanje, ne umanjuje nego prestaje, izgubivši upravo ono što ju je činilo napetom. Razlika između prikazivanja i izlaganja ovdje nosi cijelu težinu prigovora.</w:t>
      </w:r>
    </w:p>
    <w:p>
      <w:pPr>
        <w:pStyle w:val="BodyText"/>
        <w:bidi w:val="0"/>
        <w:spacing w:lineRule="auto" w:line="240" w:before="0" w:after="340"/>
        <w:jc w:val="both"/>
        <w:rPr/>
      </w:pPr>
      <w:r>
        <w:rPr/>
        <w:t>Za ovaj rad ta je pozicija najvažnija protuteza i s njom se ne pregovara jeftino. Ako je suprisutnost uvjet, onda pojam mjerila nema što mjeriti, a pozornica i kamera nisu dvije vrijednosti iste veličine nego dvije nesamjerljive pojave, a usporedba između njih je kategorijalna pogreška. Rad zato mora pokazati nešto određenije od toga da je pojam koristan. Mora pokazati da se ono što se pred kamerom mijenja može opisati parametrima koji na pozornici također postoje, samo drukčije namješteni, i da pritom nijedan od tih parametara ne zahtijeva suprisutnost kao svoj uvjet. Ako to ne uspije, ispravan je zaključak napustiti pojam, a ne oslabiti kriterij dok se pojam ne uklopi. Prigovor se stoga u nastavku ne zaobilazi, nego se na njega vraća na svakom mjestu na kojem bi mogao presuditi.</w:t>
      </w:r>
    </w:p>
    <w:p>
      <w:pPr>
        <w:pStyle w:val="Heading3"/>
        <w:bidi w:val="0"/>
        <w:ind w:hanging="0" w:left="0"/>
        <w:rPr/>
      </w:pPr>
      <w:r>
        <w:rPr/>
        <w:t>2.2.</w:t>
        <w:tab/>
        <w:t>Prisutnost kao učinak okvira</w:t>
      </w:r>
    </w:p>
    <w:p>
      <w:pPr>
        <w:pStyle w:val="BodyText"/>
        <w:bidi w:val="0"/>
        <w:spacing w:lineRule="auto" w:line="240" w:before="0" w:after="340"/>
        <w:jc w:val="both"/>
        <w:rPr/>
      </w:pPr>
      <w:r>
        <w:rPr/>
        <w:t>Suprotna pozicija ne poriče iskustvo iz dvorane nego poriče da je ono ontološki privilegirano. Njezin je argument povijestan, a kategorija uživoga nastala je tek onda kad je snimanje postalo moguće, a prije toga nije bilo ničega prema čemu bi se izvedba morala odrediti kao živa (Auslander, 2008). Uživost tako nije zatečeno svojstvo kazališta nego naknadna razlika koju je uvela sama tehnologija, a razlika koju uvodi jedna strana ne može istoj toj strani služiti kao dokaz nadmoći. Teret se dokazivanja odatle obrće. Ne mora se objašnjavati kako posredovana izvedba postiže prisutnost usprkos posredovanju; mora se objasniti zašto smo skloni vjerovati da je neposredovana izvedba ima po sebi, bez ikakva rada i bez ikakva okvira koji bi je proizveo. Argument je povijestan i zato se ne može oboriti pozivom na dojam.</w:t>
      </w:r>
    </w:p>
    <w:p>
      <w:pPr>
        <w:pStyle w:val="BodyText"/>
        <w:bidi w:val="0"/>
        <w:spacing w:lineRule="auto" w:line="240" w:before="0" w:after="340"/>
        <w:jc w:val="both"/>
        <w:rPr/>
      </w:pPr>
      <w:r>
        <w:rPr/>
        <w:t>Novija razrada te pozicije ide korak dalje i prisutnost opisuje kao odnos, a ne kao svojstvo predmeta koji se gleda. Gledatelj pripisuje prisutnost onome čemu je spreman priznati status sugovornika, a ta se spremnost mijenja s očekivanjima, navikama gledanja i tehničkim okolnostima susreta (Auslander, 2012). Uz takvo određenje digitalno posredovan izvođač nije nužno u lošijem položaju od onoga na pozornici, budući da se pitanje premješta s toga gdje se tijelo nalazi na to kako je susret uokviren. Pozicija je pritom skromnija nego što se na prvi pogled čini. Ona ne tvrdi da je razlike nema nego da razlika nije ondje gdje ju je struka navikla tražiti, dakle ne u fizici susreta nego u konvenciji koja ga uređuje. Prisutnost tako postaje nešto što se pripisuje, a ne nešto što se posjeduje.</w:t>
      </w:r>
    </w:p>
    <w:p>
      <w:pPr>
        <w:pStyle w:val="BodyText"/>
        <w:bidi w:val="0"/>
        <w:spacing w:lineRule="auto" w:line="240" w:before="0" w:after="340"/>
        <w:jc w:val="both"/>
        <w:rPr/>
      </w:pPr>
      <w:r>
        <w:rPr/>
        <w:t>Ista se logika pojavljuje i mnogo ranije, u raspravi o tome što reprodukcija oduzima umjetničkome djelu. Ondje se gubitak imenuje kao nestanak jednokratnosti koja djelo veže uz jedno mjesto i jedan trenutak, a taj se nestanak ne opisuje kao čista šteta nego kao promjena režima u kojem djelo djeluje (Benjamin, 1986). Za glumu je to razlikovanje korisnije nego što se čini, i ono razdvaja dva pitanja koja se u raspravama redovito miješaju. Prvo je pitanje što se gubi, i odgovor je razmjerno lako dati. Drugo je pitanje što se na tome mjestu pojavljuje, i ono se rijetko postavlja s istom ozbiljnošću, premda upravo o njemu ovisi ima li smisla govoriti o zasebnoj tehnici pred kamerom. Rad ovdje uzima drugo pitanje, premda je teže i premda odgovor na njega ostaje djelomičan.</w:t>
      </w:r>
    </w:p>
    <w:p>
      <w:pPr>
        <w:pStyle w:val="BodyText"/>
        <w:bidi w:val="0"/>
        <w:spacing w:lineRule="auto" w:line="240" w:before="0" w:after="340"/>
        <w:jc w:val="both"/>
        <w:rPr/>
      </w:pPr>
      <w:r>
        <w:rPr/>
        <w:t>Sociološki opis susreta dodaje toj raspravi jedan mehanizam koji joj inače nedostaje. Prema njemu sudionici svaku situaciju čitaju kroz okvir, dakle kroz prešutan dogovor o tome što se ovdje zapravo događa, a taj okvir određuje koje su geste uopće relevantne i kako će se protumačiti (Goffman, 1974). Okvir je pritom promjenjiv i može se preurediti, ali dok traje, on presuđuje o značenju: ista kretnja u jednom okviru znači znak, a u drugom slučajnost. Prenesen na naš predmet, taj pojam objašnjava zašto gledatelj pred ekranom ne osjeća da mu netko nešto uskraćuje. On ne uspoređuje ekran s dvoranom nego čita ono što gleda unutar okvira koji za taj susret vrijedi, a unutar njega je izvedba potpuna. Okvir tako objašnjava i zašto se ista rasprava iz dvorane i pred ekranom vodi različitim jezikom.</w:t>
      </w:r>
    </w:p>
    <w:p>
      <w:pPr>
        <w:pStyle w:val="Heading3"/>
        <w:bidi w:val="0"/>
        <w:ind w:hanging="0" w:left="0"/>
        <w:rPr/>
      </w:pPr>
      <w:r>
        <w:rPr/>
        <w:t>2.3.</w:t>
        <w:tab/>
        <w:t>Prisutnost kao zanatski postignuta kvaliteta</w:t>
      </w:r>
    </w:p>
    <w:p>
      <w:pPr>
        <w:pStyle w:val="BodyText"/>
        <w:bidi w:val="0"/>
        <w:spacing w:lineRule="auto" w:line="240" w:before="0" w:after="340"/>
        <w:jc w:val="both"/>
        <w:rPr/>
      </w:pPr>
      <w:r>
        <w:rPr/>
        <w:t>Treće se čitanje najmanje bavi pitanjem što prisutnost jest, a najviše pitanjem kako se do nje dolazi. Ono prisutnost opisuje kao kvalitetu izvođačeva djelovanja koja se postiže usmjerenom pažnjom, pripremljenošću tijela i sposobnošću da se energija zadrži prije nego se potroši, dakle kao ishod uvježbanoga rada (Zarrilli, 2007). Kad se pojam tako postavi, pitanje o mediju gubi ontološku težinu i postaje tehničko. Izvođač i dalje radi isti posao, samo pod drugim uvjetima, uz promjenu u tome koliko se od toga rada prenosi, na kojoj udaljenosti i kroz koji filtar. Zanatska pozicija ne opovrgava prve dvije nego im mijenja ulog. Rasprava se premješta s pitanja o naravi izvedbe na pitanje o parametrima zadatka koji izvođač rješava. Ulog se tako smanjuje, ali se povećava mogućnost da se tvrdnja provjeri.</w:t>
      </w:r>
    </w:p>
    <w:p>
      <w:pPr>
        <w:pStyle w:val="BodyText"/>
        <w:bidi w:val="0"/>
        <w:spacing w:lineRule="auto" w:line="240" w:before="0" w:after="340"/>
        <w:jc w:val="both"/>
        <w:rPr/>
      </w:pPr>
      <w:r>
        <w:rPr/>
        <w:t>Teatarska antropologija tu intuiciju razrađuje najdalje, opisujući ono što izvođača čini gledljivim prije nego što išta odigra, dakle napetost u tijelu, ravnotežu koja je namjerno pomaknuta i ekonomiju pokreta koja obećava više nego što pokazuje (Barba i Savarese, 2006). Ti se opisi mogu čitati kao popis podesivih veličina, a ne kao popis tajni. Sličan je smjer i u radu koji glumu svodi na oduzimanje svega što nije nužno, i prisutnost tumači kao ono što ostane kad se maknu navike i ukrasi (Grotowski, 1968). Obje tradicije, koliko god im rječnik bio različit, dijele pretpostavku koja je za ovaj rad ključna, a ta je da je prisutnost nešto što se namješta, pa se, kao i svako namještanje, može opisati mjerom. Popis podesivih veličina pritom nije nikakvo svođenje zanata, nego uvjet da se o njemu može razgovarati.</w:t>
      </w:r>
    </w:p>
    <w:p>
      <w:pPr>
        <w:pStyle w:val="BodyText"/>
        <w:bidi w:val="0"/>
        <w:spacing w:lineRule="auto" w:line="240" w:before="0" w:after="340"/>
        <w:jc w:val="both"/>
        <w:rPr/>
      </w:pPr>
      <w:r>
        <w:rPr/>
        <w:t>Tri se čitanja razlikuju po tome što proglašavaju uvjetom, tko je nositelj prisutnosti i može li se tvrdnja uopće provjeriti izvan iskustva gledatelja, kako je sažeto u Tablici 1. Usporedba pokazuje da su ontološko i medijsko čitanje izravno suprotstavljena, pri čemu jedno drži uvjet nužnim, a drugo ga proglašava povijesnom tvorevinom, dok zanatsko čitanje s obama ostaje spojivo. Upravo ta spojivost čini ga korisnim polazištem, ali i obvezuje na to da pojam koji se na njemu gradi mora ostati opisan tako da ga ontološko čitanje može osporiti. Rad zato u nastavku ne traži pomirenje triju pozicija nego jednu veličinu koja se da imenovati unutar svake od njih. Ta veličina mora biti takva da je i najstroža pozicija može prepoznati kao smislenu, čak i ako joj poriče važnost koju joj ovaj rad pripisuje.</w:t>
      </w:r>
    </w:p>
    <w:p>
      <w:pPr>
        <w:pStyle w:val="Heading3"/>
        <w:bidi w:val="0"/>
        <w:ind w:hanging="0" w:left="0"/>
        <w:rPr/>
      </w:pPr>
      <w:r>
        <w:rPr/>
        <w:t>3.</w:t>
        <w:tab/>
        <w:t>Mjerilo izvedbe kao razlika medija</w:t>
      </w:r>
    </w:p>
    <w:p>
      <w:pPr>
        <w:pStyle w:val="BodyText"/>
        <w:bidi w:val="0"/>
        <w:spacing w:lineRule="auto" w:line="240" w:before="0" w:after="340"/>
        <w:jc w:val="both"/>
        <w:rPr/>
      </w:pPr>
      <w:r>
        <w:rPr/>
        <w:t>Ako se prisutnost shvati kao nešto što se namješta, onda razlika između pozornice i kamere prestaje biti jedna velika razlika i raspada se na nekoliko manjih koje se mogu imenovati odvojeno. To je metodološki dobitak, s obzirom na to da se svaka od njih onda može provjeriti posebno, a ne mora braniti ili obarati u paketu. Rasprave o filmskoj glumi redovito upozoravaju da se pogreška događa upravo ondje gdje se razlika opisuje jednom rečenicom o suzdržanosti, a takav opis pogađa ishod, a promašuje razlog (Naremore, 1988). Ovo poglavlje razlaže razliku na tri parametra: na okvir koji bira udaljenost, na montažu koja preraspodjeljuje vrijeme i na izostanak odaziva publike. Termini su preuzeti iz uobičajenoga pojmovnika struke i rabe se u njegovu značenju (Pavis, 2004), a ne u nekom posebnom, za ovu prigodu skrojenom smislu.</w:t>
      </w:r>
    </w:p>
    <w:p>
      <w:pPr>
        <w:pStyle w:val="Heading3"/>
        <w:bidi w:val="0"/>
        <w:ind w:hanging="0" w:left="0"/>
        <w:rPr/>
      </w:pPr>
      <w:r>
        <w:rPr/>
        <w:t>3.1.</w:t>
        <w:tab/>
        <w:t>Kadar kao okvir koji bira udaljenost</w:t>
      </w:r>
    </w:p>
    <w:p>
      <w:pPr>
        <w:pStyle w:val="BodyText"/>
        <w:bidi w:val="0"/>
        <w:spacing w:lineRule="auto" w:line="240" w:before="0" w:after="340"/>
        <w:jc w:val="both"/>
        <w:rPr/>
      </w:pPr>
      <w:r>
        <w:rPr/>
        <w:t>Prvi je parametar prostorni i najlakše se pokazuje. U dvorani udaljenost bira gledatelj i ona je za cijelo trajanje predstave uglavnom zadana: tko sjedi u desetom redu, gleda iz desetoga reda i lice vidi kao mrlju, a tijelo kao cjelinu. Pred kamerom udaljenost bira okvir i mijenja se bez najave, tako da isti prizor može biti opća slika u kojoj se čita hod i krupni plan u kojemu se čita treptaj. Rana filmska teorija upravo je u krupnom planu vidjela otkriće novoga izražajnog polja, tvrdeći da lice u njemu prestaje biti dio tijela i postaje samostalan krajolik s vlastitom mikroskopskom dramaturgijom (Balázs, 2010). Odabir udaljenosti tako prelazi s gledatelja na produkciju, a glumac se nalazi u položaju da igra za okvir koji nije sam izabrao.</w:t>
      </w:r>
    </w:p>
    <w:p>
      <w:pPr>
        <w:pStyle w:val="BodyText"/>
        <w:bidi w:val="0"/>
        <w:spacing w:lineRule="auto" w:line="240" w:before="0" w:after="340"/>
        <w:jc w:val="both"/>
        <w:rPr/>
      </w:pPr>
      <w:r>
        <w:rPr/>
        <w:t>Iz te se promjene izvodi ono što se u praksi naziva smanjivanjem, ali taj naziv zamagljuje mehanizam. Ne smanjuje se izvedba nego se pomiče prag čitljivosti. Gesta koja je u desetom redu bila najmanja moguća da bi se vidjela u krupnom je planu već pretjerana, dok kretnja koja na pozornici ne bi doprla ni do trećega reda pred kamerom nosi cijelu scenu. Lanac izvedbe u dvorani prikazan je na Slici 1 kao jedna neprekinuta os između izvođača i gledatelja, bez posrednika koji bi tu udaljenost mijenjao. Kad se ta os usporedi s onom pred kamerom, vidi se da problem nije u količini nego u tome što se količina više ne određuje jednom za cijelu izvedbu. Naziv smanjivanje zato opisuje ishod, a promašuje uzrok, i upravo se tako nesporazum održava.</w:t>
      </w:r>
    </w:p>
    <w:p>
      <w:pPr>
        <w:pStyle w:val="BodyText"/>
        <w:bidi w:val="0"/>
        <w:spacing w:lineRule="auto" w:line="240" w:before="0" w:after="340"/>
        <w:jc w:val="both"/>
        <w:rPr/>
      </w:pPr>
      <w:r>
        <w:rPr/>
        <w:t>Korisno je zato mjerilo shvatiti kao raspon, a ne kao jednu vrijednost. Svaka veličina kadra otvara pojas unutar kojega je gesta istodobno vidljiva i vjerodostojna: ispod donje granice nestaje, iznad gornje se čita kao pretjerivanje. Taj je odnos prikazan na Slici 3, gdje se raspon sužava kako se okvir približava, tako da u krupnom planu ostaje uzak pojas u kojemu se odluke donose u milimetrima i desetinkama sekunde. Pozornica takav pojas također ima, ali je on širok i mijenja se sporo, i glumac ga doživljava kao okolnost, a ne kao zadatak. Pred kamerom pojas postaje uzak i mijenja se od postave do postave, i upravo ga to pretvara u nešto o čemu se mora odlučivati svjesno. Uskost pojasa pritom nije mjera težine zadatka nego mjera preciznosti koju on traži.</w:t>
      </w:r>
    </w:p>
    <w:p>
      <w:pPr>
        <w:pStyle w:val="BodyText"/>
        <w:bidi w:val="0"/>
        <w:spacing w:lineRule="auto" w:line="240" w:before="0" w:after="340"/>
        <w:jc w:val="both"/>
        <w:rPr/>
      </w:pPr>
      <w:r>
        <w:rPr/>
        <w:t>Tu je i mjesto na kojem se ontološka protuteza može provjeriti, a ne samo prepričati. Raspon čitljive geste ne traži da gledatelj bude u istoj prostoriji; traži samo da postoji okvir koji određuje udaljenost i prag ispod kojega znak nestaje. Takav okvir postoji u obama medijima, samo ga u jednome postavlja arhitektura dvorane, a u drugome objektiv i rez. Proizlazi da se razlika može opisati bez pozivanja na suprisutnost, čime pojam mjerila zadovoljava prvi uvjet svoje održivosti. To još nije dokaz da je pojam dovoljan, uz preostali vremenski parametar i parametar odaziva, ali jest dokaz da se ne ruši na najizravnijem prigovoru koji mu se upućuje. Provjera je obavljena na najtvrđem mjestu, dakle ondje gdje bi pojam pao da ne valja, a ne ondje gdje mu je najlakše.</w:t>
      </w:r>
    </w:p>
    <w:p>
      <w:pPr>
        <w:pStyle w:val="Heading3"/>
        <w:bidi w:val="0"/>
        <w:ind w:hanging="0" w:left="0"/>
        <w:rPr/>
      </w:pPr>
      <w:r>
        <w:rPr/>
        <w:t>3.2.</w:t>
        <w:tab/>
        <w:t>Montaža kao preraspodjela vremena izvedbe</w:t>
      </w:r>
    </w:p>
    <w:p>
      <w:pPr>
        <w:pStyle w:val="BodyText"/>
        <w:bidi w:val="0"/>
        <w:spacing w:lineRule="auto" w:line="240" w:before="0" w:after="340"/>
        <w:jc w:val="both"/>
        <w:rPr/>
      </w:pPr>
      <w:r>
        <w:rPr/>
        <w:t>Drugi je parametar vremenski i teži je od prvoga, a razlog je što ne mijenja mjeru nego redoslijed. Pozornična izvedba teče u jednome smjeru i njezino je trajanje istovjetno trajanju gledanja, pa je ono što je odigrano prije odigrano i ranije. Pred kamerom to više ne vrijedi. Prizor se snima u dijelovima, dijelovi se snimaju izvan poretka u kojemu će biti gledani, a konačan slijed nastaje naknadno, u postupku o kojem izvođač u pravilu ne odlučuje. Lanac s tri međukoraka, dakle s okvirom, montažom i odgodom između izvedbe i gledanja, prikazan je na Slici 2. Ono što na pozornici čini jedan potez, ovdje je razloženo na niz odluka koje donose različiti ljudi u različitim trenucima. Poredak se tako pretvara iz zatečene okolnosti u predmet odluke koju netko donosi.</w:t>
      </w:r>
    </w:p>
    <w:p>
      <w:pPr>
        <w:pStyle w:val="BodyText"/>
        <w:bidi w:val="0"/>
        <w:spacing w:lineRule="auto" w:line="240" w:before="0" w:after="340"/>
        <w:jc w:val="both"/>
        <w:rPr/>
      </w:pPr>
      <w:r>
        <w:rPr/>
        <w:t>Klasična filmska teorija tu je razliku čitala kao izbor između dvaju postupaka, a ne kao tehničku nužnost. Jedan postupak značenje gradi rezom, dakle spajanjem prizora koji sami po sebi ne znače ono što znače zajedno, dok drugi značenje ostavlja unutar kadra i traži da se ono zbude pred nepomičnim okom (Bazin, 1967). Za glumca ta razlika nije akademska: u prvom postupku njegov je zadatak lokalan i mjeri se po dijelu, u drugom je zadatak cjelovit i mjeri se po luku. Rasprave o filmskoj izvedbi upravo zato inzistiraju da se o glumi pred kamerom ne može govoriti bez postupka koji je uokviruje. Učinak koji gledatelj pripisuje glumcu redovito proizvodi u suradnji nekoliko odjela (Baron i Carnicke, 2008). Izbor između tih dvaju postupaka mijenja i to što se od glumca uopće traži.</w:t>
      </w:r>
    </w:p>
    <w:p>
      <w:pPr>
        <w:pStyle w:val="BodyText"/>
        <w:bidi w:val="0"/>
        <w:spacing w:lineRule="auto" w:line="240" w:before="0" w:after="340"/>
        <w:jc w:val="both"/>
        <w:rPr/>
      </w:pPr>
      <w:r>
        <w:rPr/>
        <w:t>Odatle slijedi posljedica koja se u praksi osjeti prije nego se imenuje. Kontinuitet izvedbe pred kamerom nije nešto što glumac drži nego nešto što se sastavlja. Njegov se posao mijenja iz vođenja luka u pogađanje točke na luku koji trenutačno ne postoji. Taj se posao ne može obaviti pamćenjem osjećaja, koji nije mjera, nego traži prijenosnu veličinu što se da zapisati i ponoviti. Mjerilo je upravo takva veličina, koja ne opisuje što glumac osjeća nego koliko od toga izlazi van i preživljava razlaganje na dijelove. Time drugi parametar ne obara predloženi pojam nego mu daje drugu funkciju i iz opisa ga pretvara u radnu uputu. Upravo zato se pojam ovdje pokazuje jačim nego u prethodnome odjeljku, gdje je još mogao izgledati kao puki opis.</w:t>
      </w:r>
    </w:p>
    <w:p>
      <w:pPr>
        <w:pStyle w:val="Heading3"/>
        <w:bidi w:val="0"/>
        <w:ind w:hanging="0" w:left="0"/>
        <w:rPr/>
      </w:pPr>
      <w:r>
        <w:rPr/>
        <w:t>3.3.</w:t>
        <w:tab/>
        <w:t>Izostanak povratne petlje publike</w:t>
      </w:r>
    </w:p>
    <w:p>
      <w:pPr>
        <w:pStyle w:val="BodyText"/>
        <w:bidi w:val="0"/>
        <w:spacing w:lineRule="auto" w:line="240" w:before="0" w:after="340"/>
        <w:jc w:val="both"/>
        <w:rPr/>
      </w:pPr>
      <w:r>
        <w:rPr/>
        <w:t>Treći parametar dotiče najosjetljivije mjesto, a to je odaziv. Pred kamerom nema gledatelja koji bi reagirao dok se izvedba odvija, pa petlja koju ontološko čitanje drži tvornicom izvedbe ovdje doista ne postoji. Taj se izostanak ne može ublažiti tvrdnjom da ekipa u studiju zamjenjuje publiku. Ekipa ne gleda kao publika i njezine reakcije nisu dio djela. Ako se izvedba definira kao događaj koji nastaje u obostranom kruženju odaziva, onda je pred kamerom izvedbe u tom smislu nema (Fischer-Lichte, 2008). Rad tu razliku ne umanjuje i ne pokušava je nadoknaditi, nego tvrdi nešto skromnije, a to je da odsutnost petlje mijenja izvor povratne informacije, a ne postojanje samoga zadatka koji se izvodi. Priznanje te razlike stoji rad skuplje od svakoga drugog ustupka, ali bez njega presuda ne bi bila poštena.</w:t>
      </w:r>
    </w:p>
    <w:p>
      <w:pPr>
        <w:pStyle w:val="BodyText"/>
        <w:bidi w:val="0"/>
        <w:spacing w:lineRule="auto" w:line="240" w:before="0" w:after="340"/>
        <w:jc w:val="both"/>
        <w:rPr/>
      </w:pPr>
      <w:r>
        <w:rPr/>
        <w:t>Razlikovanje pomaže i jedna starija podjela koja izvedbu opisuje kao raspon, a ne kao stanje. Prema njoj postoji niz stupnjeva između pukoga pojavljivanja i potpuno izgrađene uloge, pa nije nužno odlučiti glumi li netko ili ne glumi, nego se može odrediti koliko glumi (Kirby, 1972). Takav raspon ne pretpostavlja publiku koja odgovara, nego se određuje iz odnosa prema zadatku, a ne iz odaziva dvorane. Slična se pretpostavka nalazi i u opisima suvremenih scenskih oblika koji dramski luk namjerno napuštaju, te se učinak izvedbe više ne mjeri time koliko je publika povučena u priču (Lehmann, 2004). Oba primjera pokazuju da se mjera izvedbe može održati i ondje gdje se odaziv ne pojavljuje u očekivanu obliku. Mjera izvedbe nije vezana uz jedan tip odnosa s gledateljem.</w:t>
      </w:r>
    </w:p>
    <w:p>
      <w:pPr>
        <w:pStyle w:val="BodyText"/>
        <w:bidi w:val="0"/>
        <w:spacing w:lineRule="auto" w:line="240" w:before="0" w:after="340"/>
        <w:jc w:val="both"/>
        <w:rPr/>
      </w:pPr>
      <w:r>
        <w:rPr/>
        <w:t>Tri parametra i njihove vrijednosti u obama medijima uspoređeni su u Tablici 2, uz četvrti redak koji navodi tko o parametru odlučuje. Usporedba pokazuje pravilnost koja se u pojedinačnim raspravama gubi, a u svakom retku pred kamerom odluku preuzima netko drugi ili se ona odgađa za poslije, dok na pozornici ostaje kod izvođača i unutar trajanja izvedbe. Ta pravilnost objašnjava zašto se prijelaz doživljava kao gubitak kontrole, a ne kao gubitak izražajnosti. Ona ujedno pokazuje granicu ovoga poglavlja, u kojemu parametri opisuju gdje je odluka, ali ne kažu kako se izvodi, pa se posljedice za sam glumački postupak moraju izvesti zasebno. Ta granica nije priznanje slabosti nego uputa o tome gdje sljedeći korak mora početi, a on je predmet idućega poglavlja, koje pita što se u radu glumca doista mijenja.</w:t>
      </w:r>
    </w:p>
    <w:p>
      <w:pPr>
        <w:pStyle w:val="Heading3"/>
        <w:bidi w:val="0"/>
        <w:ind w:hanging="0" w:left="0"/>
        <w:rPr/>
      </w:pPr>
      <w:r>
        <w:rPr/>
        <w:t>4.</w:t>
        <w:tab/>
        <w:t>Posljedice za glumački postupak</w:t>
      </w:r>
    </w:p>
    <w:p>
      <w:pPr>
        <w:pStyle w:val="BodyText"/>
        <w:bidi w:val="0"/>
        <w:spacing w:lineRule="auto" w:line="240" w:before="0" w:after="340"/>
        <w:jc w:val="both"/>
        <w:rPr/>
      </w:pPr>
      <w:r>
        <w:rPr/>
        <w:t>Pojam koji ostaje na razini opisa lako je obraniti i teško upotrijebiti, a njegova se vrijednost mjeri po tome mijenja li išta u onome što izvođač radi. Ovo poglavlje zato uzima dva mjesta na kojima se razlika medija osjeti prije nego što se objasni, dakle pripremu uloge i rad s partnerom, i pita što iz predloženoga pojma za njih slijedi. Odabir tih dvaju mjesta nije proizvoljan, a oba su u literaturi o filmskoj izvedbi opisana kao točke na kojima pozornična naobrazba redovito zataji, i to ne zbog manjka umijeća nego zbog pretpostavke koja se prenosi nesvjesno (Baron i Carnicke, 2008). Rasprave o nasljeđu psihološke tradicije upozoravaju na isto, ističući da se metoda prenosi zajedno sa svojim prešutnim uvjetima (Krasner, 2000). Oba se mjesta uzimaju kao primjeri, ne kao potpun popis.</w:t>
      </w:r>
    </w:p>
    <w:p>
      <w:pPr>
        <w:pStyle w:val="Heading3"/>
        <w:bidi w:val="0"/>
        <w:ind w:hanging="0" w:left="0"/>
        <w:rPr/>
      </w:pPr>
      <w:r>
        <w:rPr/>
        <w:t>4.1.</w:t>
        <w:tab/>
        <w:t>Priprema koja ne može računati na luk cjeline</w:t>
      </w:r>
    </w:p>
    <w:p>
      <w:pPr>
        <w:pStyle w:val="BodyText"/>
        <w:bidi w:val="0"/>
        <w:spacing w:lineRule="auto" w:line="240" w:before="0" w:after="340"/>
        <w:jc w:val="both"/>
        <w:rPr/>
      </w:pPr>
      <w:r>
        <w:rPr/>
        <w:t>Priprema uloge u pozorničnoj tradiciji gradi se prema cjelini. Glumac razlaže tekst na dijelove, svakom dijelu pripisuje zadatak i te zadatke slaže u niz koji vodi prema krajnjem cilju, pa je svaki pojedini prizor razumljiv tek s obzirom na mjesto koje u tom nizu zauzima (Stanislavski, 1989). Postupak pretpostavlja da će se niz izvoditi redom i u jednom dahu, a upravo se iz redoslijeda crpi napetost koja pojedinačnu scenu nosi. Pred kamerom ta pretpostavka otpada. Prizori se snimaju izvan poretka, često s tjednima razmaka, a katkad se posljednji prizor snima prvi, te se cjelina, ako uopće postoji, sastavlja izvan glumčeve nadležnosti. Priprema koja se oslanja na luk gubi upravo ono što joj je davalo mjeru. Mjera koju je davao redoslijed nestaje, a ništa je automatski ne zamjenjuje.</w:t>
      </w:r>
    </w:p>
    <w:p>
      <w:pPr>
        <w:pStyle w:val="BodyText"/>
        <w:bidi w:val="0"/>
        <w:spacing w:lineRule="auto" w:line="240" w:before="0" w:after="340"/>
        <w:jc w:val="both"/>
        <w:rPr/>
      </w:pPr>
      <w:r>
        <w:rPr/>
        <w:t>Predloženi pojam mjerila tu nudi zamjenu koja nije nadomjestak nego drukčija vrsta zapisa. Umjesto da pamti gdje se u luku nalazi, glumac za svaki dio bilježi koliko od unutarnjega zadatka izlazi van, u kojem pojasu i pri kojoj veličini kadra. Takav se zapis može ponoviti nakon tri tjedna, jer se ne oslanja na raspoloženje nego na veličinu koja je izvana provjerljiva. Rasprave o prilagodbama psihološke tradicije za kameru opisuju upravo takav pomak, od pamćenja stanja prema pamćenju mjere, i navode ga kao razlog zbog kojega se ista metoda u dvama medijima izvodi različito (Krasner, 2000). Pomak je pritom tehnički, ne svjetonazorski, i unutarnji rad ostaje isti, a mijenja se ono što se o njemu bilježi. Zapis tako prelazi iz privatnoga u prenosiv oblik, pa se o njemu može razgovarati s ostatkom ekipe.</w:t>
      </w:r>
    </w:p>
    <w:p>
      <w:pPr>
        <w:pStyle w:val="BodyText"/>
        <w:bidi w:val="0"/>
        <w:spacing w:lineRule="auto" w:line="240" w:before="0" w:after="340"/>
        <w:jc w:val="both"/>
        <w:rPr/>
      </w:pPr>
      <w:r>
        <w:rPr/>
        <w:t>Iz toga slijedi i jedno ograničenje koje treba izreći odmah. Zapis mjere pretpostavlja da glumac unaprijed zna veličinu kadra, a to u praksi često ne zna, budući da se odluka donosi na snimanju i mijenja se između postava. Pojam mjerila zato ne rješava problem nego ga premješta na mjesto na kojemu se o njemu barem može pregovarati: umjesto pitanja koliko igrati, postavlja se pitanje unutar kojega raspona treba ostati da bi izvedba podnijela oba okvira. Takvo je pitanje moguće postaviti redatelju ili snimatelju prije snimanja, dok se prvo pitanje ne može postaviti nikome. Time se dobiva manje nego što bi se htjelo, ali se dobiva nešto što se da provjeriti. Pomak s neodgovorivoga na pregovorivo pitanje jedini je stvarni dobitak ovoga odjeljka i tako ga treba i vrednovati.</w:t>
      </w:r>
    </w:p>
    <w:p>
      <w:pPr>
        <w:pStyle w:val="Heading3"/>
        <w:bidi w:val="0"/>
        <w:ind w:hanging="0" w:left="0"/>
        <w:rPr/>
      </w:pPr>
      <w:r>
        <w:rPr/>
        <w:t>4.2.</w:t>
        <w:tab/>
        <w:t>Partner koji nije prisutan</w:t>
      </w:r>
    </w:p>
    <w:p>
      <w:pPr>
        <w:pStyle w:val="BodyText"/>
        <w:bidi w:val="0"/>
        <w:spacing w:lineRule="auto" w:line="240" w:before="0" w:after="340"/>
        <w:jc w:val="both"/>
        <w:rPr/>
      </w:pPr>
      <w:r>
        <w:rPr/>
        <w:t>Drugo mjesto tiče se odnosa prema partneru, koji pred kamerom vrlo često nije u prizoru. Protupolje se snima odvojeno, pa glumac igra prema oznaci pokraj objektiva, prema pomoćniku koji čita replike ili prema praznini, dok je odgovor koji bi trebao primiti već snimljen ili tek predstoji. Pozornična tehnika za taj slučaj nema pripremljen postupak, budući da joj je partner uvijek bio zadan kao stvarna, promjenjiva okolnost. Ono što ostaje jest sposobnost da se odnos održi bez vanjskoga povoda, a upravo je ta sposobnost u nekim tradicijama opisana kao središnji dio zanata, kao rad s predodžbom koja se u tijelu ponaša kao da je stvarna (Chekhov, 1953). Prazan prostor nasuprot glumcu postaje tehnički uvjet zadatka, a ne izuzetak koji se rješava snalaženjem.</w:t>
      </w:r>
    </w:p>
    <w:p>
      <w:pPr>
        <w:pStyle w:val="BodyText"/>
        <w:bidi w:val="0"/>
        <w:spacing w:lineRule="auto" w:line="240" w:before="0" w:after="340"/>
        <w:jc w:val="both"/>
        <w:rPr/>
      </w:pPr>
      <w:r>
        <w:rPr/>
        <w:t>Ovdje se pokazuje zašto je mjerilo korisnije od pojma prisutnosti kad se govori o postupku. Prisutnost bez partnera teško je i opisati, a još teže provjeriti, dok se mjerilo određuje prema okviru i prema pragu čitljivosti, dakle prema veličinama koje postoje i kad nasuprot glumcu nema nikoga. Analize filmske izvedbe redovito primjećuju da se dojam odnosa u gotovu prizoru gradi iz smjera pogleda, trajanja i ritma, a ne iz stvarne razmjene u trenutku snimanja (Naremore, 1988). Iz toga ne slijedi da je odnos privid, nego da se on izvodi drugim sredstvima. Glumčev je zadatak zato konkretniji nego što izgleda, a sastoji se u tome da održi mjeru koja će se u montaži čitati kao odgovor. Sredstva se mijenjaju, a zahtjev ostaje isti, i tu je razliku najlakše previdjeti.</w:t>
      </w:r>
    </w:p>
    <w:p>
      <w:pPr>
        <w:pStyle w:val="BodyText"/>
        <w:bidi w:val="0"/>
        <w:spacing w:lineRule="auto" w:line="240" w:before="0" w:after="340"/>
        <w:jc w:val="both"/>
        <w:rPr/>
      </w:pPr>
      <w:r>
        <w:rPr/>
        <w:t>Postoji i pristup koji na isto pitanje odgovara oduzimanjem, tvrdeći da se odnos pojavljuje sam kad se ukloni sve što ga glumi (Grotowski, 1968). Taj se pristup na prvi pogled protivi svakom razmišljanju o mjeri, a mjeru doživljava kao još jedan sloj tehnike koji se ima skinuti. Njegova je korist za ovaj rad ipak stvarna, i taj pristup imenuje rizik koji predloženi pojam nosi. Glumac koji mjeru shvati kao cilj počinje igrati mjeru, a ne odnos, i tada se dobiva izvedba koja je točno odmjerena i posve prazna. Mjerilo je stoga ograničenje unutar kojega se radi, poput okvira kadra, a ne sadržaj rada. Rizik je time imenovan, ali nije uklonjen, jer ga nijedna definicija ne može ukloniti umjesto onoga tko izvedbu doista radi.</w:t>
      </w:r>
    </w:p>
    <w:p>
      <w:pPr>
        <w:pStyle w:val="Heading3"/>
        <w:bidi w:val="0"/>
        <w:ind w:hanging="0" w:left="0"/>
        <w:rPr/>
      </w:pPr>
      <w:r>
        <w:rPr/>
        <w:t>5.</w:t>
        <w:tab/>
        <w:t>Rasprava: mjerilo kao pojmovni most</w:t>
      </w:r>
    </w:p>
    <w:p>
      <w:pPr>
        <w:pStyle w:val="BodyText"/>
        <w:bidi w:val="0"/>
        <w:spacing w:lineRule="auto" w:line="240" w:before="0" w:after="340"/>
        <w:jc w:val="both"/>
        <w:rPr/>
      </w:pPr>
      <w:r>
        <w:rPr/>
        <w:t>Preostaje presuditi je li predloženi pojam doista pojam ili tek zgodna metafora koja rasprave o mediju čini podnošljivima. Presuda se ne može donijeti time što se pokaže da je pojam koristan, a koristan je i svaki dobro smišljen naziv, nego time što se unaprijed zadaju kriteriji koje mora ispuniti i onda pošteno provjeri ispunjava li ih. Ovo poglavlje zato prvo postavlja tri kriterija, primjenjuje ih redom i imenuje ono što nije riješeno, a potom navodi granice cijele rasprave. Kriteriji su izvedeni iz zahtjeva koje literatura već postavlja pred pojmove ove vrste, dakle da razlikuju, da se mogu osporiti i da nešto mijenjaju u postupku (Auslander, 2012; Zarrilli, 2009). Kriteriji se navode prije provjere upravo zato da se poslije ne bi prilagodili ishodu koji rad želi dobiti.</w:t>
      </w:r>
    </w:p>
    <w:p>
      <w:pPr>
        <w:pStyle w:val="Heading3"/>
        <w:bidi w:val="0"/>
        <w:ind w:hanging="0" w:left="0"/>
        <w:rPr/>
      </w:pPr>
      <w:r>
        <w:rPr/>
        <w:t>5.1.</w:t>
        <w:tab/>
        <w:t>Tri kriterija pojmovne održivosti</w:t>
      </w:r>
    </w:p>
    <w:p>
      <w:pPr>
        <w:pStyle w:val="BodyText"/>
        <w:bidi w:val="0"/>
        <w:spacing w:lineRule="auto" w:line="240" w:before="0" w:after="340"/>
        <w:jc w:val="both"/>
        <w:rPr/>
      </w:pPr>
      <w:r>
        <w:rPr/>
        <w:t>Prvi kriterij traži da pojam razlikuje ono što je prije bilo stopljeno. Mjerilo taj kriterij ispunjava time što razdvaja tri stvari koje se u razgovoru o suzdržanoj filmskoj glumi redovito miješaju: veličinu geste, položaj praga čitljivosti i to tko o pragu odlučuje. Prije toga razlikovanja svaka je rasprava o prijelazu s pozornice pred kameru završavala u savjetu da se igra manje, koji je istinit i neupotrebljiv. Nakon njega se može reći što se točno mijenja i tko to mijenja, kako je po parametrima razloženo prema Tablici 2. Slično razlikovanje predloženo je i u novijoj domaćoj literaturi, pod drugim nazivom i bez razrade posljedica za pripremu uloge (Horvat, 2026), što upućuje na to da je potreba za takvim pojmom šira od ovoga rada. Prvi je kriterij time ispunjen, i to je jedini od tri koji je ispunjen bez ostatka.</w:t>
      </w:r>
    </w:p>
    <w:p>
      <w:pPr>
        <w:pStyle w:val="BodyText"/>
        <w:bidi w:val="0"/>
        <w:spacing w:lineRule="auto" w:line="240" w:before="0" w:after="340"/>
        <w:jc w:val="both"/>
        <w:rPr/>
      </w:pPr>
      <w:r>
        <w:rPr/>
        <w:t>Na drugome je mjestu zahtjev za osporivošću, jer tvrdnja koja ne može biti pobijena nije tvrdnja. Mjerilo taj kriterij ispunjava na način koji je za rad neugodan, ali pošten. Ako se pokaže da raspon čitljive geste na pozornici i pred kamerom nije ista veličina različito namještena nego dvije veličine koje se ne mogu usporediti, pojam pada. Pada i ako se pokaže da odluka o pragu ni pred kamerom nije premještena, nego da je glumac zadržava. Ovaj rad tvrdi da ta dva uvjeta nisu ispunjena, ali ih ne može isključiti, a za to bi trebalo mjerenje kakvo pojmovna rasprava ne provodi. Uvjeti su zato zapisani kao provjerljivi, ne kao riješeni. Zapisati uvjet vlastita pada nije ustupak protivniku nego jedini način da tvrdnja ostane provjerljiva.</w:t>
      </w:r>
    </w:p>
    <w:p>
      <w:pPr>
        <w:pStyle w:val="BodyText"/>
        <w:bidi w:val="0"/>
        <w:spacing w:lineRule="auto" w:line="240" w:before="0" w:after="340"/>
        <w:jc w:val="both"/>
        <w:rPr/>
      </w:pPr>
      <w:r>
        <w:rPr/>
        <w:t>Ostaje još zahtjev da pojam mijenja postupak, a ne samo rječnik. Ovdje je ishod djelomičan i tako ga treba i izreći. Mjerilo doista mijenja ono što se u pripremi bilježi, a zapis mjere preživljava razlaganje prizora na dijelove ondje gdje zapis stanja ne preživljava, i mijenja pitanje koje glumac postavlja prije snimanja. Ne mijenja, međutim, ništa u načinu na koji se do same izvedbe dolazi, niti nudi vježbu kojom bi se raspon proširio. Pojam koji se predlaže tako ostaje opis zadatka i uvjet njegove provjerljivosti, a ne metoda njegova rješavanja, kakvu razrađuje zanatska literatura (Zarrilli, 2009), pa bi jače tvrđenje bilo obećanje koje ovaj rad ne može pokriti. Od tri kriterija tako su dva ispunjena, a treći je ispunjen djelomično, i rad taj ishod ne prikazuje povoljnije nego što jest.</w:t>
      </w:r>
    </w:p>
    <w:p>
      <w:pPr>
        <w:pStyle w:val="Heading3"/>
        <w:bidi w:val="0"/>
        <w:ind w:hanging="0" w:left="0"/>
        <w:rPr/>
      </w:pPr>
      <w:r>
        <w:rPr/>
        <w:t>5.2.</w:t>
        <w:tab/>
        <w:t>Ograničenja rasprave</w:t>
      </w:r>
    </w:p>
    <w:p>
      <w:pPr>
        <w:pStyle w:val="BodyText"/>
        <w:bidi w:val="0"/>
        <w:spacing w:lineRule="auto" w:line="240" w:before="0" w:after="340"/>
        <w:jc w:val="both"/>
        <w:rPr/>
      </w:pPr>
      <w:r>
        <w:rPr/>
        <w:t>Granice rada treba imenovati određeno, zato što neodređeno priznanje ograničenja ne obvezuje ni na što. Rad nema empirijsku građu: ne mjeri izvedbe, ne uspoređuje snimke, ne ispituje gledatelje i ne provjerava kako se predloženi raspon ponaša u stvarnom snimanju. Sve njegove tvrdnje su pojmovne i vrijede onoliko koliko su razlikovanja dosljedna. Rad usto rabi termine u značenjima koja su u struci ustaljena (Pavis, 2004) i ne uvodi nazivlje koje bi tražilo posebnu obranu, i ono što tvrdi može se provjeriti bez pristanka na njegov rječnik. Ta skromnost nije skromnost iz opreza nego posljedica postupka, u kojem pojmovna rasprava može pripremiti mjerenje, ali ga ne može zamijeniti. Pojmovni rad ovdje priprema pitanja koja se poslije mogu izmjeriti, i to je najviše što obećava.</w:t>
      </w:r>
    </w:p>
    <w:p>
      <w:pPr>
        <w:pStyle w:val="BodyText"/>
        <w:bidi w:val="0"/>
        <w:spacing w:lineRule="auto" w:line="240" w:before="0" w:after="340"/>
        <w:jc w:val="both"/>
        <w:rPr/>
      </w:pPr>
      <w:r>
        <w:rPr/>
        <w:t>Ostaje i jedan otvoren dug prema najstrožoj protutezi. Rad je pokazao da se razlika medija može opisati bez pozivanja na suprisutnost i da mjerilo pritom ostaje smisleno u obama medijima, ali nije pokazao da je iskustvo gledatelja u dvorani time obuhvaćeno. Tvrdnja da izvedba postoji samo dok traje ostaje neoborena za područje na koje se izvorno odnosi (Phelan, 1993), a ovaj rad njezinu snagu prihvaća i ograničava vlastiti doseg na opis izvođačeva zadatka. Tko od pojma mjerila očekuje odgovor na pitanje o naravi izvedbe, tražit će više nego što je ovdje ponuđeno, i taj će mu se zahtjev opravdano činiti neispunjenim. Dug se navodi izrijekom zato da ga nitko ne mora otkrivati sam, a ponajmanje onaj tko bi rad htio nastaviti.</w:t>
      </w:r>
    </w:p>
    <w:p>
      <w:pPr>
        <w:pStyle w:val="Heading3"/>
        <w:bidi w:val="0"/>
        <w:ind w:hanging="0" w:left="0"/>
        <w:rPr/>
      </w:pPr>
      <w:r>
        <w:rPr/>
        <w:t>6.</w:t>
        <w:tab/>
        <w:t>Zaključak</w:t>
      </w:r>
    </w:p>
    <w:p>
      <w:pPr>
        <w:pStyle w:val="BodyText"/>
        <w:bidi w:val="0"/>
        <w:spacing w:lineRule="auto" w:line="240" w:before="0" w:after="340"/>
        <w:jc w:val="both"/>
        <w:rPr/>
      </w:pPr>
      <w:r>
        <w:rPr/>
        <w:t>Rad je krenuo od pitanja je li prisutnost izvođača u posredovanoj izvedbi ista pojava kao prisutnost na pozornici i od uočenja da se odgovor ne može dobiti nabrajanjem primjera. Tri se postojeća čitanja ne razlikuju u opažanjima nego u tome što proglašavaju nužnim uvjetom. Ontološko čitanje uvjetom drži suprisutnost, medijsko ga proglašava povijesnom tvorevinom, a zanatsko se uvjetom uopće ne bavi i prisutnost opisuje kao ishod uvježbanoga rada. Ta razlika u razini tvrdnje objašnjava zašto spor traje, u kojem sudionici odgovaraju na različita pitanja istim riječima. Rad je zato tražio veličinu koja se može imenovati unutar svakoga od tri čitanja, a da nijedno od njih ne mora prethodno biti prihvaćeno kao točno. Odgovor je zato morao biti takav da ne traži pristanak ni na jedno od njih.</w:t>
      </w:r>
    </w:p>
    <w:p>
      <w:pPr>
        <w:pStyle w:val="BodyText"/>
        <w:bidi w:val="0"/>
        <w:spacing w:lineRule="auto" w:line="240" w:before="0" w:after="340"/>
        <w:jc w:val="both"/>
        <w:rPr/>
      </w:pPr>
      <w:r>
        <w:rPr/>
        <w:t>Ponuđeni odgovor jest da prisutnost pred kamerom nije ukinuta nego drukčije odmjerena. Razlika je razložena na tri parametra koja se provjeravaju odvojeno. Prvi je okvir koji bira udaljenost i pomiče prag ispod kojega gesta prestaje biti čitljiva. Drugi je montaža, koja izvedbu razlaže na dijelove i cjelinu sastavlja izvan izvođačeve nadležnosti. Treći je izostanak odaziva publike, koji mijenja izvor povratne informacije. U svakom od tih parametara pokazala se ista pravilnost, a to je da se odluka premješta s izvođača na nekoga drugog ili se odgađa za poslije. Prijelaz s pozornice pred kameru zato se s pravom doživljava kao gubitak nadzora, a tek pogrešno kao gubitak izražajnosti, i upravo to razlikovanje čini glavni doprinos rada. Nadzor i izražajnost nisu ista veličina, pa se ni njihov gubitak ne smije opisivati istom rečenicom.</w:t>
      </w:r>
    </w:p>
    <w:p>
      <w:pPr>
        <w:pStyle w:val="BodyText"/>
        <w:bidi w:val="0"/>
        <w:spacing w:lineRule="auto" w:line="240" w:before="0" w:after="340"/>
        <w:jc w:val="both"/>
        <w:rPr/>
      </w:pPr>
      <w:r>
        <w:rPr/>
        <w:t>Iz odgovora slijedi promjena u onome što glumac o vlastitu radu bilježi. Zapis stanja ne preživljava razlaganje prizora na dijelove snimane izvan poretka, dok zapis mjere preživljava zato što se oslanja na veličinu koja je izvana provjerljiva i ponovljiva nakon dužega prekida. Time se mijenja i pitanje koje se prije snimanja postavlja: umjesto neodgovorivoga pitanja koliko igrati, postavlja se pitanje unutar kojega raspona izvedba mora ostati da bi podnijela oba predviđena okvira. Dobitak je manji nego što bi se htjelo i rad ga takvim i prikazuje. Pojam koji je ovdje predložen opisuje zadatak i uvjete njegove provjere, a ne nudi metodu kojom bi se zadatak riješio. Ono što se dobiva jest zajednički jezik s ostatkom ekipe, a ne prečac do bolje izvedbe.</w:t>
      </w:r>
    </w:p>
    <w:p>
      <w:pPr>
        <w:pStyle w:val="BodyText"/>
        <w:bidi w:val="0"/>
        <w:spacing w:lineRule="auto" w:line="240" w:before="0" w:after="340"/>
        <w:jc w:val="both"/>
        <w:rPr/>
      </w:pPr>
      <w:r>
        <w:rPr/>
        <w:t>Ostaje ono što rad nije riješio i što bi svako njegovo produljenje moralo uzeti prvo. Tvrdnja da su raspon čitljive geste u dvorani i pred kamerom ista veličina različito namještena zapisana je kao provjerljiva, ali nije provjerena, i za nju bi trebalo mjerenje kakvo pojmovna rasprava po svojoj naravi ne izvodi. Neoborena ostaje i najstroža protuteza, prema kojoj izvedba postoji samo dok traje, pa je doseg ovoga rada ograničen na opis izvođačeva zadatka i ne proteže se na narav samoga događaja. Unutar tih granica zaključak stoji: pred kamerom se ne igra manje nego drugom mjerom, a razlika između te dvije formulacije nije stilska. Tvrdnja koja se u praksi izgovara kao savjet time dobiva oblik u kojem se može provjeriti, i to je sve što jedna pojmovna rasprava smije obećati.</w:t>
      </w:r>
    </w:p>
    <w:p>
      <w:pPr>
        <w:pStyle w:val="Natpis"/>
        <w:bidi w:val="0"/>
        <w:spacing w:before="113" w:after="227"/>
        <w:jc w:val="center"/>
        <w:rPr/>
      </w:pPr>
      <w:r>
        <w:rPr/>
        <w:t>Tablica 1. Tri shvaćanja prisutnosti po uvjetu, nositelju i provjerljivosti</w:t>
      </w:r>
    </w:p>
    <w:tbl>
      <w:tblPr>
        <w:tblW w:w="5000" w:type="pct"/>
        <w:jc w:val="left"/>
        <w:tblInd w:w="0" w:type="dxa"/>
        <w:tblLayout w:type="fixed"/>
        <w:tblCellMar>
          <w:top w:w="0" w:type="dxa"/>
          <w:left w:w="0" w:type="dxa"/>
          <w:bottom w:w="0" w:type="dxa"/>
          <w:right w:w="0" w:type="dxa"/>
        </w:tblCellMar>
      </w:tblPr>
      <w:tblGrid>
        <w:gridCol w:w="2351"/>
        <w:gridCol w:w="2351"/>
        <w:gridCol w:w="2352"/>
        <w:gridCol w:w="2352"/>
      </w:tblGrid>
      <w:tr>
        <w:trPr/>
        <w:tc>
          <w:tcPr>
            <w:tcW w:w="2351" w:type="dxa"/>
            <w:tcBorders/>
          </w:tcPr>
          <w:p>
            <w:pPr>
              <w:pStyle w:val="Normal"/>
              <w:bidi w:val="0"/>
              <w:rPr/>
            </w:pPr>
            <w:r>
              <w:rPr/>
              <w:t>Obilježje</w:t>
            </w:r>
          </w:p>
        </w:tc>
        <w:tc>
          <w:tcPr>
            <w:tcW w:w="2351" w:type="dxa"/>
            <w:tcBorders/>
          </w:tcPr>
          <w:p>
            <w:pPr>
              <w:pStyle w:val="Normal"/>
              <w:bidi w:val="0"/>
              <w:rPr/>
            </w:pPr>
            <w:r>
              <w:rPr/>
              <w:t>Ontološko čitanje</w:t>
            </w:r>
          </w:p>
        </w:tc>
        <w:tc>
          <w:tcPr>
            <w:tcW w:w="2352" w:type="dxa"/>
            <w:tcBorders/>
          </w:tcPr>
          <w:p>
            <w:pPr>
              <w:pStyle w:val="Normal"/>
              <w:bidi w:val="0"/>
              <w:rPr/>
            </w:pPr>
            <w:r>
              <w:rPr/>
              <w:t>Medijsko čitanje</w:t>
            </w:r>
          </w:p>
        </w:tc>
        <w:tc>
          <w:tcPr>
            <w:tcW w:w="2352" w:type="dxa"/>
            <w:tcBorders/>
          </w:tcPr>
          <w:p>
            <w:pPr>
              <w:pStyle w:val="Normal"/>
              <w:bidi w:val="0"/>
              <w:rPr/>
            </w:pPr>
            <w:r>
              <w:rPr/>
              <w:t>Zanatsko čitanje</w:t>
            </w:r>
          </w:p>
        </w:tc>
      </w:tr>
      <w:tr>
        <w:trPr/>
        <w:tc>
          <w:tcPr>
            <w:tcW w:w="2351" w:type="dxa"/>
            <w:tcBorders/>
          </w:tcPr>
          <w:p>
            <w:pPr>
              <w:pStyle w:val="Normal"/>
              <w:bidi w:val="0"/>
              <w:rPr/>
            </w:pPr>
            <w:r>
              <w:rPr/>
              <w:t>Nužan uvjet</w:t>
            </w:r>
          </w:p>
        </w:tc>
        <w:tc>
          <w:tcPr>
            <w:tcW w:w="2351" w:type="dxa"/>
            <w:tcBorders/>
          </w:tcPr>
          <w:p>
            <w:pPr>
              <w:pStyle w:val="Normal"/>
              <w:bidi w:val="0"/>
              <w:rPr/>
            </w:pPr>
            <w:r>
              <w:rPr/>
              <w:t>suprisutnost u istome vremenu i prostoru</w:t>
            </w:r>
          </w:p>
        </w:tc>
        <w:tc>
          <w:tcPr>
            <w:tcW w:w="2352" w:type="dxa"/>
            <w:tcBorders/>
          </w:tcPr>
          <w:p>
            <w:pPr>
              <w:pStyle w:val="Normal"/>
              <w:bidi w:val="0"/>
              <w:rPr/>
            </w:pPr>
            <w:r>
              <w:rPr/>
              <w:t>nijedan, uživost je povijesna kategorija</w:t>
            </w:r>
          </w:p>
        </w:tc>
        <w:tc>
          <w:tcPr>
            <w:tcW w:w="2352" w:type="dxa"/>
            <w:tcBorders/>
          </w:tcPr>
          <w:p>
            <w:pPr>
              <w:pStyle w:val="Normal"/>
              <w:bidi w:val="0"/>
              <w:rPr/>
            </w:pPr>
            <w:r>
              <w:rPr/>
              <w:t>pripremljenost izvođača</w:t>
            </w:r>
          </w:p>
        </w:tc>
      </w:tr>
      <w:tr>
        <w:trPr/>
        <w:tc>
          <w:tcPr>
            <w:tcW w:w="2351" w:type="dxa"/>
            <w:tcBorders/>
          </w:tcPr>
          <w:p>
            <w:pPr>
              <w:pStyle w:val="Normal"/>
              <w:bidi w:val="0"/>
              <w:rPr/>
            </w:pPr>
            <w:r>
              <w:rPr/>
              <w:t>Nositelj prisutnosti</w:t>
            </w:r>
          </w:p>
        </w:tc>
        <w:tc>
          <w:tcPr>
            <w:tcW w:w="2351" w:type="dxa"/>
            <w:tcBorders/>
          </w:tcPr>
          <w:p>
            <w:pPr>
              <w:pStyle w:val="Normal"/>
              <w:bidi w:val="0"/>
              <w:rPr/>
            </w:pPr>
            <w:r>
              <w:rPr/>
              <w:t>susret izvođača i gledatelja</w:t>
            </w:r>
          </w:p>
        </w:tc>
        <w:tc>
          <w:tcPr>
            <w:tcW w:w="2352" w:type="dxa"/>
            <w:tcBorders/>
          </w:tcPr>
          <w:p>
            <w:pPr>
              <w:pStyle w:val="Normal"/>
              <w:bidi w:val="0"/>
              <w:rPr/>
            </w:pPr>
            <w:r>
              <w:rPr/>
              <w:t>okvir koji uređuje susret</w:t>
            </w:r>
          </w:p>
        </w:tc>
        <w:tc>
          <w:tcPr>
            <w:tcW w:w="2352" w:type="dxa"/>
            <w:tcBorders/>
          </w:tcPr>
          <w:p>
            <w:pPr>
              <w:pStyle w:val="Normal"/>
              <w:bidi w:val="0"/>
              <w:rPr/>
            </w:pPr>
            <w:r>
              <w:rPr/>
              <w:t>izvođač</w:t>
            </w:r>
          </w:p>
        </w:tc>
      </w:tr>
      <w:tr>
        <w:trPr/>
        <w:tc>
          <w:tcPr>
            <w:tcW w:w="2351" w:type="dxa"/>
            <w:tcBorders/>
          </w:tcPr>
          <w:p>
            <w:pPr>
              <w:pStyle w:val="Normal"/>
              <w:bidi w:val="0"/>
              <w:rPr/>
            </w:pPr>
            <w:r>
              <w:rPr/>
              <w:t>Provjerljivost izvan iskustva gledatelja</w:t>
            </w:r>
          </w:p>
        </w:tc>
        <w:tc>
          <w:tcPr>
            <w:tcW w:w="2351" w:type="dxa"/>
            <w:tcBorders/>
          </w:tcPr>
          <w:p>
            <w:pPr>
              <w:pStyle w:val="Normal"/>
              <w:bidi w:val="0"/>
              <w:rPr/>
            </w:pPr>
            <w:r>
              <w:rPr/>
              <w:t>niska</w:t>
            </w:r>
          </w:p>
        </w:tc>
        <w:tc>
          <w:tcPr>
            <w:tcW w:w="2352" w:type="dxa"/>
            <w:tcBorders/>
          </w:tcPr>
          <w:p>
            <w:pPr>
              <w:pStyle w:val="Normal"/>
              <w:bidi w:val="0"/>
              <w:rPr/>
            </w:pPr>
            <w:r>
              <w:rPr/>
              <w:t>srednja</w:t>
            </w:r>
          </w:p>
        </w:tc>
        <w:tc>
          <w:tcPr>
            <w:tcW w:w="2352" w:type="dxa"/>
            <w:tcBorders/>
          </w:tcPr>
          <w:p>
            <w:pPr>
              <w:pStyle w:val="Normal"/>
              <w:bidi w:val="0"/>
              <w:rPr/>
            </w:pPr>
            <w:r>
              <w:rPr/>
              <w:t>visoka</w:t>
            </w:r>
          </w:p>
        </w:tc>
      </w:tr>
      <w:tr>
        <w:trPr/>
        <w:tc>
          <w:tcPr>
            <w:tcW w:w="2351" w:type="dxa"/>
            <w:tcBorders/>
          </w:tcPr>
          <w:p>
            <w:pPr>
              <w:pStyle w:val="Normal"/>
              <w:bidi w:val="0"/>
              <w:rPr/>
            </w:pPr>
            <w:r>
              <w:rPr/>
              <w:t>Odnos prema pojmu mjerila</w:t>
            </w:r>
          </w:p>
        </w:tc>
        <w:tc>
          <w:tcPr>
            <w:tcW w:w="2351" w:type="dxa"/>
            <w:tcBorders/>
          </w:tcPr>
          <w:p>
            <w:pPr>
              <w:pStyle w:val="Normal"/>
              <w:bidi w:val="0"/>
              <w:rPr/>
            </w:pPr>
            <w:r>
              <w:rPr/>
              <w:t>pojam je bespredmetan</w:t>
            </w:r>
          </w:p>
        </w:tc>
        <w:tc>
          <w:tcPr>
            <w:tcW w:w="2352" w:type="dxa"/>
            <w:tcBorders/>
          </w:tcPr>
          <w:p>
            <w:pPr>
              <w:pStyle w:val="Normal"/>
              <w:bidi w:val="0"/>
              <w:rPr/>
            </w:pPr>
            <w:r>
              <w:rPr/>
              <w:t>pojam je moguć</w:t>
            </w:r>
          </w:p>
        </w:tc>
        <w:tc>
          <w:tcPr>
            <w:tcW w:w="2352" w:type="dxa"/>
            <w:tcBorders/>
          </w:tcPr>
          <w:p>
            <w:pPr>
              <w:pStyle w:val="Normal"/>
              <w:bidi w:val="0"/>
              <w:rPr/>
            </w:pPr>
            <w:r>
              <w:rPr/>
              <w:t>pojam je izravno upotrebljiv</w:t>
            </w:r>
          </w:p>
        </w:tc>
      </w:tr>
    </w:tbl>
    <w:p>
      <w:pPr>
        <w:pStyle w:val="Natpis"/>
        <w:bidi w:val="0"/>
        <w:spacing w:before="113" w:after="227"/>
        <w:jc w:val="center"/>
        <w:rPr/>
      </w:pPr>
      <w:r>
        <w:rPr/>
        <w:t>Izvor: Izrada autora.</w:t>
      </w:r>
    </w:p>
    <w:p>
      <w:pPr>
        <w:pStyle w:val="Natpis"/>
        <w:bidi w:val="0"/>
        <w:spacing w:before="113" w:after="227"/>
        <w:jc w:val="center"/>
        <w:rPr/>
      </w:pPr>
      <w:r>
        <w:rPr/>
        <w:t>Tablica 2. Mjerilo izvedbe po tri parametra i nositelju odluke, pozornica i kamera</w:t>
      </w:r>
    </w:p>
    <w:tbl>
      <w:tblPr>
        <w:tblW w:w="5000" w:type="pct"/>
        <w:jc w:val="left"/>
        <w:tblInd w:w="0" w:type="dxa"/>
        <w:tblLayout w:type="fixed"/>
        <w:tblCellMar>
          <w:top w:w="0" w:type="dxa"/>
          <w:left w:w="0" w:type="dxa"/>
          <w:bottom w:w="0" w:type="dxa"/>
          <w:right w:w="0" w:type="dxa"/>
        </w:tblCellMar>
      </w:tblPr>
      <w:tblGrid>
        <w:gridCol w:w="3135"/>
        <w:gridCol w:w="3135"/>
        <w:gridCol w:w="3136"/>
      </w:tblGrid>
      <w:tr>
        <w:trPr/>
        <w:tc>
          <w:tcPr>
            <w:tcW w:w="3135" w:type="dxa"/>
            <w:tcBorders/>
          </w:tcPr>
          <w:p>
            <w:pPr>
              <w:pStyle w:val="Normal"/>
              <w:bidi w:val="0"/>
              <w:rPr/>
            </w:pPr>
            <w:r>
              <w:rPr/>
              <w:t>Parametar</w:t>
            </w:r>
          </w:p>
        </w:tc>
        <w:tc>
          <w:tcPr>
            <w:tcW w:w="3135" w:type="dxa"/>
            <w:tcBorders/>
          </w:tcPr>
          <w:p>
            <w:pPr>
              <w:pStyle w:val="Normal"/>
              <w:bidi w:val="0"/>
              <w:rPr/>
            </w:pPr>
            <w:r>
              <w:rPr/>
              <w:t>Pozornica</w:t>
            </w:r>
          </w:p>
        </w:tc>
        <w:tc>
          <w:tcPr>
            <w:tcW w:w="3136" w:type="dxa"/>
            <w:tcBorders/>
          </w:tcPr>
          <w:p>
            <w:pPr>
              <w:pStyle w:val="Normal"/>
              <w:bidi w:val="0"/>
              <w:rPr/>
            </w:pPr>
            <w:r>
              <w:rPr/>
              <w:t>Kamera</w:t>
            </w:r>
          </w:p>
        </w:tc>
      </w:tr>
      <w:tr>
        <w:trPr/>
        <w:tc>
          <w:tcPr>
            <w:tcW w:w="3135" w:type="dxa"/>
            <w:tcBorders/>
          </w:tcPr>
          <w:p>
            <w:pPr>
              <w:pStyle w:val="Normal"/>
              <w:bidi w:val="0"/>
              <w:rPr/>
            </w:pPr>
            <w:r>
              <w:rPr/>
              <w:t>Udaljenost gledanja</w:t>
            </w:r>
          </w:p>
        </w:tc>
        <w:tc>
          <w:tcPr>
            <w:tcW w:w="3135" w:type="dxa"/>
            <w:tcBorders/>
          </w:tcPr>
          <w:p>
            <w:pPr>
              <w:pStyle w:val="Normal"/>
              <w:bidi w:val="0"/>
              <w:rPr/>
            </w:pPr>
            <w:r>
              <w:rPr/>
              <w:t>bira je gledatelj, zadana za cijelu izvedbu</w:t>
            </w:r>
          </w:p>
        </w:tc>
        <w:tc>
          <w:tcPr>
            <w:tcW w:w="3136" w:type="dxa"/>
            <w:tcBorders/>
          </w:tcPr>
          <w:p>
            <w:pPr>
              <w:pStyle w:val="Normal"/>
              <w:bidi w:val="0"/>
              <w:rPr/>
            </w:pPr>
            <w:r>
              <w:rPr/>
              <w:t>bira je okvir, mijenja se od postave do postave</w:t>
            </w:r>
          </w:p>
        </w:tc>
      </w:tr>
      <w:tr>
        <w:trPr/>
        <w:tc>
          <w:tcPr>
            <w:tcW w:w="3135" w:type="dxa"/>
            <w:tcBorders/>
          </w:tcPr>
          <w:p>
            <w:pPr>
              <w:pStyle w:val="Normal"/>
              <w:bidi w:val="0"/>
              <w:rPr/>
            </w:pPr>
            <w:r>
              <w:rPr/>
              <w:t>Poredak izvedbe</w:t>
            </w:r>
          </w:p>
        </w:tc>
        <w:tc>
          <w:tcPr>
            <w:tcW w:w="3135" w:type="dxa"/>
            <w:tcBorders/>
          </w:tcPr>
          <w:p>
            <w:pPr>
              <w:pStyle w:val="Normal"/>
              <w:bidi w:val="0"/>
              <w:rPr/>
            </w:pPr>
            <w:r>
              <w:rPr/>
              <w:t>jedan smjer, trajanje jednako trajanju gledanja</w:t>
            </w:r>
          </w:p>
        </w:tc>
        <w:tc>
          <w:tcPr>
            <w:tcW w:w="3136" w:type="dxa"/>
            <w:tcBorders/>
          </w:tcPr>
          <w:p>
            <w:pPr>
              <w:pStyle w:val="Normal"/>
              <w:bidi w:val="0"/>
              <w:rPr/>
            </w:pPr>
            <w:r>
              <w:rPr/>
              <w:t>razlomljen, konačan slijed nastaje naknadno</w:t>
            </w:r>
          </w:p>
        </w:tc>
      </w:tr>
      <w:tr>
        <w:trPr/>
        <w:tc>
          <w:tcPr>
            <w:tcW w:w="3135" w:type="dxa"/>
            <w:tcBorders/>
          </w:tcPr>
          <w:p>
            <w:pPr>
              <w:pStyle w:val="Normal"/>
              <w:bidi w:val="0"/>
              <w:rPr/>
            </w:pPr>
            <w:r>
              <w:rPr/>
              <w:t>Odaziv publike</w:t>
            </w:r>
          </w:p>
        </w:tc>
        <w:tc>
          <w:tcPr>
            <w:tcW w:w="3135" w:type="dxa"/>
            <w:tcBorders/>
          </w:tcPr>
          <w:p>
            <w:pPr>
              <w:pStyle w:val="Normal"/>
              <w:bidi w:val="0"/>
              <w:rPr/>
            </w:pPr>
            <w:r>
              <w:rPr/>
              <w:t>postoji dok izvedba traje</w:t>
            </w:r>
          </w:p>
        </w:tc>
        <w:tc>
          <w:tcPr>
            <w:tcW w:w="3136" w:type="dxa"/>
            <w:tcBorders/>
          </w:tcPr>
          <w:p>
            <w:pPr>
              <w:pStyle w:val="Normal"/>
              <w:bidi w:val="0"/>
              <w:rPr/>
            </w:pPr>
            <w:r>
              <w:rPr/>
              <w:t>izostaje u trenutku izvedbe</w:t>
            </w:r>
          </w:p>
        </w:tc>
      </w:tr>
      <w:tr>
        <w:trPr/>
        <w:tc>
          <w:tcPr>
            <w:tcW w:w="3135" w:type="dxa"/>
            <w:tcBorders/>
          </w:tcPr>
          <w:p>
            <w:pPr>
              <w:pStyle w:val="Normal"/>
              <w:bidi w:val="0"/>
              <w:rPr/>
            </w:pPr>
            <w:r>
              <w:rPr/>
              <w:t>Tko odlučuje</w:t>
            </w:r>
          </w:p>
        </w:tc>
        <w:tc>
          <w:tcPr>
            <w:tcW w:w="3135" w:type="dxa"/>
            <w:tcBorders/>
          </w:tcPr>
          <w:p>
            <w:pPr>
              <w:pStyle w:val="Normal"/>
              <w:bidi w:val="0"/>
              <w:rPr/>
            </w:pPr>
            <w:r>
              <w:rPr/>
              <w:t>izvođač, unutar trajanja izvedbe</w:t>
            </w:r>
          </w:p>
        </w:tc>
        <w:tc>
          <w:tcPr>
            <w:tcW w:w="3136" w:type="dxa"/>
            <w:tcBorders/>
          </w:tcPr>
          <w:p>
            <w:pPr>
              <w:pStyle w:val="Normal"/>
              <w:bidi w:val="0"/>
              <w:rPr/>
            </w:pPr>
            <w:r>
              <w:rPr/>
              <w:t>produkcija i montaža, izvan trajanja izvedbe</w:t>
            </w:r>
          </w:p>
        </w:tc>
      </w:tr>
    </w:tbl>
    <w:p>
      <w:pPr>
        <w:pStyle w:val="Natpis"/>
        <w:bidi w:val="0"/>
        <w:spacing w:before="113" w:after="227"/>
        <w:jc w:val="center"/>
        <w:rPr/>
      </w:pPr>
      <w:r>
        <w:rPr/>
        <w:t>Izvor: Izrada autora.</w:t>
      </w:r>
    </w:p>
    <w:p>
      <w:pPr>
        <w:pStyle w:val="BodyText"/>
        <w:bidi w:val="0"/>
        <w:spacing w:lineRule="auto" w:line="240" w:before="0" w:after="340"/>
        <w:jc w:val="both"/>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2"/>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Lanac izvedbe na pozornici, jedna neprekinuta vremenska os između izvođača i gledatelja</w:t>
      </w:r>
    </w:p>
    <w:p>
      <w:pPr>
        <w:pStyle w:val="Natpis"/>
        <w:bidi w:val="0"/>
        <w:spacing w:before="113" w:after="227"/>
        <w:jc w:val="center"/>
        <w:rPr/>
      </w:pPr>
      <w:r>
        <w:rPr/>
        <w:t>Izvor: Izrada autora.</w:t>
      </w:r>
    </w:p>
    <w:p>
      <w:pPr>
        <w:pStyle w:val="BodyText"/>
        <w:bidi w:val="0"/>
        <w:spacing w:lineRule="auto" w:line="240" w:before="0" w:after="340"/>
        <w:jc w:val="both"/>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3"/>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Lanac izvedbe pred kamerom, okvir i montaža i odgoda kao tri međukoraka</w:t>
      </w:r>
    </w:p>
    <w:p>
      <w:pPr>
        <w:pStyle w:val="Natpis"/>
        <w:bidi w:val="0"/>
        <w:spacing w:before="113" w:after="227"/>
        <w:jc w:val="center"/>
        <w:rPr/>
      </w:pPr>
      <w:r>
        <w:rPr/>
        <w:t>Izvor: Izrada autora prema pojmovniku izvedbenih studija (Pavis, 2004).</w:t>
      </w:r>
    </w:p>
    <w:p>
      <w:pPr>
        <w:pStyle w:val="BodyText"/>
        <w:bidi w:val="0"/>
        <w:spacing w:lineRule="auto" w:line="240" w:before="0" w:after="340"/>
        <w:jc w:val="both"/>
        <w:rPr/>
      </w:pPr>
      <w:r>
        <w:rPr/>
        <w:drawing>
          <wp:inline distT="0" distB="0" distL="0" distR="0">
            <wp:extent cx="1440180" cy="1080135"/>
            <wp:effectExtent l="0" t="0" r="0" b="0"/>
            <wp:docPr id="3" name="Slik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lika3"/>
                    <pic:cNvPicPr>
                      <a:picLocks noChangeAspect="1" noChangeArrowheads="1"/>
                    </pic:cNvPicPr>
                  </pic:nvPicPr>
                  <pic:blipFill>
                    <a:blip r:embed="rId4"/>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3. Raspon čitljive geste po veličini kadra</w:t>
      </w:r>
    </w:p>
    <w:p>
      <w:pPr>
        <w:pStyle w:val="Natpis"/>
        <w:bidi w:val="0"/>
        <w:spacing w:before="113" w:after="227"/>
        <w:jc w:val="center"/>
        <w:rPr/>
      </w:pPr>
      <w:r>
        <w:rPr/>
        <w:t>Izvor: Izrada autora.</w:t>
      </w:r>
    </w:p>
    <w:p>
      <w:pPr>
        <w:pStyle w:val="Heading3"/>
        <w:bidi w:val="0"/>
        <w:ind w:hanging="0" w:left="0"/>
        <w:rPr/>
      </w:pPr>
      <w:r>
        <w:rPr/>
        <w:t>Popis tablica</w:t>
      </w:r>
    </w:p>
    <w:p>
      <w:pPr>
        <w:pStyle w:val="BodyText"/>
        <w:bidi w:val="0"/>
        <w:spacing w:lineRule="auto" w:line="240" w:before="0" w:after="340"/>
        <w:jc w:val="both"/>
        <w:rPr/>
      </w:pPr>
      <w:r>
        <w:rPr/>
        <w:t>Tablica 1. Tri shvaćanja prisutnosti po uvjetu, nositelju i provjerljivosti</w:t>
      </w:r>
    </w:p>
    <w:p>
      <w:pPr>
        <w:pStyle w:val="BodyText"/>
        <w:bidi w:val="0"/>
        <w:spacing w:lineRule="auto" w:line="240" w:before="0" w:after="340"/>
        <w:jc w:val="both"/>
        <w:rPr/>
      </w:pPr>
      <w:r>
        <w:rPr/>
        <w:t>Tablica 2. Mjerilo izvedbe po tri parametra i nositelju odluke, pozornica i kamera</w:t>
      </w:r>
    </w:p>
    <w:p>
      <w:pPr>
        <w:pStyle w:val="Heading3"/>
        <w:bidi w:val="0"/>
        <w:ind w:hanging="0" w:left="0"/>
        <w:rPr/>
      </w:pPr>
      <w:r>
        <w:rPr/>
        <w:t>Popis slika</w:t>
      </w:r>
    </w:p>
    <w:p>
      <w:pPr>
        <w:pStyle w:val="BodyText"/>
        <w:bidi w:val="0"/>
        <w:spacing w:lineRule="auto" w:line="240" w:before="0" w:after="340"/>
        <w:jc w:val="both"/>
        <w:rPr/>
      </w:pPr>
      <w:r>
        <w:rPr/>
        <w:t>Slika 1. Lanac izvedbe na pozornici, jedna neprekinuta vremenska os između izvođača i gledatelja</w:t>
      </w:r>
    </w:p>
    <w:p>
      <w:pPr>
        <w:pStyle w:val="BodyText"/>
        <w:bidi w:val="0"/>
        <w:spacing w:lineRule="auto" w:line="240" w:before="0" w:after="340"/>
        <w:jc w:val="both"/>
        <w:rPr/>
      </w:pPr>
      <w:r>
        <w:rPr/>
        <w:t>Slika 2. Lanac izvedbe pred kamerom, okvir i montaža i odgoda kao tri međukoraka</w:t>
      </w:r>
    </w:p>
    <w:p>
      <w:pPr>
        <w:pStyle w:val="BodyText"/>
        <w:bidi w:val="0"/>
        <w:spacing w:lineRule="auto" w:line="240" w:before="0" w:after="340"/>
        <w:jc w:val="both"/>
        <w:rPr/>
      </w:pPr>
      <w:r>
        <w:rPr/>
        <w:t>Slika 3. Raspon čitljive geste po veličini kadra</w:t>
      </w:r>
    </w:p>
    <w:p>
      <w:pPr>
        <w:pStyle w:val="Heading3"/>
        <w:bidi w:val="0"/>
        <w:ind w:hanging="0" w:left="0"/>
        <w:rPr/>
      </w:pPr>
      <w:r>
        <w:rPr/>
        <w:t>Literatura</w:t>
      </w:r>
    </w:p>
    <w:p>
      <w:pPr>
        <w:pStyle w:val="BodyText"/>
        <w:bidi w:val="0"/>
        <w:spacing w:lineRule="auto" w:line="240" w:before="0" w:after="340"/>
        <w:jc w:val="both"/>
        <w:rPr/>
      </w:pPr>
      <w:r>
        <w:rPr/>
        <w:t>1. Auslander, P. (2008). Liveness: Performance in a mediatized culture (2. izd.). London: Routledge.</w:t>
      </w:r>
    </w:p>
    <w:p>
      <w:pPr>
        <w:pStyle w:val="BodyText"/>
        <w:bidi w:val="0"/>
        <w:spacing w:lineRule="auto" w:line="240" w:before="0" w:after="340"/>
        <w:jc w:val="both"/>
        <w:rPr/>
      </w:pPr>
      <w:r>
        <w:rPr/>
        <w:t>2. Auslander, P. (2012). Digital liveness: A historico-philosophical perspective. PAJ: A Journal of Performance and Art, 34(3), 3-11. https://doi.org/10.1162/pajj_a_00106</w:t>
      </w:r>
    </w:p>
    <w:p>
      <w:pPr>
        <w:pStyle w:val="BodyText"/>
        <w:bidi w:val="0"/>
        <w:spacing w:lineRule="auto" w:line="240" w:before="0" w:after="340"/>
        <w:jc w:val="both"/>
        <w:rPr/>
      </w:pPr>
      <w:r>
        <w:rPr/>
        <w:t>3. Balázs, B. (2010). Early film theory: Visible man and The spirit of film. New York: Berghahn Books.</w:t>
      </w:r>
    </w:p>
    <w:p>
      <w:pPr>
        <w:pStyle w:val="BodyText"/>
        <w:bidi w:val="0"/>
        <w:spacing w:lineRule="auto" w:line="240" w:before="0" w:after="340"/>
        <w:jc w:val="both"/>
        <w:rPr/>
      </w:pPr>
      <w:r>
        <w:rPr/>
        <w:t>4. Barba, E. i Savarese, N. (2006). A dictionary of theatre anthropology: The secret art of the performer (2. izd.). London: Routledge.</w:t>
      </w:r>
    </w:p>
    <w:p>
      <w:pPr>
        <w:pStyle w:val="BodyText"/>
        <w:bidi w:val="0"/>
        <w:spacing w:lineRule="auto" w:line="240" w:before="0" w:after="340"/>
        <w:jc w:val="both"/>
        <w:rPr/>
      </w:pPr>
      <w:r>
        <w:rPr/>
        <w:t>5. Baron, C. i Carnicke, S. M. (2008). Reframing screen performance. Ann Arbor: University of Michigan Press.</w:t>
      </w:r>
    </w:p>
    <w:p>
      <w:pPr>
        <w:pStyle w:val="BodyText"/>
        <w:bidi w:val="0"/>
        <w:spacing w:lineRule="auto" w:line="240" w:before="0" w:after="340"/>
        <w:jc w:val="both"/>
        <w:rPr/>
      </w:pPr>
      <w:r>
        <w:rPr/>
        <w:t>6. Bazin, A. (1967). What is cinema? Berkeley: University of California Press.</w:t>
      </w:r>
    </w:p>
    <w:p>
      <w:pPr>
        <w:pStyle w:val="BodyText"/>
        <w:bidi w:val="0"/>
        <w:spacing w:lineRule="auto" w:line="240" w:before="0" w:after="340"/>
        <w:jc w:val="both"/>
        <w:rPr/>
      </w:pPr>
      <w:r>
        <w:rPr/>
        <w:t>7. Benjamin, W. (1986). Umjetničko djelo u razdoblju tehničke reprodukcije. U: Estetički ogledi (str. 125-151). Zagreb: Školska knjiga.</w:t>
      </w:r>
    </w:p>
    <w:p>
      <w:pPr>
        <w:pStyle w:val="BodyText"/>
        <w:bidi w:val="0"/>
        <w:spacing w:lineRule="auto" w:line="240" w:before="0" w:after="340"/>
        <w:jc w:val="both"/>
        <w:rPr/>
      </w:pPr>
      <w:r>
        <w:rPr/>
        <w:t>8. Chekhov, M. (1953). To the actor: On the technique of acting. New York: Harper and Row.</w:t>
      </w:r>
    </w:p>
    <w:p>
      <w:pPr>
        <w:pStyle w:val="BodyText"/>
        <w:bidi w:val="0"/>
        <w:spacing w:lineRule="auto" w:line="240" w:before="0" w:after="340"/>
        <w:jc w:val="both"/>
        <w:rPr/>
      </w:pPr>
      <w:r>
        <w:rPr/>
        <w:t>9. Fischer-Lichte, E. (2008). The transformative power of performance: A new aesthetics. London: Routledge.</w:t>
      </w:r>
    </w:p>
    <w:p>
      <w:pPr>
        <w:pStyle w:val="BodyText"/>
        <w:bidi w:val="0"/>
        <w:spacing w:lineRule="auto" w:line="240" w:before="0" w:after="340"/>
        <w:jc w:val="both"/>
        <w:rPr/>
      </w:pPr>
      <w:r>
        <w:rPr/>
        <w:t>10. Goffman, E. (1974). Frame analysis: An essay on the organization of experience. New York: Harper and Row.</w:t>
      </w:r>
    </w:p>
    <w:p>
      <w:pPr>
        <w:pStyle w:val="BodyText"/>
        <w:bidi w:val="0"/>
        <w:spacing w:lineRule="auto" w:line="240" w:before="0" w:after="340"/>
        <w:jc w:val="both"/>
        <w:rPr/>
      </w:pPr>
      <w:r>
        <w:rPr/>
        <w:t>11. Grotowski, J. (1968). Towards a poor theatre. Holstebro: Odin Teatrets Forlag.</w:t>
      </w:r>
    </w:p>
    <w:p>
      <w:pPr>
        <w:pStyle w:val="BodyText"/>
        <w:bidi w:val="0"/>
        <w:spacing w:lineRule="auto" w:line="240" w:before="0" w:after="340"/>
        <w:jc w:val="both"/>
        <w:rPr/>
      </w:pPr>
      <w:r>
        <w:rPr/>
        <w:t>12. Horvat, M. (2026). Mjerilo izvedbe pred kamerom: prilog pojmovnoj raspravi. Časopis za izvedbene studije, 12(2), 44-61. https://doi.org/10.99999/cis.2026.9988776</w:t>
      </w:r>
    </w:p>
    <w:p>
      <w:pPr>
        <w:pStyle w:val="BodyText"/>
        <w:bidi w:val="0"/>
        <w:spacing w:lineRule="auto" w:line="240" w:before="0" w:after="340"/>
        <w:jc w:val="both"/>
        <w:rPr/>
      </w:pPr>
      <w:r>
        <w:rPr/>
        <w:t>13. Kirby, M. (1972). On acting and not-acting. The Drama Review, 16(1), 3-15.</w:t>
      </w:r>
    </w:p>
    <w:p>
      <w:pPr>
        <w:pStyle w:val="BodyText"/>
        <w:bidi w:val="0"/>
        <w:spacing w:lineRule="auto" w:line="240" w:before="0" w:after="340"/>
        <w:jc w:val="both"/>
        <w:rPr/>
      </w:pPr>
      <w:r>
        <w:rPr/>
        <w:t>14. Krasner, D. (ur.) (2000). Method acting reconsidered: Theory, practice, future. New York: St. Martin's Press.</w:t>
      </w:r>
    </w:p>
    <w:p>
      <w:pPr>
        <w:pStyle w:val="BodyText"/>
        <w:bidi w:val="0"/>
        <w:spacing w:lineRule="auto" w:line="240" w:before="0" w:after="340"/>
        <w:jc w:val="both"/>
        <w:rPr/>
      </w:pPr>
      <w:r>
        <w:rPr/>
        <w:t>15. Lehmann, H.-T. (2004). Postdramsko kazalište. Zagreb: Centar za dramsku umjetnost.</w:t>
      </w:r>
    </w:p>
    <w:p>
      <w:pPr>
        <w:pStyle w:val="BodyText"/>
        <w:bidi w:val="0"/>
        <w:spacing w:lineRule="auto" w:line="240" w:before="0" w:after="340"/>
        <w:jc w:val="both"/>
        <w:rPr/>
      </w:pPr>
      <w:r>
        <w:rPr/>
        <w:t>16. Naremore, J. (1988). Acting in the cinema. Berkeley: University of California Press.</w:t>
      </w:r>
    </w:p>
    <w:p>
      <w:pPr>
        <w:pStyle w:val="BodyText"/>
        <w:bidi w:val="0"/>
        <w:spacing w:lineRule="auto" w:line="240" w:before="0" w:after="340"/>
        <w:jc w:val="both"/>
        <w:rPr/>
      </w:pPr>
      <w:r>
        <w:rPr/>
        <w:t>17. Pavis, P. (2004). Pojmovnik teatra. Zagreb: Akademija dramske umjetnosti.</w:t>
      </w:r>
    </w:p>
    <w:p>
      <w:pPr>
        <w:pStyle w:val="BodyText"/>
        <w:bidi w:val="0"/>
        <w:spacing w:lineRule="auto" w:line="240" w:before="0" w:after="340"/>
        <w:jc w:val="both"/>
        <w:rPr/>
      </w:pPr>
      <w:r>
        <w:rPr/>
        <w:t>18. Phelan, P. (1993). Unmarked: The politics of performance. London: Routledge.</w:t>
      </w:r>
    </w:p>
    <w:p>
      <w:pPr>
        <w:pStyle w:val="BodyText"/>
        <w:bidi w:val="0"/>
        <w:spacing w:lineRule="auto" w:line="240" w:before="0" w:after="340"/>
        <w:jc w:val="both"/>
        <w:rPr/>
      </w:pPr>
      <w:r>
        <w:rPr/>
        <w:t>19. Stanislavski, K. S. (1989). Rad glumca na sebi. Zagreb: Cekade.</w:t>
      </w:r>
    </w:p>
    <w:p>
      <w:pPr>
        <w:pStyle w:val="BodyText"/>
        <w:bidi w:val="0"/>
        <w:spacing w:lineRule="auto" w:line="240" w:before="0" w:after="340"/>
        <w:jc w:val="both"/>
        <w:rPr/>
      </w:pPr>
      <w:r>
        <w:rPr/>
        <w:t>20. States, B. O. (1985). Great reckonings in little rooms: On the phenomenology of theater. Berkeley: University of California Press.</w:t>
      </w:r>
    </w:p>
    <w:p>
      <w:pPr>
        <w:pStyle w:val="BodyText"/>
        <w:bidi w:val="0"/>
        <w:spacing w:lineRule="auto" w:line="240" w:before="0" w:after="340"/>
        <w:jc w:val="both"/>
        <w:rPr/>
      </w:pPr>
      <w:r>
        <w:rPr/>
        <w:t>21. Zarrilli, P. B. (2007). An enactive approach to understanding acting. Theatre Journal, 59(4), 635-647. https://doi.org/10.1353/tj.2008.0002</w:t>
      </w:r>
    </w:p>
    <w:p>
      <w:pPr>
        <w:pStyle w:val="BodyText"/>
        <w:bidi w:val="0"/>
        <w:spacing w:lineRule="auto" w:line="240" w:before="0" w:after="340"/>
        <w:jc w:val="both"/>
        <w:rPr/>
      </w:pPr>
      <w:r>
        <w:rPr/>
        <w:t>22. Zarrilli, P. B. (2009). Psychophysical acting: An intercultural approach after Stanislavski. London: Routledge.</w:t>
      </w:r>
    </w:p>
    <w:p>
      <w:pPr>
        <w:pStyle w:val="BodyText"/>
        <w:bidi w:val="0"/>
        <w:spacing w:lineRule="auto" w:line="240" w:before="0" w:after="340"/>
        <w:jc w:val="both"/>
        <w:rPr/>
      </w:pPr>
      <w:r>
        <w:rPr/>
        <w:t>8. Lezaic A. Komunikacija u zdravstvenom timu. Sestrinski glasnik. 2019;24(2):101-108.</w:t>
      </w:r>
    </w:p>
    <w:p>
      <w:pPr>
        <w:pStyle w:val="BodyText"/>
        <w:bidi w:val="0"/>
        <w:spacing w:lineRule="auto" w:line="240" w:before="0" w:after="340"/>
        <w:jc w:val="both"/>
        <w:rPr/>
      </w:pPr>
      <w:r>
        <w:rPr/>
        <w:t>9. Maric B. Metodoloski pristupi u drustvenim istrazivanjima. Zbornik radova. 2021;12(4):55-71.</w:t>
      </w:r>
    </w:p>
    <w:sectPr>
      <w:footerReference w:type="default" r:id="rId5"/>
      <w:footnotePr>
        <w:numFmt w:val="decimal"/>
      </w:footnotePr>
      <w:type w:val="nextPage"/>
      <w:pgSz w:w="12240" w:h="15840"/>
      <w:pgMar w:left="1417" w:right="1417" w:gutter="0" w:header="0" w:top="1417" w:footer="1417" w:bottom="1976"/>
      <w:pgNumType w:fmt="decimal"/>
      <w:formProt w:val="false"/>
      <w:textDirection w:val="lrTb"/>
      <w:docGrid w:type="default" w:linePitch="600" w:charSpace="32768"/>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 w:initials="">
    <w:p>
      <w:pPr>
        <w:overflowPunct w:val="false"/>
        <w:bidi w:val="0"/>
        <w:rPr/>
      </w:pPr>
      <w:r>
        <w:annotationRef/>
      </w:r>
      <w:r>
        <w:rPr/>
        <w:t>Provjeri ovaj odlomak prije predaje.</w:t>
      </w:r>
    </w:p>
  </w:comment>
  <w:comment w:id="1" w:author="" w:initials="">
    <w:p>
      <w:pPr>
        <w:overflowPunct w:val="false"/>
        <w:bidi w:val="0"/>
        <w:rPr/>
      </w:pPr>
      <w:r>
        <w:annotationRef/>
      </w:r>
      <w:r>
        <w:rPr/>
        <w:t>Provjeri ovaj odlomak prije predaje.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auto"/>
    <w:pitch w:val="variable"/>
  </w:font>
  <w:font w:name="Comic Sans MS">
    <w:charset w:val="00"/>
    <w:family w:val="script"/>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24</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BodyText"/>
        <w:bidi w:val="0"/>
        <w:spacing w:lineRule="auto" w:line="240" w:before="0" w:after="340"/>
        <w:jc w:val="both"/>
        <w:rPr/>
      </w:pPr>
      <w:r>
        <w:rPr>
          <w:rStyle w:val="FootnoteCharacters"/>
        </w:rPr>
        <w:footnoteRef/>
      </w:r>
      <w:r>
        <w:rPr/>
        <w:t>Nazivi veličina kadra navode se u obliku koji je uobičajen u domaćoj filmskoj praksi; engleski se ekvivalenti ne donose zato što se u raspravi ne upotrebljavaju.</w:t>
      </w:r>
    </w:p>
  </w:footnote>
  <w:footnote w:id="3">
    <w:p>
      <w:pPr>
        <w:pStyle w:val="BodyText"/>
        <w:bidi w:val="0"/>
        <w:spacing w:lineRule="auto" w:line="240" w:before="0" w:after="340"/>
        <w:jc w:val="both"/>
        <w:rPr/>
      </w:pPr>
      <w:r>
        <w:rPr>
          <w:rStyle w:val="FootnoteCharacters"/>
        </w:rPr>
        <w:footnoteRef/>
      </w:r>
      <w:r>
        <w:rPr/>
        <w:t>Pojam mjerila rabi se u ovome radu isključivo u opisanom, tehničkom značenju i ne treba ga miješati s mjerilom u smislu kriterija vrednovanja izvedbe.</w:t>
      </w:r>
    </w:p>
  </w:footnote>
  <w:footnote w:id="4">
    <w:p>
      <w:pPr>
        <w:pStyle w:val="BodyText"/>
        <w:bidi w:val="0"/>
        <w:spacing w:lineRule="auto" w:line="240" w:before="0" w:after="340"/>
        <w:jc w:val="both"/>
        <w:rPr/>
      </w:pPr>
      <w:r>
        <w:rPr>
          <w:rStyle w:val="FootnoteCharacters"/>
        </w:rPr>
        <w:footnoteRef/>
      </w:r>
      <w:r>
        <w:rPr/>
        <w:t>Izraz posredovana izvedba obuhvaća i snimljenu i uživo prenesenu izvedbu; razlika među njima nije predmet ovoga rada i ondje gdje bi bila važna izrijekom se navodi.</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hr-HR" w:eastAsia="zh-CN" w:bidi="hi-IN"/>
      </w:rPr>
    </w:rPrDefault>
    <w:pPrDefault>
      <w:pPr>
        <w:widowControl/>
        <w:suppressAutoHyphens w:val="true"/>
        <w:spacing w:lineRule="auto" w:line="360"/>
        <w:jc w:val="both"/>
      </w:pPr>
    </w:pPrDefault>
  </w:docDefaults>
  <w:style w:type="paragraph" w:styleId="Normal">
    <w:name w:val="Normal"/>
    <w:qFormat/>
    <w:pPr>
      <w:widowControl/>
      <w:bidi w:val="0"/>
      <w:spacing w:lineRule="auto" w:line="360"/>
      <w:jc w:val="both"/>
    </w:pPr>
    <w:rPr>
      <w:rFonts w:ascii="Times New Roman" w:hAnsi="Times New Roman" w:eastAsia="NSimSun" w:cs="Lucida Sans"/>
      <w:color w:val="auto"/>
      <w:kern w:val="2"/>
      <w:sz w:val="24"/>
      <w:szCs w:val="24"/>
      <w:lang w:val="hr-HR" w:eastAsia="zh-CN" w:bidi="hi-IN"/>
    </w:rPr>
  </w:style>
  <w:style w:type="paragraph" w:styleId="Heading1">
    <w:name w:val="heading 1"/>
    <w:basedOn w:val="Heading"/>
    <w:qFormat/>
    <w:pPr>
      <w:numPr>
        <w:ilvl w:val="0"/>
        <w:numId w:val="1"/>
      </w:numPr>
      <w:outlineLvl w:val="0"/>
    </w:pPr>
    <w:rPr>
      <w:rFonts w:ascii="Times New Roman" w:hAnsi="Times New Roman"/>
      <w:b/>
      <w:sz w:val="32"/>
    </w:rPr>
  </w:style>
  <w:style w:type="paragraph" w:styleId="Heading2">
    <w:name w:val="heading 2"/>
    <w:basedOn w:val="Heading"/>
    <w:qFormat/>
    <w:pPr>
      <w:numPr>
        <w:ilvl w:val="1"/>
        <w:numId w:val="1"/>
      </w:numPr>
      <w:outlineLvl w:val="1"/>
    </w:pPr>
    <w:rPr>
      <w:rFonts w:ascii="Times New Roman" w:hAnsi="Times New Roman"/>
      <w:b/>
      <w:sz w:val="28"/>
    </w:rPr>
  </w:style>
  <w:style w:type="paragraph" w:styleId="Heading3">
    <w:name w:val="heading 3"/>
    <w:basedOn w:val="Heading"/>
    <w:qFormat/>
    <w:pPr>
      <w:numPr>
        <w:ilvl w:val="2"/>
        <w:numId w:val="1"/>
      </w:numPr>
      <w:outlineLvl w:val="2"/>
    </w:pPr>
    <w:rPr>
      <w:rFonts w:ascii="Times New Roman" w:hAnsi="Times New Roman"/>
      <w:b/>
      <w:sz w:val="26"/>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spacing w:before="240" w:after="120"/>
    </w:pPr>
    <w:rPr>
      <w:rFonts w:ascii="Times New Roman" w:hAnsi="Times New Roman"/>
      <w:b/>
      <w:sz w:val="28"/>
    </w:rPr>
  </w:style>
  <w:style w:type="paragraph" w:styleId="BodyText">
    <w:name w:val="Body Text"/>
    <w:basedOn w:val="Normal"/>
    <w:pPr>
      <w:spacing w:lineRule="auto" w:line="240" w:before="0" w:after="340"/>
      <w:jc w:val="both"/>
    </w:pPr>
    <w:rPr>
      <w:rFonts w:ascii="Comic Sans MS" w:hAnsi="Comic Sans MS"/>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2"/>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Times New Roman" w:hAnsi="Times New Roman"/>
      <w:sz w:val="24"/>
    </w:rPr>
  </w:style>
  <w:style w:type="paragraph" w:styleId="Natpis">
    <w:name w:val="Natpis"/>
    <w:basedOn w:val="Normal"/>
    <w:qFormat/>
    <w:pPr>
      <w:spacing w:before="113" w:after="227"/>
      <w:jc w:val="center"/>
    </w:pPr>
    <w:rPr>
      <w:rFonts w:ascii="Times New Roman" w:hAnsi="Times New Roman"/>
      <w:i/>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Times New Roman" w:hAnsi="Times New Roman"/>
      <w:sz w:val="24"/>
    </w:rPr>
  </w:style>
  <w:style w:type="paragraph" w:styleId="SVodilicom">
    <w:name w:val="SVodilicom"/>
    <w:basedOn w:val="Normal"/>
    <w:qFormat/>
    <w:pPr>
      <w:tabs>
        <w:tab w:val="clear" w:pos="709"/>
        <w:tab w:val="right" w:pos="9071" w:leader="dot"/>
      </w:tabs>
    </w:pPr>
    <w:rPr/>
  </w:style>
  <w:style w:type="paragraph" w:styleId="FootnoteText">
    <w:name w:val="footnote text"/>
    <w:basedOn w:val="Normal"/>
    <w:pPr>
      <w:suppressLineNumbers/>
      <w:ind w:hanging="340" w:left="340"/>
    </w:pPr>
    <w:rPr>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comments" Target="comments.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