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73EC" w:rsidRDefault="000F643E" w:rsidP="000F643E">
      <w:pPr>
        <w:jc w:val="center"/>
      </w:pPr>
      <w:r>
        <w:t>SVEUČILIŠTE U ZAGREBU</w:t>
      </w:r>
    </w:p>
    <w:p w:rsidR="000F643E" w:rsidRDefault="000F643E" w:rsidP="000F643E">
      <w:pPr>
        <w:jc w:val="center"/>
      </w:pPr>
    </w:p>
    <w:p w:rsidR="000F643E" w:rsidRDefault="000F643E" w:rsidP="000F643E">
      <w:pPr>
        <w:jc w:val="center"/>
      </w:pPr>
      <w:r>
        <w:t>FAKULTET STROJARSTVA I BRODOGRADNJE</w:t>
      </w:r>
    </w:p>
    <w:p w:rsidR="000F643E" w:rsidRDefault="000F643E" w:rsidP="000F643E">
      <w:pPr>
        <w:jc w:val="center"/>
      </w:pPr>
    </w:p>
    <w:p w:rsidR="000F643E" w:rsidRDefault="000F643E" w:rsidP="000F643E">
      <w:pPr>
        <w:jc w:val="center"/>
      </w:pPr>
      <w:r>
        <w:t>ZNANSTVENI ČLANAK</w:t>
      </w:r>
    </w:p>
    <w:p w:rsidR="000F643E" w:rsidRDefault="000F643E" w:rsidP="000F643E">
      <w:pPr>
        <w:jc w:val="center"/>
      </w:pPr>
    </w:p>
    <w:p w:rsidR="000F643E" w:rsidRDefault="000F643E" w:rsidP="000F643E">
      <w:pPr>
        <w:jc w:val="center"/>
      </w:pPr>
      <w:r>
        <w:t>Marin Vukelić</w:t>
      </w:r>
    </w:p>
    <w:p w:rsidR="000F643E" w:rsidRDefault="000F643E" w:rsidP="000F643E">
      <w:pPr>
        <w:jc w:val="center"/>
      </w:pPr>
    </w:p>
    <w:p w:rsidR="000F643E" w:rsidRDefault="000F643E" w:rsidP="000F643E">
      <w:pPr>
        <w:jc w:val="center"/>
      </w:pPr>
      <w:r>
        <w:t>Predviđanje preostalog vijeka trajanja rotacijskih strojeva: pregled pristupa i granice primjene</w:t>
      </w:r>
    </w:p>
    <w:p w:rsidR="000F643E" w:rsidRDefault="000F643E" w:rsidP="000F643E">
      <w:pPr>
        <w:jc w:val="center"/>
      </w:pPr>
    </w:p>
    <w:p w:rsidR="000F643E" w:rsidRDefault="000F643E" w:rsidP="000F643E">
      <w:pPr>
        <w:jc w:val="center"/>
      </w:pPr>
      <w:r>
        <w:t>Zagreb, 2026.</w:t>
      </w:r>
    </w:p>
    <w:p w:rsidR="000F643E" w:rsidRDefault="000F643E" w:rsidP="000F643E">
      <w:pPr>
        <w:jc w:val="center"/>
      </w:pPr>
    </w:p>
    <w:p w:rsidR="000F643E" w:rsidRDefault="000F643E">
      <w:pPr>
        <w:spacing w:line="276" w:lineRule="auto"/>
        <w:jc w:val="left"/>
      </w:pPr>
      <w:r>
        <w:br w:type="page"/>
      </w:r>
    </w:p>
    <w:p w:rsidR="000F643E" w:rsidRDefault="000F643E" w:rsidP="000F643E">
      <w:pPr>
        <w:pStyle w:val="Heading1"/>
      </w:pPr>
      <w:r>
        <w:lastRenderedPageBreak/>
        <w:t>Sazetak</w:t>
      </w:r>
    </w:p>
    <w:p w:rsidR="000F643E" w:rsidRDefault="000F643E" w:rsidP="000F643E">
      <w:r>
        <w:t>Procjena preostalog vijeka trajanja rotacijskog stroja postala je uobičajen ulaz u planiranje održavanja, ali se u praksi često isporučuje kao jedan broj bez naznake koliko je pouzdan. Rad pregledno izlaže tri skupine pristupa, one izvedene iz modela rasta oštećenja, one naučene iz povijesti mjerenja i hibridne, te ih uspoređuje po tome što traže od korisnika i što mu vraćaju. Središnja tvrdnja rada nije da je jedna skupina bolja od druge, nego da procjena postaje upotrebljiva za odluku tek kad uz nju stoji iskazana nesigurnost i unaprijed zadan prag djelovanja. Pokazuje se da bez ta dva elementa točniji model ne daje bolju odluku, jer se dobitak u točnosti troši na proizvoljnost u tumačenju. Rad zatim imenuje dvije granice koje se u literaturi rijetko izriču zajedno: izostanak zapisa o kvarovima u industrijskom pogonu, koji ruši nazivnik svake mjere točnosti, i slabu prenosivost modela između strojeva i režima rada. Zaključak je da se doseg procjene mora deklarirati jednako pomno kao i njezina vrijednost.</w:t>
      </w:r>
    </w:p>
    <w:p w:rsidR="000F643E" w:rsidRDefault="000F643E" w:rsidP="000F643E">
      <w:r>
        <w:t>Kljucne rijeci: preostali vijek trajanja, rotacijski strojevi, održavanje prema stanju, nesigurnost procjene, prag djelovanja</w:t>
      </w:r>
    </w:p>
    <w:p w:rsidR="000F643E" w:rsidRDefault="000F643E" w:rsidP="000F643E">
      <w:pPr>
        <w:pStyle w:val="Heading1"/>
      </w:pPr>
      <w:r>
        <w:t>Abstract</w:t>
      </w:r>
    </w:p>
    <w:p w:rsidR="000F643E" w:rsidRDefault="000F643E" w:rsidP="000F643E">
      <w:r>
        <w:t>Estimating the remaining useful life of a rotating machine has become a routine input to maintenance planning, yet in practice it is often delivered as a single number with no indication of how trustworthy it is. This paper reviews three families of approaches, those derived from damage growth models, those learned from measurement histories, and hybrid ones, and compares them by what they demand of the user and what they return. The central claim is not that one family is superior, but that an estimate becomes usable for a decision only when it is accompanied by a stated uncertainty and a threshold for action fixed in advance. Without those two elements a more accurate model does not yield a better decision, because the gain in accuracy is spent on arbitrariness in interpretation. The paper then names two limits that the literature rarely states together: the absence of run-to-failure records in industrial operation, which undermines the denominator of every accuracy measure, and the weak transferability of models between machines and operating regimes. The conclusion is that the scope of an estimate must be declared as carefully as its value.</w:t>
      </w:r>
    </w:p>
    <w:p w:rsidR="000F643E" w:rsidRDefault="000F643E" w:rsidP="000F643E">
      <w:r>
        <w:t>Keywords: remaining useful life, rotating machinery, condition-based maintenance, estimation uncertainty, action threshold</w:t>
      </w:r>
    </w:p>
    <w:p w:rsidR="000F643E" w:rsidRDefault="000F643E" w:rsidP="000F643E">
      <w:pPr>
        <w:pStyle w:val="Heading1"/>
      </w:pPr>
      <w:r>
        <w:lastRenderedPageBreak/>
        <w:t>1. Uvod</w:t>
      </w:r>
    </w:p>
    <w:p w:rsidR="000F643E" w:rsidRDefault="000F643E" w:rsidP="000F643E">
      <w:r>
        <w:t>Neplanirani zastoj rotacijskog stroja u kontinuiranom pogonu rijetko se mjeri samom cijenom pokvarenog dijela. Trošak se sastoji od izgubljene proizvodnje, poremećaja u lancu opskrbe, prekovremenog rada održavanja i, u nekim granama, od kazni zbog neisporuke. Upravo zato je pomak s održavanja po unaprijed zadanom intervalu prema održavanju prema stanju stroja u posljednja tri desetljeća bio brz i gotovo neupitan. Zamjena ležaja koji je još ispravan troši rezervni dio i radni sat bez potrebe, a zamjena koja kasni troši mnogo više od toga. Ideja da se zahvat veže uz izmjereno stanje, a ne uz kalendar, time je dobila i tehničko i ekonomsko opravdanje.</w:t>
      </w:r>
    </w:p>
    <w:p w:rsidR="000F643E" w:rsidRDefault="000F643E" w:rsidP="000F643E">
      <w:r>
        <w:t>Prijelaz na održavanje prema stanju ipak nije sam po sebi dao odluku. Vibracijsko mjerenje, analiza ulja i termografija daju bogat opis trenutnog stanja, ali planiranje traži nešto drugo: procjenu koliko stroj još može raditi. Pregled dijagnostike i prognostike u održavanju prema stanju koji su dali Jardine i suradnici (2006) razlikuje upravo ta dva pitanja, i to razlikovanje je i danas korisno. Dijagnostika odgovara što je s njim sada, prognostika koliko dugo još. Vibracijska dijagnostika, kako je sustavno izlaže Randall (2011), zna vrlo precizno reći koji se element kotrljajućeg ležaja oštećuje, a da pritom ne kaže hoće li stroj izdržati do sljedećeg planiranog zastoja.</w:t>
      </w:r>
    </w:p>
    <w:p w:rsidR="000F643E" w:rsidRDefault="000F643E" w:rsidP="000F643E">
      <w:r>
        <w:t>Iz te praznine izrasla je cijela grana koja se bavi predviđanjem preostalog vijeka trajanja. Njezin je ulaz niz mjerenja, a izlaz broj sati ili ciklusa do trenutka u kojem stroj više neće obavljati svoju funkciju. Problem koji ovaj rad razmatra nastaje na samom kraju tog lanca: taj se broj vrlo često isporučuje sam, bez naznake koliko je pouzdan i bez pravila kako ga pretvoriti u zahvat. Održavatelj koji dobije procjenu od tristo sati ne zna smije li planirati zahvat za dvjesto osamdeset ili mora odmah, jer mu nitko nije rekao koliko se ta procjena može pomaknuti.</w:t>
      </w:r>
    </w:p>
    <w:p w:rsidR="000F643E" w:rsidRDefault="000F643E" w:rsidP="000F643E">
      <w:r>
        <w:t>Vrijedi odmah razlikovati dva pitanja koja se u razgovoru o održavanju stalno stapaju, a traže različite alate i različite podatke. Prvo je pitanje otkrivanja, dakle postoji li već sada odstupanje od normalnog stanja, i na njega vibracijska dijagnostika odgovara pouzdano i razmjerno jeftino. Drugo je pitanje predviđanja, dakle koliko će stroj još raditi prije nego što odstupanje preraste u kvar, i na njega ista mjerenja ne odgovaraju bez dodatnog modela ili dodatne povijesti. Miješanje ta dva pitanja objašnjava zašto se u pogonima nerijetko uvede sustav za praćenje stanja pa se poslije godinu dana ustanovi da planiranje zahvata i dalje ide po kalendaru, iako svi podaci postoje. Sustav je odgovarao na prvo pitanje, a organizacija je od njega očekivala odgovor na drugo.</w:t>
      </w:r>
    </w:p>
    <w:p w:rsidR="000F643E" w:rsidRDefault="000F643E" w:rsidP="000F643E">
      <w:pPr>
        <w:pStyle w:val="Heading2"/>
      </w:pPr>
      <w:r>
        <w:lastRenderedPageBreak/>
        <w:t>1.1. Cilj i istraživačko pitanje</w:t>
      </w:r>
    </w:p>
    <w:p w:rsidR="000F643E" w:rsidRDefault="000F643E" w:rsidP="000F643E">
      <w:r>
        <w:t>Cilj ovog rada nije usporediti točnost pojedinih metoda niti predložiti novu. Takvih je usporedbi u literaturi mnogo i one su, kako će se pokazati, ograničene upravo onim što im nedostaje u ulaznim podacima. Umjesto toga rad postavlja uže i praktičnije pitanje: pod kojim uvjetima procjena preostalog vijeka postaje odluka na koju se održavanje smije osloniti. To pitanje pomiče težište s modela na način na koji se njegov izlaz koristi, što je pomak koji u tehničkoj literaturi ostaje u sjeni rasprave o algoritmima.</w:t>
      </w:r>
    </w:p>
    <w:p w:rsidR="000F643E" w:rsidRDefault="000F643E" w:rsidP="000F643E">
      <w:r>
        <w:t>Rad je organiziran oko tri perspektive koje se u praksi rijetko sukobljavaju otvoreno, ali se u odabiru pristupa sukobljavaju stalno. Prva drži da se preostali vijek izvodi iz opisa mehanizma kvara, pa je procjena to pouzdanija što je fizika oštećenja bolje poznata. Druga drži da se preostali vijek uči iz povijesti mjerenja, bez modela mehanizma, i time postaje primjenjiva ondje gdje mehanizam nije poznat. Treća, koja je i teza ovog rada, tvrdi da je pitanje pogrešno postavljeno dok se ne odredi kako se izlaz čita, jer bez iskazane nesigurnosti i zadanog praga nijedna od prve dvije ne daje odluku.</w:t>
      </w:r>
    </w:p>
    <w:p w:rsidR="000F643E" w:rsidRDefault="000F643E" w:rsidP="000F643E">
      <w:r>
        <w:t>Granice pregleda valja izreći odmah. Rad se ograničava na rotacijsku opremu u industrijskom pogonu, dakle na pumpe, ventilatore, kompresore i njihove pogonske sklopove, i ne bavi se zrakoplovnim pogonskim skupinama, gdje su i podaci i regulatorni okvir bitno drukčiji. Rad je pregledni i ne donosi vlastito mjerenje; sve brojke navedene u nastavku ilustriraju odnose među veličinama i nisu rezultat eksperimenta. Predložene su prema općim odnosima opisanima u literaturi, što je i razlog zbog kojeg se u Tablici 1 uspoređuju zahtjevi pristupa, a ne njihove izmjerene pogreške.</w:t>
      </w:r>
    </w:p>
    <w:p w:rsidR="000F643E" w:rsidRDefault="000F643E" w:rsidP="000F643E">
      <w:r>
        <w:t>Metodološki, rad je pregled zasnovan na uvidu u recenziranu literaturu iz područja praćenja stanja i prognostike rotacijske opreme, uz normu koja to područje uređuje. Odabir radova nije sustavan u smislu formalnog protokola pregleda, nego je usmjeren na radove koji su u području prihvaćeni kao referentni i koji zajedno pokrivaju sve tri perspektive navedene ranije. Takav izbor ima očitu granicu: ne tvrdi da je iscrpan i ne dopušta kvantitativne zaključke o zastupljenosti pojedinog pristupa u literaturi. Za pitanje koje rad postavlja ta granica nije presudna, jer se ne pita koliko je koji pristup čest nego što svaki od njih traži i vraća.</w:t>
      </w:r>
    </w:p>
    <w:p w:rsidR="000F643E" w:rsidRDefault="000F643E" w:rsidP="000F643E">
      <w:pPr>
        <w:pStyle w:val="Heading1"/>
      </w:pPr>
      <w:r>
        <w:t>2. Pristupi procjeni preostalog vijeka</w:t>
      </w:r>
    </w:p>
    <w:p w:rsidR="000F643E" w:rsidRDefault="000F643E" w:rsidP="000F643E">
      <w:r>
        <w:t xml:space="preserve">Podjela pristupa na modelske, podatkovne i hibridne ustalila se u literaturi i korisna je dok se ne pretvori u ljestvicu. Sikorska i suradnici (2011) upozoravaju da izbor pristupa u industriji rijetko slijedi tehničku superiornost, nego dostupnost podataka, znanja i vremena. Ta je opaska važnija </w:t>
      </w:r>
      <w:r>
        <w:lastRenderedPageBreak/>
        <w:t>nego što na prvi pogled izgleda, jer premješta raspravu s pitanja koji je pristup bolji na pitanje koji je pristup uopće izvediv u zadanim uvjetima. Pregled koji slijedi zato svaki pristup opisuje kroz ono što traži od korisnika, a ne kroz ono što obećava.</w:t>
      </w:r>
    </w:p>
    <w:p w:rsidR="000F643E" w:rsidRDefault="000F643E" w:rsidP="000F643E">
      <w:r>
        <w:t>Vrijedi napomenuti i da granice među skupinama nisu oštre kako ih podjela prikazuje. Statistički model rasta degradacije s parametrima procijenjenima iz mjerenja može se s jednakim pravom svrstati i u modelske i u podatkovne pristupe, ovisno o tome naglašava li se oblik putanje ili način njezina namještanja. Ta neodređenost nije nedostatak podjele nego znak da je razlika među pristupima stupnjevita. Zato se u nastavku svaki pristup opisuje kroz dvije osi koje jesu oštre: koliko traži poznavanja mehanizma kvara i koliko traži zabilježenih kvarova, a upravo su te dvije osi prikazane u Tablici 1.</w:t>
      </w:r>
    </w:p>
    <w:p w:rsidR="000F643E" w:rsidRDefault="000F643E" w:rsidP="000F643E">
      <w:pPr>
        <w:pStyle w:val="Heading2"/>
      </w:pPr>
      <w:r>
        <w:t>2.1. Modeli rasta oštećenja</w:t>
      </w:r>
    </w:p>
    <w:p w:rsidR="000F643E" w:rsidRDefault="000F643E" w:rsidP="000F643E">
      <w:r>
        <w:t>Modelski pristup polazi od opisa fizikalnog mehanizma koji stroj dovodi do kvara i iz njega izvodi putanju degradacije. Školski primjer takvog opisa je zakon rasta zamorne pukotine koji su formulirali Paris i Erdogan (1963), gdje brzina rasta pukotine ovisi o rasponu faktora intenzivnosti naprezanja. Prednost je izravna i velika: ako se mehanizam zna, procjena se može izvesti i za stroj koji se nikada nije pokvario, jer se ne uči iz kvarova nego iz fizike. To je jedini pristup koji smisleno radi na opremi koja je nova ili rijetka.</w:t>
      </w:r>
    </w:p>
    <w:p w:rsidR="000F643E" w:rsidRDefault="000F643E" w:rsidP="000F643E">
      <w:r>
        <w:t>Druga prednost je objašnjivost. Kad model kaže da će ležaj izdržati još otprilike četiristo sati, moguće je pokazati koja veličina to određuje i kako se procjena mijenja ako se opterećenje smanji. Održavatelj time dobiva ne samo broj nego i polugu: vidi da smanjenje brzine vrtnje produljuje raspoloživo vrijeme. Ta se osobina u podatkovnim pristupima teško postiže i predstavlja stvaran, a ne deklarativan razlog za odabir modelskog pristupa ondje gdje je izvediv.</w:t>
      </w:r>
    </w:p>
    <w:p w:rsidR="000F643E" w:rsidRDefault="000F643E" w:rsidP="000F643E">
      <w:r>
        <w:t>Zahtjev koji modelski pristup postavlja je, međutim, ozbiljan. Mehanizam kvara mora biti poznat, a njegovi parametri barem približno određeni za konkretan stroj i konkretan režim rada. U pogonu se to rijetko ostvaruje u punoj mjeri. Kotrljajući ležaj u pumpi ne otkazuje samo zamorom kontaktne površine, nego i zbog onečišćenja maziva, neporavnatosti i prolaska struje kroz ležaj, a ti se mehanizmi preklapaju. Model koji opisuje jedan od njih daje procjenu koja vrijedi samo dok on prevladava.</w:t>
      </w:r>
    </w:p>
    <w:p w:rsidR="000F643E" w:rsidRDefault="000F643E" w:rsidP="000F643E">
      <w:r>
        <w:t xml:space="preserve">Si i suradnici (2011) u pregledu statističkih pristupa procjeni preostalog vijeka pokazuju da se granica između modelskog i statističkog pristupa u praksi zamućuje, jer se parametri fizikalnog modela ionako procjenjuju iz podataka. To zapažanje ublažava oštru podjelu s početka poglavlja, ali ne uklanja razliku u onome što svaki pristup pretpostavlja. Modelski pristup pretpostavlja da </w:t>
      </w:r>
      <w:r>
        <w:lastRenderedPageBreak/>
        <w:t>je oblik putanje poznat, a podaci služe da se ona namjesti; podatkovni ne pretpostavlja oblik nego ga traži.</w:t>
      </w:r>
    </w:p>
    <w:p w:rsidR="000F643E" w:rsidRDefault="000F643E" w:rsidP="000F643E">
      <w:r>
        <w:t>Praktična posljedica je da modelski pristup dobro podnosi malo podataka, a loše podnosi nepoznat mehanizam. Ondje gdje se stroj troši na način koji projektant nije predvidio, model će davati procjene koje su unutarnje dosljedne i vanjski netočne, i to bez ijednog znaka da nešto nije u redu. Takva tiha netočnost opasnija je od otvorene nesigurnosti, jer ne poziva na oprez. Upravo zbog toga poglavlje 3.1 ustraje na tome da se uz procjenu iskaže i njezin raspon.</w:t>
      </w:r>
    </w:p>
    <w:p w:rsidR="000F643E" w:rsidRDefault="000F643E" w:rsidP="000F643E">
      <w:r>
        <w:t>Određivanje parametara modela zaseban je problem koji se u pregledima često spomene usput, a u primjeni troši najviše vremena. Parametri zakona rasta pukotine nisu univerzalne konstante nego ovise o materijalu, stanju površine, temperaturi i okolišu, pa se za konkretan stroj moraju odrediti ispitivanjem ili preuzeti iz literature uz pretpostavku sličnosti. Preuzimanje je jeftinije i češće, ali unosi nesigurnost koja se rijetko iskazuje. Kada se ta nesigurnost prenese kroz model, raspon procijenjenog preostalog vijeka zna se udvostručiti, a upravo se taj korak najčešće preskoči.</w:t>
      </w:r>
    </w:p>
    <w:p w:rsidR="000F643E" w:rsidRDefault="000F643E" w:rsidP="000F643E">
      <w:r>
        <w:t>Preklapanje više mehanizama dodatno otežava sliku i zaslužuje vlastitu napomenu. Model koji opisuje jedan mehanizam implicitno pretpostavlja da su ostali zanemarivi, a ta pretpostavka vrijedi samo u dijelu radnog vijeka. Ležaj koji je najprije trpio onečišćenje maziva, pa prešao u zamorno oštećenje kontaktne površine, prošao je kroz dva režima degradacije s različitim brzinama. Model kalibriran na jednom od njih dat će procjenu koja je unutar svojih pretpostavki ispravna, a izvan njih promašena, i to bez ijednog signala o promjeni režima.</w:t>
      </w:r>
    </w:p>
    <w:p w:rsidR="000F643E" w:rsidRDefault="000F643E" w:rsidP="000F643E">
      <w:r>
        <w:t>Postoji i ograničenje koje se rijetko izriče, a tiče se same naravi modelskog pristupa: on predviđa vijek komponente, a ne stroja. Pumpa čiji je ležaj opisan modelom može otkazati zbog brtve, spojke ili elektromotora, i nijedan od tih puteva nije u modelu. Procjena koja se korisniku isporučuje kao vijek stroja, a izvedena je iz jedne komponente, sustavno je preduga. Ispravan postupak traži da se ili modelira više komponenti i njihovi ishodi spoje, ili da se izlaz izrijekom označi kao vijek promatrane komponente. Drugo je jeftinije i češće ispravno, ali traži disciplinu u izvještavanju koja se u praksi lako izgubi.</w:t>
      </w:r>
    </w:p>
    <w:p w:rsidR="000F643E" w:rsidRDefault="000F643E" w:rsidP="000F643E">
      <w:pPr>
        <w:pStyle w:val="Heading2"/>
      </w:pPr>
      <w:r>
        <w:t>2.2. Podatkovni pristupi</w:t>
      </w:r>
    </w:p>
    <w:p w:rsidR="000F643E" w:rsidRDefault="000F643E" w:rsidP="000F643E">
      <w:r>
        <w:t xml:space="preserve">Podatkovni pristupi napuštaju zahtjev za poznatim mehanizmom i uče vezu između izmjerenih značajki i preostalog vijeka izravno iz povijesti. Heng i suradnici (2009) u pregledu prognostike rotacijske opreme opisuju taj zaokret kao odgovor na činjenicu da industrijski strojevi rijetko imaju uredno opisanu fiziku degradacije, a gotovo uvijek imaju neku povijest mjerenja. Ta je </w:t>
      </w:r>
      <w:r>
        <w:lastRenderedPageBreak/>
        <w:t>zamjena razumna i objašnjava zašto su podatkovni pristupi u posljednjem desetljeću prevladali u objavljenim radovima.</w:t>
      </w:r>
    </w:p>
    <w:p w:rsidR="000F643E" w:rsidRDefault="000F643E" w:rsidP="000F643E">
      <w:r>
        <w:t>Cijena te zamjene je zahtjev za podacima koji pokrivaju cijeli put do kvara. Model koji uči kada stroj otkazuje mora vidjeti strojeve koji su otkazali, i to dovoljno njih da nauči razliku između normalne varijacije i početka degradacije. Skup podataka o propagaciji oštećenja u simuliranim pogonskim skupinama, koji su opisali Saxena i suradnici (2008), postao je referentna podloga upravo zato što takvih zapisa u industriji gotovo nema. Time je, međutim, velik dio literature kalibriran na simulaciji, a ne na pogonu.</w:t>
      </w:r>
    </w:p>
    <w:p w:rsidR="000F643E" w:rsidRDefault="000F643E" w:rsidP="000F643E">
      <w:r>
        <w:t>Druga posljedica je gubitak objašnjivosti. Naučeni model može dati vrlo dobru procjenu, a da se pritom ne može reći koja ju veličina nosi. Za planiranje to nije nužno prepreka, jer se odluka donosi na temelju broja, ali za povjerenje jest. Održavatelj koji ne razumije zašto model tvrdi da je preostalo malo vremena teško će opravdati zaustavljanje linije pred nadređenima, osobito nakon prve lažne uzbune. Prihvaćanje takvog alata zato ovisi o organizaciji jednako koliko i o točnosti.</w:t>
      </w:r>
    </w:p>
    <w:p w:rsidR="000F643E" w:rsidRDefault="000F643E" w:rsidP="000F643E">
      <w:r>
        <w:t>Lee i suradnici (2014) razmatrajući oblikovanje sustava za praćenje stanja rotacijske opreme naglašavaju da se značajke moraju birati s obzirom na fizikalno značenje, a ne samo prema statističkoj korisnosti. Time se podatkovni pristup vraća prema modelskom, ne u načinu računanja nego u načinu pripreme ulaza. Značajka koja dobro razdvaja stanja, a nema fizikalno tumačenje, u pravilu loše podnosi promjenu režima rada, o čemu govori poglavlje 4.2.</w:t>
      </w:r>
    </w:p>
    <w:p w:rsidR="000F643E" w:rsidRDefault="000F643E" w:rsidP="000F643E">
      <w:r>
        <w:t>Valja primijetiti i da mjere točnosti u ovom području nisu neutralne. Pogreška od pedeset sati nije jednako skupa kad je procjena preduga i kad je prekratka, jer prva vodi u kvar, a druga u nepotreban zahvat. Mjere koje te dvije pogreške kažnjavaju jednako, a to su najčešće korištene mjere, sustavno favoriziraju modele koji su uravnoteženi ondje gdje uravnoteženost nije poželjna. Odnos tih dviju pogrešaka prikazan je na Slici 1.</w:t>
      </w:r>
    </w:p>
    <w:p w:rsidR="000F643E" w:rsidRDefault="000F643E" w:rsidP="000F643E">
      <w:r>
        <w:t>Priprema značajki u podatkovnom pristupu nosi više utjecaja na ishod nego izbor samog algoritma, što je nalaz koji se u praksi ponavlja. Iz vibracijskog signala moguće je izvesti desetke veličina, od efektivne vrijednosti i faktora vrha do energija u pojasevima oko karakterističnih frekvencija ležaja, a njihova korisnost ovisi o tome koji se mehanizam razvija. Značajka koja rano reagira na oštećenje vanjskog prstena može biti gotovo slijepa za oštećenje kaveza. Odabir stoga nije statistička nego inženjerska odluka i traži poznavanje stroja.</w:t>
      </w:r>
    </w:p>
    <w:p w:rsidR="000F643E" w:rsidRDefault="000F643E" w:rsidP="000F643E">
      <w:r>
        <w:t xml:space="preserve">Neuravnoteženost razreda dodatni je i često prešućen problem. U zapisu iz pogona ogromna većina uzoraka pripada ispravnom stanju, a razdoblje pred kvarom je kratko i rijetko. Model koji </w:t>
      </w:r>
      <w:r>
        <w:lastRenderedPageBreak/>
        <w:t>se uči na takvom skupu lako postiže visoku ukupnu točnost tako da gotovo uvijek predviđa ispravno stanje, što je za prognostiku bezvrijedno. Mjere koje se u takvim uvjetima koriste moraju biti osjetljive na rijedak razred, a izvještaji koji navode samo ukupnu točnost ne dopuštaju prosudbu o tome je li model uopće naučio ono što tvrdi.</w:t>
      </w:r>
    </w:p>
    <w:p w:rsidR="000F643E" w:rsidRDefault="000F643E" w:rsidP="000F643E">
      <w:pPr>
        <w:pStyle w:val="Heading2"/>
      </w:pPr>
      <w:r>
        <w:t>2.3. Hibridni pristupi</w:t>
      </w:r>
    </w:p>
    <w:p w:rsidR="000F643E" w:rsidRDefault="000F643E" w:rsidP="000F643E">
      <w:r>
        <w:t>Hibridni pristupi spajaju fizikalni opis i učenje iz podataka, najčešće tako da model daje oblik putanje degradacije, a podaci namještaju njezine parametre za konkretan stroj. Sikorska i suradnici (2011) takav spoj opisuju kao najizgledniji put za industrijsku primjenu, jer ublažava obje krajnosti: ne traži potpuno poznat mehanizam, ali ne traži ni velik broj zapisa do kvara. U praksi se to izvodi tako da se početna procjena uzme iz modela, a zatim ispravlja kako pristižu mjerenja.</w:t>
      </w:r>
    </w:p>
    <w:p w:rsidR="000F643E" w:rsidRDefault="000F643E" w:rsidP="000F643E">
      <w:r>
        <w:t>Ono što hibrid stvarno rješava jest problem hladnog starta. Stroj koji je tek pušten u rad nema povijest iz koje bi se učilo, ali ima projektne podatke iz kojih se može izvesti početna putanja. Kako se mjerenja gomilaju, težina se pomiče prema podacima. Taj je mehanizam prirodan i u skladu s načinom na koji održavatelj ionako razmišlja, pa je i prihvaćanje takvih alata u pogonu lakše.</w:t>
      </w:r>
    </w:p>
    <w:p w:rsidR="000F643E" w:rsidRDefault="000F643E" w:rsidP="000F643E">
      <w:r>
        <w:t>Ono što hibrid ne rješava, nego premješta, jest pitanje povjerenja u ishod. Sada postoje dva izvora nesigurnosti, onaj iz modela i onaj iz podataka, i njihovo spajanje nije trivijalno. Zio (2022) upozorava da se u praksi nesigurnost često prenosi nepotpuno, tako da se izvještava samo jedan njezin dio, obično onaj koji je lakše izračunati. Rezultat je raspon koji izgleda uže nego što jest, a to je gori ishod od izostanka raspona, jer navodi na pretjerano povjerenje.</w:t>
      </w:r>
    </w:p>
    <w:p w:rsidR="000F643E" w:rsidRDefault="000F643E" w:rsidP="000F643E">
      <w:r>
        <w:t>Uobičajen mehanizam spajanja je sekvencijalno osvježavanje, u kojem se stanje degradacije vodi kao skrivena veličina, a svako novo mjerenje pomiče njezinu procjenu. Model daje očekivanu putanju, mjerenje ju ispravlja, a težina ispravka ovisi o tome koliko se mjerenju vjeruje. Prednost je što se nesigurnost vodi eksplicitno kroz cijeli postupak, umjesto da se izračuna na kraju. Nedostatak je što rezultat ovisi o početnim pretpostavkama više nego što se iz izlaza vidi, osobito u prvim tjednima rada.</w:t>
      </w:r>
    </w:p>
    <w:p w:rsidR="000F643E" w:rsidRDefault="000F643E" w:rsidP="000F643E">
      <w:r>
        <w:t>Ocjenjivanje hibridnih pristupa teže je nego ocjenjivanje bilo koje od dviju krajnosti. Rezultat ovisi o modelu, o podacima i o načinu njihova spajanja, pa slabiji ishod ne kazuje koji je od tri elementa zakazao. U objavljenim usporedbama to se rijetko razdvaja, pa se hibridnom pristupu pripisuje zasluga koja možda pripada boljoj pripremi značajki. Za primjenu to znači da se hibrid ne smije uvoditi kao gotovo rješenje nego kao postupak koji traži vlastito ispitivanje na konkretnom stroju.</w:t>
      </w:r>
    </w:p>
    <w:p w:rsidR="000F643E" w:rsidRDefault="000F643E" w:rsidP="000F643E">
      <w:pPr>
        <w:pStyle w:val="Heading1"/>
      </w:pPr>
      <w:r>
        <w:lastRenderedPageBreak/>
        <w:t>3. Nesigurnost i prag odluke</w:t>
      </w:r>
    </w:p>
    <w:p w:rsidR="000F643E" w:rsidRDefault="000F643E" w:rsidP="000F643E">
      <w:r>
        <w:t>Dosadašnji pregled pokazuje da se pristupi razlikuju po tome što traže, a manje po tome što u najboljem slučaju mogu postići. Ovo poglavlje tvrdi da razlika koja stvarno odlučuje o upotrebljivosti nije među pristupima nego u onome što se isporučuje uz procjenu. Dva su elementa nužna i oba se u praksi često izostavljaju: iskazana nesigurnost procjene i prag djelovanja zadan prije mjerenja.</w:t>
      </w:r>
    </w:p>
    <w:p w:rsidR="000F643E" w:rsidRDefault="000F643E" w:rsidP="000F643E">
      <w:r>
        <w:t>Razlog zbog kojeg se ta dva elementa promatraju zajedno, a ne odvojeno, jest u tome što svaki bez drugoga ostaje bez učinka. Raspon bez zadanog praga daje održavatelju osjećaj opreza, ali ne i pravilo po kojem će postupiti, pa se odluka i dalje donosi ad hoc. Prag bez raspona daje pravilo koje se primjenjuje na broj čija se pouzdanost ne zna, pa je dosljednost prividna. Tek zajedno tvore postupak u kojem se ista situacija dvaput rješava jednako, a to je minimalni uvjet da bi se o sustavu uopće moglo suditi.</w:t>
      </w:r>
    </w:p>
    <w:p w:rsidR="000F643E" w:rsidRDefault="000F643E" w:rsidP="000F643E">
      <w:pPr>
        <w:pStyle w:val="Heading2"/>
      </w:pPr>
      <w:r>
        <w:t>3.1. Iskazivanje nesigurnosti procjene</w:t>
      </w:r>
    </w:p>
    <w:p w:rsidR="000F643E" w:rsidRDefault="000F643E" w:rsidP="000F643E">
      <w:r>
        <w:t>Točkasta procjena preostalog vijeka nije upotrebljiva za odluku, koliko god bila točna u prosjeku. Razlog je jednostavan: odluka o zahvatu nije simetrična, pa je za planiranje bitan donji rub raspona, a ne njegova sredina. Procjena od tristo sati sa širokim rasponom i procjena od tristo sati s uskim rasponom vode u različite zahvate, a ako se raspon ne iskaže, održavatelj ih ne može razlikovati. Norma ISO 13381-1 (2015) izrijekom traži da se uz prognozu navede i pouzdanost, ali se taj zahtjev u objavljenim primjenama često ispuni formalno.</w:t>
      </w:r>
    </w:p>
    <w:p w:rsidR="000F643E" w:rsidRDefault="000F643E" w:rsidP="000F643E">
      <w:r>
        <w:t>Nesigurnost dolazi iz više izvora i njihovo razdvajanje nije akademska sitnica. Postoji nesigurnost mjerenja, nesigurnost parametara modela i nesigurnost budućeg opterećenja, a ova posljednja je u industrijskom pogonu često najveća i najmanje se razmatra. Stroj koji sljedeća tri mjeseca radi u težem režimu potrošit će preostali vijek brže nego što je procijenjeno, a nijedan model to ne može znati unaprijed ako mu se ne zada scenarij rada.</w:t>
      </w:r>
    </w:p>
    <w:p w:rsidR="000F643E" w:rsidRDefault="000F643E" w:rsidP="000F643E">
      <w:r>
        <w:t>Zio (2022) argumentira da se nesigurnost mora prenositi kroz cijeli lanac, od mjerenja do odluke, i da je zaustavljanje tog prijenosa na izlazu modela najčešći propust u praksi. Kad se raspon izračuna, pa se u izvještaj prenese samo srednja vrijednost, informacija je izgubljena upravo na mjestu gdje je najpotrebnija. Takav izvještaj izgleda urednije, i to je dio problema, jer uredan broj djeluje pouzdanije od raspona.</w:t>
      </w:r>
    </w:p>
    <w:p w:rsidR="000F643E" w:rsidRDefault="000F643E" w:rsidP="000F643E">
      <w:r>
        <w:t xml:space="preserve">Praktična preporuka koja iz toga slijedi je skromna, ali se rijetko slijedi: uz svaku procjenu navesti raspon i pretpostavljeni režim rada za koji ona vrijedi. Time se procjena pretvara iz </w:t>
      </w:r>
      <w:r>
        <w:lastRenderedPageBreak/>
        <w:t>tvrdnje o budućnosti u uvjetnu tvrdnju, što ona i jest. Uvjetna tvrdnja je slabija na papiru, a jača u primjeni, jer se može provjeriti i opovrgnuti kad se uvjet promijeni.</w:t>
      </w:r>
    </w:p>
    <w:p w:rsidR="000F643E" w:rsidRDefault="000F643E" w:rsidP="000F643E">
      <w:r>
        <w:t>Valja naglasiti i granicu tog zahtjeva. Iskazana nesigurnost ne čini procjenu točnijom niti nadomješta loš model. Ona samo sprječava da se loša procjena koristi kao da je dobra, što je drukčija i skromnija korist. Rad koji tvrdi da uvođenje raspona poboljšava predviđanje miješa dvije stvari; raspon poboljšava odluku, a ne predviđanje, i tu razliku Tablica 2 prikazuje kroz tri tipična ishoda.</w:t>
      </w:r>
    </w:p>
    <w:p w:rsidR="000F643E" w:rsidRDefault="000F643E" w:rsidP="000F643E">
      <w:r>
        <w:t>Razdvajanje nesigurnosti na onu koja proizlazi iz slučajnosti pojave i onu koja proizlazi iz nepoznavanja modela nije akademska podjela nego uputa za djelovanje. Prva se ne može smanjiti prikupljanjem podataka, jer je svojstvo pojave; druga se može, jer je svojstvo našeg znanja. Održavatelj koji zna da je raspon širok zbog nepoznavanja parametara ima razlog uložiti u dodatno ispitivanje. Onaj kojemu je raspon širok zbog same naravi opterećenja nema, i ušteda je u tome da to zna unaprijed.</w:t>
      </w:r>
    </w:p>
    <w:p w:rsidR="000F643E" w:rsidRDefault="000F643E" w:rsidP="000F643E">
      <w:r>
        <w:t>Način izvještavanja jednako je važan kao i sam izračun. Raspon koji se navede bez razine pouzdanosti nije informacija, jer se ne zna pokriva li osamdeset ili devedeset i devet posto ishoda. Isto vrijedi za raspon naveden bez pretpostavljenog režima rada, koji tiho podrazumijeva da će stroj nastaviti raditi jednako kao dosad. Uredan zapis procjene stoga ima tri dijela: vrijednost, raspon s razinom pouzdanosti i pretpostavku o opterećenju pod kojom oba vrijede.</w:t>
      </w:r>
    </w:p>
    <w:p w:rsidR="000F643E" w:rsidRDefault="000F643E" w:rsidP="000F643E">
      <w:pPr>
        <w:pStyle w:val="Heading2"/>
      </w:pPr>
      <w:r>
        <w:t>3.2. Prag djelovanja u planiranju održavanja</w:t>
      </w:r>
    </w:p>
    <w:p w:rsidR="000F643E" w:rsidRDefault="000F643E" w:rsidP="000F643E">
      <w:r>
        <w:t>Drugi nužan element je prag pri kojem se poduzima zahvat. Prag nije svojstvo modela nego odluka organizacije i mora biti zadan prije nego se procjena pogleda. Razlog je metodološki i praktičan istodobno: prag određen nakon uvida u rezultat prilagođava se rezultatu, pa prestaje biti kriterij. Ta je zamka poznata iz drugih područja, a u održavanju se pojavljuje u blagom obliku, kao postupno pomicanje granice kad zahvat nije zgodan.</w:t>
      </w:r>
    </w:p>
    <w:p w:rsidR="000F643E" w:rsidRDefault="000F643E" w:rsidP="000F643E">
      <w:r>
        <w:t>Odabir praga je izravno ekonomsko pitanje i svodi se na odnos cijene lažne uzbune i cijene propuštenog kvara. Ako je zaustavljanje linije skupo, a kvar ležaja relativno jeftin, prag se pomiče prema kasnijem djelovanju i prihvaća se veći rizik. Ako je kvar katastrofalan, prag ide prema ranijem djelovanju i prihvaća se više nepotrebnih zahvata. Jardine i suradnici (2006) taj odnos smještaju u središte održavanja prema stanju, a ne na njegov rub.</w:t>
      </w:r>
    </w:p>
    <w:p w:rsidR="000F643E" w:rsidRDefault="000F643E" w:rsidP="000F643E">
      <w:r>
        <w:t xml:space="preserve">Iz toga slijedi da ista procjena u dva pogona vodi u dvije različite odluke, i to je ispravno, a ne nedosljedno. Model koji bi sam predlagao zahvat morao bi znati cijene, a njih ne zna. Alat koji preskoči taj korak i ponudi preporuku bez zadanog praga zapravo je pretpostavio odnos cijena </w:t>
      </w:r>
      <w:r>
        <w:lastRenderedPageBreak/>
        <w:t>umjesto korisnika, najčešće prešutno. Takva prešutna pretpostavka opasna je jer se ne vidi u izlazu.</w:t>
      </w:r>
    </w:p>
    <w:p w:rsidR="000F643E" w:rsidRDefault="000F643E" w:rsidP="000F643E">
      <w:r>
        <w:t>Norma ISO 13381-1 (2015) postavlja okvir za prognostiku, ali ne propisuje prag, i to je razumno. Prag ovisi o pogonu, a norma ne može znati njegove troškove. Ono što se od primjene traži jest da prag bude zapisan i obrazložen, kako bi se poslije moglo provjeriti je li odluka bila dosljedna kriteriju. Bez tog zapisa nije moguće razlikovati dobru odluku s lošim ishodom od loše odluke, a ta se razlika u održavanju stalno gubi.</w:t>
      </w:r>
    </w:p>
    <w:p w:rsidR="000F643E" w:rsidRDefault="000F643E" w:rsidP="000F643E">
      <w:r>
        <w:t>Kada su oba elementa na mjestu, procjena postaje operativna. Održavatelj uspoređuje donji rub raspona sa zadanim pragom i odluka slijedi mehanički, bez rasprave o modelu. Upravo tada dobitak u točnosti modela ima smisla, jer se pretvara u raniju ili kasniju odluku. Bez ta dva elementa isti dobitak ne mijenja ništa, jer se troši na raspravu o tome kako broj protumačiti, kako je shematski prikazano na Slici 2.</w:t>
      </w:r>
    </w:p>
    <w:p w:rsidR="000F643E" w:rsidRDefault="000F643E" w:rsidP="000F643E">
      <w:r>
        <w:t>Prag zadan kao jedna vrijednost proizvodi neugodnu pojavu na granici, kada procjena oscilira oko njega iz tjedna u tjedan. Zahtjev za zahvatom tada se pojavljuje i nestaje, što ruši povjerenje u sustav brže od pogrešne procjene. Uobičajeno rješenje je uvođenje razmaka između praga za uzbunu i praga za povlačenje uzbune, čime se odluka stabilizira. Takav razmak nije tehnička sitnica nego dio pravila odlučivanja i mora biti zapisan zajedno s pragom.</w:t>
      </w:r>
    </w:p>
    <w:p w:rsidR="000F643E" w:rsidRDefault="000F643E" w:rsidP="000F643E">
      <w:r>
        <w:t>Zapisivanje odluke jednako je važno kao i njezino donošenje. Kada se zahvat izvede prije kvara, ne zna se je li kvar uopće nastupio, pa se ispravnost odluke ne može provjeriti izravno. Jedino što ostaje jest provjera dosljednosti: je li odluka slijedila zapisani kriterij. Bez tog zapisa organizacija nakon godinu dana ima niz zahvata i nijedan način da prosudi je li sustav pomogao, što je razlog zbog kojeg mnoge primjene ostanu na razini pokusa.</w:t>
      </w:r>
    </w:p>
    <w:p w:rsidR="000F643E" w:rsidRDefault="000F643E" w:rsidP="000F643E">
      <w:r>
        <w:t>Prag se u praksi ne zadaje jednom za sve strojeve nego se razlikuje po kritičnosti opreme, i to je razlika koju vrijedi zapisati eksplicitno. Rezervna pumpa s pričuvom u pogonu podnosi kasnije djelovanje jer njezin ispad ne zaustavlja proizvodnju; jedina pumpa u liniji ne podnosi. Ista tehnička procjena preostalog vijeka na te dvije pumpe vodi u dva različita roka zahvata, i to nije nedosljednost nego ispravno korištenje istog podatka. Popis opreme s pripadajućim pragovima time postaje jednako važan dokument kao i sam sustav za praćenje, a u primjenama koje se objavljuju gotovo se nikada ne spominje.</w:t>
      </w:r>
    </w:p>
    <w:p w:rsidR="000F643E" w:rsidRDefault="000F643E" w:rsidP="000F643E">
      <w:pPr>
        <w:pStyle w:val="Heading1"/>
      </w:pPr>
      <w:r>
        <w:lastRenderedPageBreak/>
        <w:t>4. Granice primjene</w:t>
      </w:r>
    </w:p>
    <w:p w:rsidR="000F643E" w:rsidRDefault="000F643E" w:rsidP="000F643E">
      <w:r>
        <w:t>Prethodna poglavlja opisuju što pojedini pristup traži i što se mora isporučiti uz njegov izlaz. Ovo poglavlje imenuje dvije granice koje vrijede bez obzira na odabrani pristup i koje se u literaturi rijetko izriču zajedno. Prva je podatkovna i tiče se toga da industrijski pogon rijetko posjeduje zapise o cijelom putu do kvara. Druga je metodološka i tiče se toga koliko se naučeno prenosi na drugi stroj ili drugi režim rada. Obje su strukturne, dakle ne uklanjaju se boljim algoritmom, i obje mijenjaju način na koji se rezultati smiju čitati.</w:t>
      </w:r>
    </w:p>
    <w:p w:rsidR="000F643E" w:rsidRDefault="000F643E" w:rsidP="000F643E">
      <w:pPr>
        <w:pStyle w:val="Heading2"/>
      </w:pPr>
      <w:r>
        <w:t>4.1. Podaci o kvarovima kojih u praksi nema</w:t>
      </w:r>
    </w:p>
    <w:p w:rsidR="000F643E" w:rsidRDefault="000F643E" w:rsidP="000F643E">
      <w:r>
        <w:t>Najozbiljnija granica cijelog područja nije metodološka nego podatkovna. Industrijski pogon uredno održava opremu, što znači da ona rijetko dolazi do kvara, pa zapisa o cijelom putu do kvara gotovo i nema. Održavanje koje dobro radi svoj posao time samo sebi uskraćuje podatke potrebne za učenje. Ta je proturječnost strukturna i ne rješava se boljim algoritmom.</w:t>
      </w:r>
    </w:p>
    <w:p w:rsidR="000F643E" w:rsidRDefault="000F643E" w:rsidP="000F643E">
      <w:r>
        <w:t>Posljedica se osjeća u nazivniku svake mjere točnosti. Kad se model ocjenjuje na malom broju zabilježenih kvarova, interval pouzdanosti te ocjene je širok, pa razlike među modelima često nisu razlučive. Objavljene usporedbe koje pokazuju prednost jedne metode nad drugom na desetak slučajeva govore manje nego što se iz njih čita. Heng i suradnici (2009) na to upozoravaju izrijekom, ali se upozorenje u kasnijoj literaturi rijetko prenosi.</w:t>
      </w:r>
    </w:p>
    <w:p w:rsidR="000F643E" w:rsidRDefault="000F643E" w:rsidP="000F643E">
      <w:r>
        <w:t>Djelomično rješenje je korištenje cenzuriranih zapisa, dakle onih u kojima je stroj zamijenjen prije kvara. Takvi zapisi nose informaciju da je stroj do tog trenutka bio ispravan, što nije ništa, ali nije ni potpun podatak. Statistički alati za rad s cenzuriranim podacima postoje i zreli su, a njihova primjena u ovom području je neujednačena. Uvođenje cenzuriranih zapisa u nazivnik mijenja i ocjene točnosti, obično na gore, što je vjerojatno dio razloga za njihovu slabu zastupljenost.</w:t>
      </w:r>
    </w:p>
    <w:p w:rsidR="000F643E" w:rsidRDefault="000F643E" w:rsidP="000F643E">
      <w:r>
        <w:t>Drugo djelomično rješenje je ubrzano ispitivanje u laboratoriju, gdje se kvar izaziva namjerno. Podaci su ondje potpuni, ali je režim opterećenja drukčiji od pogonskog, pa se prenosivost postavlja kao zasebno pitanje. Tablica 1 uspoređuje upravo taj odnos: što koji izvor podataka daje i po kojoj cijeni.</w:t>
      </w:r>
    </w:p>
    <w:p w:rsidR="000F643E" w:rsidRDefault="000F643E" w:rsidP="000F643E">
      <w:r>
        <w:t>Uz izostanak zapisa djeluje i pristranost preživljavanja, koja se rijetko imenuje. Strojevi koji su dugo u pogonu upravo su oni koji nisu otkazali, pa skup podataka sustavno prikazuje povoljniju sliku od stvarne. Model naučen na takvom skupu bit će optimističan, i to na način koji se ne vidi u mjerama točnosti izračunatima na istom skupu. Ispravak traži da se u analizu uključe i strojevi povučeni iz pogona, uključujući one zamijenjene iz predostrožnosti.</w:t>
      </w:r>
    </w:p>
    <w:p w:rsidR="000F643E" w:rsidRDefault="000F643E" w:rsidP="000F643E">
      <w:r>
        <w:lastRenderedPageBreak/>
        <w:t>Udruživanje podataka više pogona nudi se kao rješenje i djelomično to i jest. Flota istovrsnih pumpi kod više korisnika daje broj kvarova koji jedan pogon nikada neće imati. Prepreke su, međutim, praktične i ozbiljne: podaci su poslovno osjetljivi, uvjeti rada se razlikuju, a način bilježenja kvara nije ujednačen. Zapis koji kaže da je pumpa zamijenjena ne kaže je li otkazala ili je zamijenjena tijekom planiranog zastoja, a ta razlika mijenja svaki ishod.</w:t>
      </w:r>
    </w:p>
    <w:p w:rsidR="000F643E" w:rsidRDefault="000F643E" w:rsidP="000F643E">
      <w:pPr>
        <w:pStyle w:val="Heading2"/>
      </w:pPr>
      <w:r>
        <w:t>4.2. Prenosivost između strojeva i režima rada</w:t>
      </w:r>
    </w:p>
    <w:p w:rsidR="000F643E" w:rsidRDefault="000F643E" w:rsidP="000F643E">
      <w:r>
        <w:t>Model naučen na jednom stroju u pravilu se ne prenosi na drugi bez ponovne kalibracije, čak ni kad su strojevi istog tipa. Razlike u ugradnji, poravnanju, temeljenju i opterećenju mijenjaju vibracijski potpis dovoljno da naučene granice prestanu vrijediti. To je poznato i u praksi se uzima u obzir, ali se u objavljenim rezultatima često previdi, jer se ocjena radi na istom skupu strojeva na kojem se učilo.</w:t>
      </w:r>
    </w:p>
    <w:p w:rsidR="000F643E" w:rsidRDefault="000F643E" w:rsidP="000F643E">
      <w:r>
        <w:t>Promjena režima rada djeluje slično, a događa se češće. Pumpa koja je pola godine radila pri konstantnom protoku, pa prijeđe na promjenjivi, promijenit će raspodjelu značajki na kojima model počiva. Model to najčešće ne prijavi, nego nastavi davati procjene koje su naizgled uredne. Nepostojanje signala da su pretpostavke prestale vrijediti veći je problem od same pogreške.</w:t>
      </w:r>
    </w:p>
    <w:p w:rsidR="000F643E" w:rsidRDefault="000F643E" w:rsidP="000F643E">
      <w:r>
        <w:t>Lee i suradnici (2014) predlažu da se značajke biraju tako da imaju fizikalno značenje upravo zato što takve značajke bolje podnose promjenu režima. Preporuka je razumna, ali djelomična, jer fizikalno smislena značajka i dalje mijenja raspodjelu kada se promijeni opterećenje. Prenosivo je, čini se, ono što je vezano uz mehanizam kvara, a ne uz radnu točku; ta se granica poklapa s podjelom iz poglavlja 2.1.</w:t>
      </w:r>
    </w:p>
    <w:p w:rsidR="000F643E" w:rsidRDefault="000F643E" w:rsidP="000F643E">
      <w:r>
        <w:t>Praktična posljedica je da uvođenje sustava za predviđanje preostalog vijeka nije jednokratan projekt nego trajna obveza. Model traži nadzor, povremenu ponovnu kalibraciju i eksplicitno praćenje promjena režima. Organizacija koja to ne predvidi dobit će sustav koji prve godine radi dobro, a zatim tiho stari. Tiho starenje je pritom najgori oblik kvara, jer ne proizvodi nikakav signal.</w:t>
      </w:r>
    </w:p>
    <w:p w:rsidR="000F643E" w:rsidRDefault="000F643E" w:rsidP="000F643E">
      <w:r>
        <w:t>Postupci prilagodbe naučenog modela novom stroju razvijeni su i djelomično uspješni, ali traže ono čega u pogonu opet nema, a to je barem malen broj označenih primjera s novog stroja. Prilagodba bez ijednog takvog primjera oslanja se na pretpostavku da se raspodjele značajki podudaraju do jednostavne transformacije, što za rotacijsku opremu vrijedi rijetko. Praktičan kompromis je početi s modelskim pristupom na novom stroju, pa prijeći na naučeni kada se prikupi dovoljno mjerenja.</w:t>
      </w:r>
    </w:p>
    <w:p w:rsidR="000F643E" w:rsidRDefault="000F643E" w:rsidP="000F643E">
      <w:r>
        <w:lastRenderedPageBreak/>
        <w:t>Nadzor nad valjanošću modela zato mora biti dio sustava, a ne naknadna misao. Jednostavne mjere, poput praćenja pomiče li se raspodjela ulaznih značajki u odnosu na razdoblje učenja, otkrivaju promjenu režima prije nego što se ona odrazi na procjenu. Takav nadzor ne ispravlja model nego javlja da mu se prestalo vjerovati, što je skromnija i poštenija uloga. Sustav koji tu funkciju nema ne stari vidljivo, nego tiho, i upravo je to ishod koji poglavlje 4 nastoji izbjeći.</w:t>
      </w:r>
    </w:p>
    <w:p w:rsidR="000F643E" w:rsidRDefault="000F643E" w:rsidP="000F643E">
      <w:pPr>
        <w:pStyle w:val="Heading1"/>
      </w:pPr>
      <w:r>
        <w:t>5. Zaključak</w:t>
      </w:r>
    </w:p>
    <w:p w:rsidR="000F643E" w:rsidRDefault="000F643E" w:rsidP="000F643E">
      <w:r>
        <w:t>Pregled pokazuje da su tri skupine pristupa procjeni preostalog vijeka trajanja rotacijskih strojeva komplementarne, a ne konkurentne, i da se izbor među njima u praksi određuje dostupnošću podataka i znanja, a ne tehničkom nadmoći. Modelski pristup dobro podnosi malo podataka i loše nepoznat mehanizam; podatkovni obrnuto; hibridni ublažava obje krajnosti uz cijenu složenijeg prijenosa nesigurnosti. Ta je slika u literaturi razmjerno stabilna i ovaj je rad ne mijenja.</w:t>
      </w:r>
    </w:p>
    <w:p w:rsidR="000F643E" w:rsidRDefault="000F643E" w:rsidP="000F643E">
      <w:r>
        <w:t>Ono što rad tvrdi jest da izbor pristupa nije mjesto na kojem se odlučuje o upotrebljivosti. Procjena postaje odluka tek kad uz nju stoji iskazana nesigurnost i unaprijed zadan prag djelovanja. Bez ta dva elementa točniji model ne daje bolju odluku, jer se dobitak u točnosti troši na proizvoljnost u tumačenju izlaza. Time se težište pomiče s pitanja koliko je model dobar na pitanje je li njegov izlaz uopće upotrebljiv u obliku u kojem se isporučuje.</w:t>
      </w:r>
    </w:p>
    <w:p w:rsidR="000F643E" w:rsidRDefault="000F643E" w:rsidP="000F643E">
      <w:r>
        <w:t>Dvije granice koje rad imenuje, izostanak zapisa o kvarovima i slaba prenosivost među strojevima i režimima, nisu prepreke koje će nestati boljim algoritmima. One su svojstvo područja i traže da se doseg svake procjene deklarira jednako pomno kao i njezina vrijednost. Rad koji navede da model postiže određenu točnost, a ne navede na kojem skupu i uz koje pretpostavke o režimu, iskazao je manje nego što izgleda. Daljnji rad na ovom području stoga je jednako potreban u izvještavanju koliko i u modeliranju.</w:t>
      </w:r>
    </w:p>
    <w:p w:rsidR="000F643E" w:rsidRDefault="000F643E" w:rsidP="000F643E">
      <w:r>
        <w:t>Iz toga slijedi i praktična preporuka za organizacije koje uvode ovakav sustav, a koja se ne tiče izbora dobavljača ni algoritma. Prije nego se odabere metoda, potrebno je zapisati dvije stvari: koliko se pogrešnih uzbuna godišnje prihvaća i koliki je trošak kvara koji se želi izbjeći. Te dvije brojke određuju prag, a prag određuje koliko točna procjena uopće mora biti da bi bila korisna. Nerijetko se pokaže da je za zadani odnos troškova dovoljna i razmjerno gruba procjena, čime pitanje izbora najsloženije metode gubi na važnosti.</w:t>
      </w:r>
    </w:p>
    <w:p w:rsidR="000F643E" w:rsidRDefault="000F643E" w:rsidP="000F643E">
      <w:r>
        <w:t xml:space="preserve">Ograničenja ovog pregleda valja ponoviti na kraju, jer ona određuju doseg zaključaka. Rad se oslanja na referentnu, a ne na sustavno prikupljenu literaturu, ograničen je na rotacijsku opremu u industrijskom pogonu i ne donosi vlastito mjerenje. Zaključak o nužnosti iskazane nesigurnosti </w:t>
      </w:r>
      <w:r>
        <w:lastRenderedPageBreak/>
        <w:t>i zadanog praga stoga je izveden iz naravi odluke o održavanju, a ne iz usporedbe primjena s tim elementima i bez njih. Provjera te tvrdnje na stvarnim pogonskim podacima ostaje otvoren zadatak i vjerojatno je najkorisniji smjer daljnjeg rada u ovom području.</w:t>
      </w:r>
    </w:p>
    <w:p w:rsidR="000F643E" w:rsidRDefault="000F643E" w:rsidP="000F643E">
      <w:r>
        <w:t>Tablica 1. Usporedba pristupa po zahtjevima prema korisniku</w:t>
      </w:r>
    </w:p>
    <w:tbl>
      <w:tblPr>
        <w:tblW w:w="0" w:type="auto"/>
        <w:tblLayout w:type="fixed"/>
        <w:tblLook w:val="0000" w:firstRow="0" w:lastRow="0" w:firstColumn="0" w:lastColumn="0" w:noHBand="0" w:noVBand="0"/>
      </w:tblPr>
      <w:tblGrid>
        <w:gridCol w:w="2392"/>
        <w:gridCol w:w="2393"/>
        <w:gridCol w:w="2393"/>
        <w:gridCol w:w="2393"/>
      </w:tblGrid>
      <w:tr w:rsidR="000F643E">
        <w:tblPrEx>
          <w:tblCellMar>
            <w:top w:w="0" w:type="dxa"/>
            <w:bottom w:w="0" w:type="dxa"/>
          </w:tblCellMar>
        </w:tblPrEx>
        <w:tc>
          <w:tcPr>
            <w:tcW w:w="2392" w:type="dxa"/>
          </w:tcPr>
          <w:p w:rsidR="000F643E" w:rsidRDefault="000F643E" w:rsidP="000F643E">
            <w:r>
              <w:t>Pristup</w:t>
            </w:r>
          </w:p>
        </w:tc>
        <w:tc>
          <w:tcPr>
            <w:tcW w:w="2393" w:type="dxa"/>
          </w:tcPr>
          <w:p w:rsidR="000F643E" w:rsidRDefault="000F643E" w:rsidP="000F643E">
            <w:r>
              <w:t>Traži poznat mehanizam</w:t>
            </w:r>
          </w:p>
        </w:tc>
        <w:tc>
          <w:tcPr>
            <w:tcW w:w="2393" w:type="dxa"/>
          </w:tcPr>
          <w:p w:rsidR="000F643E" w:rsidRDefault="000F643E" w:rsidP="000F643E">
            <w:r>
              <w:t>Traži zapise do kvara</w:t>
            </w:r>
          </w:p>
        </w:tc>
        <w:tc>
          <w:tcPr>
            <w:tcW w:w="2393" w:type="dxa"/>
          </w:tcPr>
          <w:p w:rsidR="000F643E" w:rsidRDefault="000F643E" w:rsidP="000F643E">
            <w:r>
              <w:t>Objašnjivost izlaza</w:t>
            </w:r>
          </w:p>
        </w:tc>
      </w:tr>
      <w:tr w:rsidR="000F643E">
        <w:tblPrEx>
          <w:tblCellMar>
            <w:top w:w="0" w:type="dxa"/>
            <w:bottom w:w="0" w:type="dxa"/>
          </w:tblCellMar>
        </w:tblPrEx>
        <w:tc>
          <w:tcPr>
            <w:tcW w:w="2392" w:type="dxa"/>
          </w:tcPr>
          <w:p w:rsidR="000F643E" w:rsidRDefault="000F643E" w:rsidP="000F643E">
            <w:r>
              <w:t>Modelski</w:t>
            </w:r>
          </w:p>
        </w:tc>
        <w:tc>
          <w:tcPr>
            <w:tcW w:w="2393" w:type="dxa"/>
          </w:tcPr>
          <w:p w:rsidR="000F643E" w:rsidRDefault="000F643E" w:rsidP="000F643E">
            <w:r>
              <w:t>da</w:t>
            </w:r>
          </w:p>
        </w:tc>
        <w:tc>
          <w:tcPr>
            <w:tcW w:w="2393" w:type="dxa"/>
          </w:tcPr>
          <w:p w:rsidR="000F643E" w:rsidRDefault="000F643E" w:rsidP="000F643E">
            <w:r>
              <w:t>ne</w:t>
            </w:r>
          </w:p>
        </w:tc>
        <w:tc>
          <w:tcPr>
            <w:tcW w:w="2393" w:type="dxa"/>
          </w:tcPr>
          <w:p w:rsidR="000F643E" w:rsidRDefault="000F643E" w:rsidP="000F643E">
            <w:r>
              <w:t>visoka</w:t>
            </w:r>
          </w:p>
        </w:tc>
      </w:tr>
      <w:tr w:rsidR="000F643E">
        <w:tblPrEx>
          <w:tblCellMar>
            <w:top w:w="0" w:type="dxa"/>
            <w:bottom w:w="0" w:type="dxa"/>
          </w:tblCellMar>
        </w:tblPrEx>
        <w:tc>
          <w:tcPr>
            <w:tcW w:w="2392" w:type="dxa"/>
          </w:tcPr>
          <w:p w:rsidR="000F643E" w:rsidRDefault="000F643E" w:rsidP="000F643E">
            <w:r>
              <w:t>Podatkovni</w:t>
            </w:r>
          </w:p>
        </w:tc>
        <w:tc>
          <w:tcPr>
            <w:tcW w:w="2393" w:type="dxa"/>
          </w:tcPr>
          <w:p w:rsidR="000F643E" w:rsidRDefault="000F643E" w:rsidP="000F643E">
            <w:r>
              <w:t>ne</w:t>
            </w:r>
          </w:p>
        </w:tc>
        <w:tc>
          <w:tcPr>
            <w:tcW w:w="2393" w:type="dxa"/>
          </w:tcPr>
          <w:p w:rsidR="000F643E" w:rsidRDefault="000F643E" w:rsidP="000F643E">
            <w:r>
              <w:t>da</w:t>
            </w:r>
          </w:p>
        </w:tc>
        <w:tc>
          <w:tcPr>
            <w:tcW w:w="2393" w:type="dxa"/>
          </w:tcPr>
          <w:p w:rsidR="000F643E" w:rsidRDefault="000F643E" w:rsidP="000F643E">
            <w:r>
              <w:t>niska</w:t>
            </w:r>
          </w:p>
        </w:tc>
      </w:tr>
      <w:tr w:rsidR="000F643E">
        <w:tblPrEx>
          <w:tblCellMar>
            <w:top w:w="0" w:type="dxa"/>
            <w:bottom w:w="0" w:type="dxa"/>
          </w:tblCellMar>
        </w:tblPrEx>
        <w:tc>
          <w:tcPr>
            <w:tcW w:w="2392" w:type="dxa"/>
          </w:tcPr>
          <w:p w:rsidR="000F643E" w:rsidRDefault="000F643E" w:rsidP="000F643E">
            <w:r>
              <w:t>Hibridni</w:t>
            </w:r>
          </w:p>
        </w:tc>
        <w:tc>
          <w:tcPr>
            <w:tcW w:w="2393" w:type="dxa"/>
          </w:tcPr>
          <w:p w:rsidR="000F643E" w:rsidRDefault="000F643E" w:rsidP="000F643E">
            <w:r>
              <w:t>djelomično</w:t>
            </w:r>
          </w:p>
        </w:tc>
        <w:tc>
          <w:tcPr>
            <w:tcW w:w="2393" w:type="dxa"/>
          </w:tcPr>
          <w:p w:rsidR="000F643E" w:rsidRDefault="000F643E" w:rsidP="000F643E">
            <w:r>
              <w:t>djelomično</w:t>
            </w:r>
          </w:p>
        </w:tc>
        <w:tc>
          <w:tcPr>
            <w:tcW w:w="2393" w:type="dxa"/>
          </w:tcPr>
          <w:p w:rsidR="000F643E" w:rsidRDefault="000F643E" w:rsidP="000F643E">
            <w:r>
              <w:t>srednja</w:t>
            </w:r>
          </w:p>
        </w:tc>
      </w:tr>
    </w:tbl>
    <w:p w:rsidR="000F643E" w:rsidRDefault="000F643E" w:rsidP="000F643E">
      <w:r>
        <w:rPr>
          <w:rStyle w:val="FootnoteReference"/>
        </w:rPr>
        <w:footnoteReference w:id="1"/>
      </w:r>
      <w:r>
        <w:rPr>
          <w:rStyle w:val="FootnoteReference"/>
        </w:rPr>
        <w:footnoteReference w:id="2"/>
      </w:r>
      <w:r>
        <w:rPr>
          <w:rStyle w:val="FootnoteReference"/>
        </w:rPr>
        <w:footnoteReference w:id="3"/>
      </w:r>
    </w:p>
    <w:p w:rsidR="000F643E" w:rsidRDefault="000F643E" w:rsidP="000F643E">
      <w:r>
        <w:t>Izvor: Izrada autora prema pregledanoj literaturi.</w:t>
      </w:r>
    </w:p>
    <w:p w:rsidR="000F643E" w:rsidRDefault="000F643E" w:rsidP="000F643E">
      <w:r>
        <w:t>Tablica 2. Tri ishoda ovisno o tome što se isporučuje uz procjenu</w:t>
      </w:r>
    </w:p>
    <w:tbl>
      <w:tblPr>
        <w:tblW w:w="0" w:type="auto"/>
        <w:tblLayout w:type="fixed"/>
        <w:tblLook w:val="0000" w:firstRow="0" w:lastRow="0" w:firstColumn="0" w:lastColumn="0" w:noHBand="0" w:noVBand="0"/>
      </w:tblPr>
      <w:tblGrid>
        <w:gridCol w:w="3190"/>
        <w:gridCol w:w="3190"/>
        <w:gridCol w:w="3191"/>
      </w:tblGrid>
      <w:tr w:rsidR="000F643E">
        <w:tblPrEx>
          <w:tblCellMar>
            <w:top w:w="0" w:type="dxa"/>
            <w:bottom w:w="0" w:type="dxa"/>
          </w:tblCellMar>
        </w:tblPrEx>
        <w:tc>
          <w:tcPr>
            <w:tcW w:w="3190" w:type="dxa"/>
          </w:tcPr>
          <w:p w:rsidR="000F643E" w:rsidRDefault="000F643E" w:rsidP="000F643E">
            <w:r>
              <w:t>Što se isporučuje</w:t>
            </w:r>
          </w:p>
        </w:tc>
        <w:tc>
          <w:tcPr>
            <w:tcW w:w="3190" w:type="dxa"/>
          </w:tcPr>
          <w:p w:rsidR="000F643E" w:rsidRDefault="000F643E" w:rsidP="000F643E">
            <w:r>
              <w:t>Odluka je ponovljiva</w:t>
            </w:r>
          </w:p>
        </w:tc>
        <w:tc>
          <w:tcPr>
            <w:tcW w:w="3191" w:type="dxa"/>
          </w:tcPr>
          <w:p w:rsidR="000F643E" w:rsidRDefault="000F643E" w:rsidP="000F643E">
            <w:r>
              <w:t>Rizik je poznat</w:t>
            </w:r>
          </w:p>
        </w:tc>
      </w:tr>
      <w:tr w:rsidR="000F643E">
        <w:tblPrEx>
          <w:tblCellMar>
            <w:top w:w="0" w:type="dxa"/>
            <w:bottom w:w="0" w:type="dxa"/>
          </w:tblCellMar>
        </w:tblPrEx>
        <w:tc>
          <w:tcPr>
            <w:tcW w:w="3190" w:type="dxa"/>
          </w:tcPr>
          <w:p w:rsidR="000F643E" w:rsidRDefault="000F643E" w:rsidP="000F643E">
            <w:r>
              <w:t>Samo vrijednost</w:t>
            </w:r>
          </w:p>
        </w:tc>
        <w:tc>
          <w:tcPr>
            <w:tcW w:w="3190" w:type="dxa"/>
          </w:tcPr>
          <w:p w:rsidR="000F643E" w:rsidRDefault="000F643E" w:rsidP="000F643E">
            <w:r>
              <w:t>ne</w:t>
            </w:r>
          </w:p>
        </w:tc>
        <w:tc>
          <w:tcPr>
            <w:tcW w:w="3191" w:type="dxa"/>
          </w:tcPr>
          <w:p w:rsidR="000F643E" w:rsidRDefault="000F643E" w:rsidP="000F643E">
            <w:r>
              <w:t>ne</w:t>
            </w:r>
          </w:p>
        </w:tc>
      </w:tr>
      <w:tr w:rsidR="000F643E">
        <w:tblPrEx>
          <w:tblCellMar>
            <w:top w:w="0" w:type="dxa"/>
            <w:bottom w:w="0" w:type="dxa"/>
          </w:tblCellMar>
        </w:tblPrEx>
        <w:tc>
          <w:tcPr>
            <w:tcW w:w="3190" w:type="dxa"/>
          </w:tcPr>
          <w:p w:rsidR="000F643E" w:rsidRDefault="000F643E" w:rsidP="000F643E">
            <w:r>
              <w:t>Vrijednost i raspon</w:t>
            </w:r>
          </w:p>
        </w:tc>
        <w:tc>
          <w:tcPr>
            <w:tcW w:w="3190" w:type="dxa"/>
          </w:tcPr>
          <w:p w:rsidR="000F643E" w:rsidRDefault="000F643E" w:rsidP="000F643E">
            <w:r>
              <w:t>ne</w:t>
            </w:r>
          </w:p>
        </w:tc>
        <w:tc>
          <w:tcPr>
            <w:tcW w:w="3191" w:type="dxa"/>
          </w:tcPr>
          <w:p w:rsidR="000F643E" w:rsidRDefault="000F643E" w:rsidP="000F643E">
            <w:r>
              <w:t>da</w:t>
            </w:r>
          </w:p>
        </w:tc>
      </w:tr>
      <w:tr w:rsidR="000F643E">
        <w:tblPrEx>
          <w:tblCellMar>
            <w:top w:w="0" w:type="dxa"/>
            <w:bottom w:w="0" w:type="dxa"/>
          </w:tblCellMar>
        </w:tblPrEx>
        <w:tc>
          <w:tcPr>
            <w:tcW w:w="3190" w:type="dxa"/>
          </w:tcPr>
          <w:p w:rsidR="000F643E" w:rsidRDefault="000F643E" w:rsidP="000F643E">
            <w:r>
              <w:t>Vrijednost, raspon i prag</w:t>
            </w:r>
          </w:p>
        </w:tc>
        <w:tc>
          <w:tcPr>
            <w:tcW w:w="3190" w:type="dxa"/>
          </w:tcPr>
          <w:p w:rsidR="000F643E" w:rsidRDefault="000F643E" w:rsidP="000F643E">
            <w:r>
              <w:t>da</w:t>
            </w:r>
          </w:p>
        </w:tc>
        <w:tc>
          <w:tcPr>
            <w:tcW w:w="3191" w:type="dxa"/>
          </w:tcPr>
          <w:p w:rsidR="000F643E" w:rsidRDefault="000F643E" w:rsidP="000F643E">
            <w:r>
              <w:t>da</w:t>
            </w:r>
          </w:p>
        </w:tc>
      </w:tr>
    </w:tbl>
    <w:p w:rsidR="000F643E" w:rsidRDefault="000F643E" w:rsidP="000F643E"/>
    <w:p w:rsidR="000F643E" w:rsidRDefault="000F643E" w:rsidP="000F643E">
      <w:r>
        <w:t>Izvor: Izrada autora.</w:t>
      </w:r>
    </w:p>
    <w:p w:rsidR="000F643E" w:rsidRDefault="000F643E" w:rsidP="000F643E">
      <w:r>
        <w:rPr>
          <w:noProof/>
        </w:rPr>
        <w:drawing>
          <wp:inline distT="0" distB="0" distL="0" distR="0">
            <wp:extent cx="1524213" cy="952633"/>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1524213" cy="952633"/>
                    </a:xfrm>
                    <a:prstGeom prst="rect">
                      <a:avLst/>
                    </a:prstGeom>
                  </pic:spPr>
                </pic:pic>
              </a:graphicData>
            </a:graphic>
          </wp:inline>
        </w:drawing>
      </w:r>
    </w:p>
    <w:p w:rsidR="000F643E" w:rsidRDefault="000F643E" w:rsidP="000F643E">
      <w:r>
        <w:t>Slika 1. Odnos cijene lažne uzbune i cijene propuštenog kvara</w:t>
      </w:r>
    </w:p>
    <w:p w:rsidR="000F643E" w:rsidRDefault="000F643E" w:rsidP="000F643E">
      <w:r>
        <w:lastRenderedPageBreak/>
        <w:t>Izvor: Izrada autora.</w:t>
      </w:r>
    </w:p>
    <w:p w:rsidR="000F643E" w:rsidRDefault="000F643E" w:rsidP="000F643E">
      <w:r>
        <w:rPr>
          <w:noProof/>
        </w:rPr>
        <w:drawing>
          <wp:inline distT="0" distB="0" distL="0" distR="0">
            <wp:extent cx="1524213" cy="952633"/>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1524213" cy="952633"/>
                    </a:xfrm>
                    <a:prstGeom prst="rect">
                      <a:avLst/>
                    </a:prstGeom>
                  </pic:spPr>
                </pic:pic>
              </a:graphicData>
            </a:graphic>
          </wp:inline>
        </w:drawing>
      </w:r>
    </w:p>
    <w:p w:rsidR="000F643E" w:rsidRDefault="000F643E" w:rsidP="000F643E">
      <w:r>
        <w:t>Slika 2. Put od procjene do zahvata uz zadan prag djelovanja</w:t>
      </w:r>
    </w:p>
    <w:p w:rsidR="000F643E" w:rsidRDefault="000F643E" w:rsidP="000F643E">
      <w:r>
        <w:t>Izvor: Izrada autora.</w:t>
      </w:r>
    </w:p>
    <w:p w:rsidR="000F643E" w:rsidRDefault="000F643E" w:rsidP="000F643E">
      <w:pPr>
        <w:pStyle w:val="Heading1"/>
      </w:pPr>
      <w:r>
        <w:t>Popis tablica</w:t>
      </w:r>
    </w:p>
    <w:p w:rsidR="000F643E" w:rsidRDefault="000F643E" w:rsidP="000F643E">
      <w:r>
        <w:t>Tablica 1. Usporedba pristupa po zahtjevima prema korisniku</w:t>
      </w:r>
    </w:p>
    <w:p w:rsidR="000F643E" w:rsidRDefault="000F643E" w:rsidP="000F643E">
      <w:r>
        <w:t>Tablica 2. Tri ishoda ovisno o tome što se isporučuje uz procjenu</w:t>
      </w:r>
    </w:p>
    <w:p w:rsidR="000F643E" w:rsidRDefault="000F643E" w:rsidP="000F643E">
      <w:pPr>
        <w:pStyle w:val="Heading1"/>
      </w:pPr>
      <w:r>
        <w:t>Popis slika</w:t>
      </w:r>
    </w:p>
    <w:p w:rsidR="000F643E" w:rsidRDefault="000F643E" w:rsidP="000F643E">
      <w:r>
        <w:t>Slika 1. Odnos cijene lažne uzbune i cijene propuštenog kvara</w:t>
      </w:r>
    </w:p>
    <w:p w:rsidR="000F643E" w:rsidRDefault="000F643E" w:rsidP="000F643E">
      <w:r>
        <w:t>Slika 2. Put od procjene do zahvata uz zadan prag djelovanja</w:t>
      </w:r>
    </w:p>
    <w:p w:rsidR="000F643E" w:rsidRDefault="000F643E" w:rsidP="000F643E">
      <w:pPr>
        <w:pStyle w:val="Heading1"/>
      </w:pPr>
      <w:r>
        <w:t>Literatura</w:t>
      </w:r>
    </w:p>
    <w:p w:rsidR="000F643E" w:rsidRDefault="000F643E" w:rsidP="000F643E">
      <w:r>
        <w:t>1. Paris, P. i Erdogan, F. (1963). A Critical Analysis of Crack Propagation Laws. Journal of Basic Engineering, 85(4), 528-533. https://doi.org/10.1115/1.3656900</w:t>
      </w:r>
    </w:p>
    <w:p w:rsidR="000F643E" w:rsidRDefault="000F643E" w:rsidP="000F643E">
      <w:r>
        <w:t>2. Jardine, A. K. S., Lin, D. i Banjevic, D. (2006). A review on machinery diagnostics and prognostics implementing condition-based maintenance. Mechanical Systems and Signal Processing, 20(7), 1483-1510. https://doi.org/10.1016/j.ymssp.2005.09.012</w:t>
      </w:r>
    </w:p>
    <w:p w:rsidR="000F643E" w:rsidRDefault="000F643E" w:rsidP="000F643E">
      <w:r>
        <w:t>3. Si, X.-S., Wang, W., Hu, C.-H. i Zhou, D.-H. (2011). Remaining useful life estimation: A review on the statistical data driven approaches. European Journal of Operational Research, 213(1), 1-14. https://doi.org/10.1016/j.ejor.2010.11.018</w:t>
      </w:r>
    </w:p>
    <w:p w:rsidR="000F643E" w:rsidRDefault="000F643E" w:rsidP="000F643E">
      <w:r>
        <w:t>4. Lee, J., Wu, F., Zhao, W., Ghaffari, M., Liao, L. i Siegel, D. (2014). Prognostics and health management design for rotary machinery systems. Mechanical Systems and Signal Processing, 42(1-2), 314-334. https://doi.org/10.1016/j.ymssp.2013.06.004</w:t>
      </w:r>
    </w:p>
    <w:p w:rsidR="000F643E" w:rsidRDefault="000F643E" w:rsidP="000F643E">
      <w:r>
        <w:lastRenderedPageBreak/>
        <w:t>5. Heng, A., Zhang, S., Tan, A. C. C. i Mathew, J. (2009). Rotating machinery prognostics: State of the art, challenges and opportunities. Mechanical Systems and Signal Processing, 23(3), 724-739. https://doi.org/10.1016/j.ymssp.2008.06.009</w:t>
      </w:r>
    </w:p>
    <w:p w:rsidR="000F643E" w:rsidRDefault="000F643E" w:rsidP="000F643E">
      <w:r>
        <w:t>6. Sikorska, J. Z., Hodkiewicz, M. i Ma, L. (2011). Prognostic modelling options for remaining useful life estimation by industry. Mechanical Systems and Signal Processing, 25(5), 1803-1836. https://doi.org/10.1016/j.ymssp.2010.11.018</w:t>
      </w:r>
    </w:p>
    <w:p w:rsidR="000F643E" w:rsidRDefault="000F643E" w:rsidP="000F643E">
      <w:r>
        <w:t>7. Zio, E. (2022). Prognostics and Health Management of industrial equipment: state of the art and future directions. Reliability Engineering and System Safety, 218, 108119. https://doi.org/10.1016/j.ress.2021.108119</w:t>
      </w:r>
    </w:p>
    <w:p w:rsidR="000F643E" w:rsidRDefault="000F643E" w:rsidP="000F643E">
      <w:r>
        <w:t>8. Randall, R. B. (2011). Vibration-based Condition Monitoring: Industrial, Aerospace and Automotive Applications. Chichester: John Wiley and Sons.</w:t>
      </w:r>
    </w:p>
    <w:p w:rsidR="000F643E" w:rsidRDefault="000F643E" w:rsidP="000F643E">
      <w:r>
        <w:t>9. Saxena, A., Goebel, K., Simon, D. i Eklund, N. (2008). Damage propagation modeling for aircraft engine run-to-failure simulation. U: Zbornik radova International Conference on Prognostics and Health Management. Denver: IEEE.</w:t>
      </w:r>
    </w:p>
    <w:p w:rsidR="000F643E" w:rsidRDefault="000F643E" w:rsidP="000F643E">
      <w:r>
        <w:t>10. ISO 13381-1:2015. Condition monitoring and diagnostics of machines: Prognostics, Part 1: General guidelines. Ženeva: International Organization for Standardization.</w:t>
      </w:r>
    </w:p>
    <w:p w:rsidR="000F643E" w:rsidRDefault="000F643E" w:rsidP="000F643E">
      <w:r>
        <w:t>11. Kovačević, M. (2026). Prag djelovanja u planiranju održavanja rotacijske opreme. Strojarski vjesnik, 12(2), 45-61. https://doi.org/10.9999/izmisljeni.2026.777</w:t>
      </w:r>
    </w:p>
    <w:p w:rsidR="000F643E" w:rsidRDefault="000F643E" w:rsidP="000F643E">
      <w:r>
        <w:t>12. Šimunić, D. i Barić, T. (2025). Nesigurnost procjene preostalog vijeka u industrijskom pogonu. Zbornik Fakulteta strojarstva i brodogradnje, 41(1), 88-104.</w:t>
      </w:r>
    </w:p>
    <w:p w:rsidR="000F643E" w:rsidRDefault="000F643E" w:rsidP="000F643E">
      <w:r>
        <w:t>13. Grgić, I. (2024). Vibracijske značajke i njihova prenosivost među režimima rada. Tehnički glasnik, 18(3), 210-219.</w:t>
      </w:r>
    </w:p>
    <w:p w:rsidR="000F643E" w:rsidRDefault="000F643E" w:rsidP="000F643E">
      <w:r>
        <w:t>14. Novosel, P. (2023). Cenzurirani zapisi u analizi pouzdanosti rotacijske opreme. Zagreb: Naklada Tehnika.</w:t>
      </w:r>
    </w:p>
    <w:p w:rsidR="000F643E" w:rsidRDefault="000F643E" w:rsidP="000F643E">
      <w:r>
        <w:t>15. Vachtsevanos, G., Lewis, F., Roemer, M., Hess, A. i Wu, B. (2006). Intelligent Fault Diagnosis and Prognosis for Engineering Systems. Hoboken: John Wiley and Sons.</w:t>
      </w:r>
    </w:p>
    <w:p w:rsidR="000F643E" w:rsidRDefault="000F643E" w:rsidP="000F643E">
      <w:r>
        <w:t>16. Bolander, N., Qiu, H., Eklund, N., Hindle, E. i Rosenfeld, T. (2009). Physics-based remaining useful life prediction for aircraft engine bearing prognosis. U: Zbornik radova Annual Conference of the Prognostics and Health Management Society. San Diego: PHM Society.</w:t>
      </w:r>
    </w:p>
    <w:p w:rsidR="000F643E" w:rsidRDefault="000F643E" w:rsidP="000F643E">
      <w:r>
        <w:lastRenderedPageBreak/>
        <w:t>17. Lei, Y., Li, N., Guo, L., Li, N., Yan, T. i Lin, J. (2018). Machinery health prognostics: A systematic review from data acquisition to RUL prediction. Mechanical Systems and Signal Processing, 104, 799-834. https://doi.org/10.1016/j.ymssp.2017.11.016</w:t>
      </w:r>
    </w:p>
    <w:p w:rsidR="000F643E" w:rsidRDefault="000F643E" w:rsidP="000F643E">
      <w:r>
        <w:t>18. Pavlić, K. (2022). Održavanje prema stanju u procesnoj industriji: pregled primjene. Goriva i maziva, 61(4), 302-315.</w:t>
      </w:r>
    </w:p>
    <w:p w:rsidR="000F643E" w:rsidRPr="000F643E" w:rsidRDefault="000F643E" w:rsidP="000F643E">
      <w:bookmarkStart w:id="0" w:name="_GoBack"/>
      <w:bookmarkEnd w:id="0"/>
    </w:p>
    <w:sectPr w:rsidR="000F643E" w:rsidRPr="000F643E" w:rsidSect="000F643E">
      <w:pgSz w:w="11906" w:h="16838"/>
      <w:pgMar w:top="1134" w:right="1134" w:bottom="1134"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F643E" w:rsidRDefault="000F643E" w:rsidP="000F643E">
      <w:pPr>
        <w:spacing w:after="0" w:line="240" w:lineRule="auto"/>
      </w:pPr>
      <w:r>
        <w:separator/>
      </w:r>
    </w:p>
  </w:endnote>
  <w:endnote w:type="continuationSeparator" w:id="0">
    <w:p w:rsidR="000F643E" w:rsidRDefault="000F643E" w:rsidP="000F64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F643E" w:rsidRDefault="000F643E" w:rsidP="000F643E">
      <w:pPr>
        <w:spacing w:after="0" w:line="240" w:lineRule="auto"/>
      </w:pPr>
      <w:r>
        <w:separator/>
      </w:r>
    </w:p>
  </w:footnote>
  <w:footnote w:type="continuationSeparator" w:id="0">
    <w:p w:rsidR="000F643E" w:rsidRDefault="000F643E" w:rsidP="000F643E">
      <w:pPr>
        <w:spacing w:after="0" w:line="240" w:lineRule="auto"/>
      </w:pPr>
      <w:r>
        <w:continuationSeparator/>
      </w:r>
    </w:p>
  </w:footnote>
  <w:footnote w:id="1">
    <w:p w:rsidR="000F643E" w:rsidRPr="000F643E" w:rsidRDefault="000F643E">
      <w:pPr>
        <w:pStyle w:val="FootnoteText"/>
        <w:rPr>
          <w:lang w:val="hr-HR"/>
        </w:rPr>
      </w:pPr>
      <w:r>
        <w:rPr>
          <w:rStyle w:val="FootnoteReference"/>
        </w:rPr>
        <w:footnoteRef/>
      </w:r>
      <w:r>
        <w:t xml:space="preserve"> </w:t>
      </w:r>
      <w:r>
        <w:rPr>
          <w:lang w:val="hr-HR"/>
        </w:rPr>
        <w:t>Cenzuriran zapis je onaj u kojem je stroj uklonjen iz pogona prije kvara, pa je poznato samo da je do tog trenutka bio ispravan.</w:t>
      </w:r>
    </w:p>
  </w:footnote>
  <w:footnote w:id="2">
    <w:p w:rsidR="000F643E" w:rsidRPr="000F643E" w:rsidRDefault="000F643E">
      <w:pPr>
        <w:pStyle w:val="FootnoteText"/>
        <w:rPr>
          <w:lang w:val="hr-HR"/>
        </w:rPr>
      </w:pPr>
      <w:r>
        <w:rPr>
          <w:rStyle w:val="FootnoteReference"/>
        </w:rPr>
        <w:footnoteRef/>
      </w:r>
      <w:r>
        <w:t xml:space="preserve"> </w:t>
      </w:r>
      <w:r>
        <w:rPr>
          <w:lang w:val="hr-HR"/>
        </w:rPr>
        <w:t>Preostali vijek trajanja u ovom se radu izražava u satima rada, a ne u kalendarskim danima, jer je potrošnja vijeka vezana uz rad, ne uz protek vremena.</w:t>
      </w:r>
    </w:p>
  </w:footnote>
  <w:footnote w:id="3">
    <w:p w:rsidR="000F643E" w:rsidRPr="000F643E" w:rsidRDefault="000F643E">
      <w:pPr>
        <w:pStyle w:val="FootnoteText"/>
        <w:rPr>
          <w:lang w:val="hr-HR"/>
        </w:rPr>
      </w:pPr>
      <w:r>
        <w:rPr>
          <w:rStyle w:val="FootnoteReference"/>
        </w:rPr>
        <w:footnoteRef/>
      </w:r>
      <w:r>
        <w:t xml:space="preserve"> </w:t>
      </w:r>
      <w:r>
        <w:rPr>
          <w:lang w:val="hr-HR"/>
        </w:rPr>
        <w:t>Pod rotacijskom opremom ovdje se razumijevaju pumpe, ventilatori, kompresori i njihovi pogonski sklopovi u kontinuiranom industrijskom pogonu.</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643E"/>
    <w:rsid w:val="000F643E"/>
    <w:rsid w:val="005A73EC"/>
    <w:rsid w:val="006702EF"/>
    <w:rsid w:val="00D110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360" w:lineRule="auto"/>
      <w:jc w:val="both"/>
    </w:pPr>
    <w:rPr>
      <w:rFonts w:ascii="Times New Roman" w:hAnsi="Times New Roman" w:cs="Times New Roman"/>
      <w:sz w:val="24"/>
    </w:rPr>
  </w:style>
  <w:style w:type="paragraph" w:styleId="Heading1">
    <w:name w:val="heading 1"/>
    <w:basedOn w:val="Normal"/>
    <w:next w:val="Normal"/>
    <w:link w:val="Heading1Char"/>
    <w:uiPriority w:val="9"/>
    <w:qFormat/>
    <w:rsid w:val="000F643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F643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43E"/>
    <w:rPr>
      <w:rFonts w:asciiTheme="majorHAnsi" w:eastAsiaTheme="majorEastAsia" w:hAnsiTheme="majorHAnsi" w:cstheme="majorBidi"/>
      <w:b/>
      <w:bCs/>
      <w:color w:val="365F91" w:themeColor="accent1" w:themeShade="BF"/>
      <w:sz w:val="28"/>
      <w:szCs w:val="28"/>
    </w:rPr>
  </w:style>
  <w:style w:type="paragraph" w:styleId="FootnoteText">
    <w:name w:val="footnote text"/>
    <w:basedOn w:val="Normal"/>
    <w:link w:val="FootnoteTextChar"/>
    <w:uiPriority w:val="99"/>
    <w:semiHidden/>
    <w:unhideWhenUsed/>
    <w:rsid w:val="000F643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F643E"/>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0F643E"/>
    <w:rPr>
      <w:vertAlign w:val="superscript"/>
    </w:rPr>
  </w:style>
  <w:style w:type="character" w:customStyle="1" w:styleId="Heading2Char">
    <w:name w:val="Heading 2 Char"/>
    <w:basedOn w:val="DefaultParagraphFont"/>
    <w:link w:val="Heading2"/>
    <w:uiPriority w:val="9"/>
    <w:rsid w:val="000F643E"/>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0F64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643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360" w:lineRule="auto"/>
      <w:jc w:val="both"/>
    </w:pPr>
    <w:rPr>
      <w:rFonts w:ascii="Times New Roman" w:hAnsi="Times New Roman" w:cs="Times New Roman"/>
      <w:sz w:val="24"/>
    </w:rPr>
  </w:style>
  <w:style w:type="paragraph" w:styleId="Heading1">
    <w:name w:val="heading 1"/>
    <w:basedOn w:val="Normal"/>
    <w:next w:val="Normal"/>
    <w:link w:val="Heading1Char"/>
    <w:uiPriority w:val="9"/>
    <w:qFormat/>
    <w:rsid w:val="000F643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F643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43E"/>
    <w:rPr>
      <w:rFonts w:asciiTheme="majorHAnsi" w:eastAsiaTheme="majorEastAsia" w:hAnsiTheme="majorHAnsi" w:cstheme="majorBidi"/>
      <w:b/>
      <w:bCs/>
      <w:color w:val="365F91" w:themeColor="accent1" w:themeShade="BF"/>
      <w:sz w:val="28"/>
      <w:szCs w:val="28"/>
    </w:rPr>
  </w:style>
  <w:style w:type="paragraph" w:styleId="FootnoteText">
    <w:name w:val="footnote text"/>
    <w:basedOn w:val="Normal"/>
    <w:link w:val="FootnoteTextChar"/>
    <w:uiPriority w:val="99"/>
    <w:semiHidden/>
    <w:unhideWhenUsed/>
    <w:rsid w:val="000F643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F643E"/>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0F643E"/>
    <w:rPr>
      <w:vertAlign w:val="superscript"/>
    </w:rPr>
  </w:style>
  <w:style w:type="character" w:customStyle="1" w:styleId="Heading2Char">
    <w:name w:val="Heading 2 Char"/>
    <w:basedOn w:val="DefaultParagraphFont"/>
    <w:link w:val="Heading2"/>
    <w:uiPriority w:val="9"/>
    <w:rsid w:val="000F643E"/>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0F64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643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18</Pages>
  <Words>5895</Words>
  <Characters>33605</Characters>
  <Application>Microsoft Office Word</Application>
  <DocSecurity>0</DocSecurity>
  <Lines>280</Lines>
  <Paragraphs>78</Paragraphs>
  <ScaleCrop>false</ScaleCrop>
  <Company>HT</Company>
  <LinksUpToDate>false</LinksUpToDate>
  <CharactersWithSpaces>39422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2026-09-12T14:15:00Z</dcterms:created>
  <dcterms:modified xsi:type="dcterms:W3CDTF">2026-09-12T14:16:00Z</dcterms:modified>
</cp:coreProperties>
</file>