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slovnica"/>
        <w:bidi w:val="0"/>
        <w:spacing w:lineRule="auto" w:line="360" w:before="113" w:after="113"/>
        <w:jc w:val="center"/>
        <w:rPr/>
      </w:pPr>
      <w:r>
        <w:rPr/>
        <w:t>SVEUČILIŠTE U ZAGREBU</w:t>
      </w:r>
    </w:p>
    <w:p>
      <w:pPr>
        <w:pStyle w:val="Naslovnica"/>
        <w:bidi w:val="0"/>
        <w:spacing w:lineRule="auto" w:line="360" w:before="113" w:after="113"/>
        <w:jc w:val="center"/>
        <w:rPr/>
      </w:pPr>
      <w:r>
        <w:rPr/>
      </w:r>
    </w:p>
    <w:p>
      <w:pPr>
        <w:pStyle w:val="Naslovnica"/>
        <w:bidi w:val="0"/>
        <w:spacing w:lineRule="auto" w:line="360" w:before="113" w:after="113"/>
        <w:jc w:val="center"/>
        <w:rPr/>
      </w:pPr>
      <w:r>
        <w:rPr/>
        <w:t>MEDICINSKI FAKULTET</w:t>
      </w:r>
    </w:p>
    <w:p>
      <w:pPr>
        <w:pStyle w:val="Naslovnica"/>
        <w:bidi w:val="0"/>
        <w:spacing w:lineRule="auto" w:line="360" w:before="113" w:after="113"/>
        <w:jc w:val="center"/>
        <w:rPr/>
      </w:pPr>
      <w:r>
        <w:rPr/>
      </w:r>
    </w:p>
    <w:p>
      <w:pPr>
        <w:pStyle w:val="Naslovnica"/>
        <w:bidi w:val="0"/>
        <w:spacing w:lineRule="auto" w:line="360" w:before="113" w:after="113"/>
        <w:jc w:val="center"/>
        <w:rPr/>
      </w:pPr>
      <w:r>
        <w:rPr/>
        <w:t>Marta Kovačević</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studiji Medicinskog fakulteta</w:t>
      </w:r>
    </w:p>
    <w:p>
      <w:pPr>
        <w:pStyle w:val="Naslovnica"/>
        <w:bidi w:val="0"/>
        <w:spacing w:lineRule="auto" w:line="360" w:before="113" w:after="113"/>
        <w:jc w:val="center"/>
        <w:rPr/>
      </w:pPr>
      <w:r>
        <w:rPr/>
      </w:r>
    </w:p>
    <w:p>
      <w:pPr>
        <w:pStyle w:val="Naslovnica"/>
        <w:bidi w:val="0"/>
        <w:spacing w:lineRule="auto" w:line="360" w:before="113" w:after="113"/>
        <w:jc w:val="center"/>
        <w:rPr/>
      </w:pPr>
      <w:r>
        <w:rPr/>
        <w:t>Antimikrobna rezistencija u bolničkom okruženju: nadzor potrošnje antibiotika i mjere upravljanja</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sdt>
      <w:sdtPr>
        <w:docPartObj>
          <w:docPartGallery w:val="Table of Contents"/>
          <w:docPartUnique w:val="true"/>
        </w:docPartObj>
      </w:sdtPr>
      <w:sdtContent>
        <w:p>
          <w:pPr>
            <w:pStyle w:val="TOCHeading"/>
            <w:bidi w:val="0"/>
            <w:rPr/>
          </w:pPr>
          <w:r>
            <w:rPr/>
            <w:t>Sadržaj</w:t>
          </w:r>
        </w:p>
      </w:sdtContent>
    </w:sdt>
    <w:p>
      <w:pPr>
        <w:pStyle w:val="Heading1"/>
        <w:bidi w:val="0"/>
        <w:ind w:hanging="0" w:left="0"/>
        <w:rPr/>
      </w:pPr>
      <w:r>
        <w:rPr/>
        <w:t>Sažetak</w:t>
      </w:r>
    </w:p>
    <w:p>
      <w:pPr>
        <w:pStyle w:val="BodyText"/>
        <w:bidi w:val="0"/>
        <w:spacing w:lineRule="auto" w:line="360" w:before="0" w:after="120"/>
        <w:rPr/>
      </w:pPr>
      <w:r>
        <w:rPr/>
        <w:t>Nadzor potrošnje antibiotika postao je standardni dio programa upravljanja antibioticima u bolnicama, a njegovi se pokazatelji redovito prikazuju kao mjera uspjeha. Ovaj rad ispituje koliko taj nadzor doista pomiče rezistenciju unutar jedne ustanove i pod kojim uvjetima. Rad je pojmovno-raspravni pregled i ne donosi vlastito empirijsko istraživanje. Razmatraju se tri skupine pitanja: što mjerne jedinice potrošnje mjere i što sustavno propuštaju, kako se odnos potrošnje i rezistencije mijenja ovisno o tome promatra li se ustanova ili pojedini bolesnik, te koliko prijenos unutar ustanove i dolazak već koloniziranih bolesnika objašnjavaju ono što se pripisuje propisivanju. Zaključak je da je nadzor potrošnje nužan, ali nedostatan uvjet: bez mjerenja na razini bolesnika, bez istodobnih mjera kontrole infekcija i bez povratne informacije odjelu, promjena pokazatelja potrošnje ne mora značiti promjenu rezistencije.</w:t>
      </w:r>
    </w:p>
    <w:p>
      <w:pPr>
        <w:pStyle w:val="BodyText"/>
        <w:bidi w:val="0"/>
        <w:spacing w:lineRule="auto" w:line="360" w:before="0" w:after="120"/>
        <w:rPr/>
      </w:pPr>
      <w:r>
        <w:rPr/>
        <w:t>Ključne riječi: antimikrobna rezistencija, potrošnja antibiotika, upravljanje antibioticima, kontrola infekcija, bolnička epidemiologija</w:t>
      </w:r>
    </w:p>
    <w:p>
      <w:pPr>
        <w:pStyle w:val="Heading1"/>
        <w:bidi w:val="0"/>
        <w:ind w:hanging="0" w:left="0"/>
        <w:rPr/>
      </w:pPr>
      <w:r>
        <w:rPr/>
        <w:t>Abstract</w:t>
      </w:r>
    </w:p>
    <w:p>
      <w:pPr>
        <w:pStyle w:val="BodyText"/>
        <w:bidi w:val="0"/>
        <w:spacing w:lineRule="auto" w:line="360" w:before="0" w:after="120"/>
        <w:rPr/>
      </w:pPr>
      <w:r>
        <w:rPr/>
        <w:t>Surveillance of antibiotic consumption has become a standard component of hospital antimicrobial stewardship programmes, and its indicators are routinely presented as a measure of success. This thesis examines how far such surveillance actually shifts resistance within a single institution, and under what conditions. The work is a conceptual review and presents no original empirical research. Three groups of questions are addressed: what consumption metrics measure and what they systematically omit, how the relationship between consumption and resistance changes depending on whether the unit of observation is the institution or the individual patient, and how much within-institution transmission and the admission of already colonised patients explain what is commonly attributed to prescribing. The conclusion is that consumption surveillance is a necessary but insufficient condition: without patient-level measurement, concurrent infection control measures and feedback to the ward, a change in consumption indicators need not mean a change in resistance.</w:t>
      </w:r>
    </w:p>
    <w:p>
      <w:pPr>
        <w:pStyle w:val="BodyText"/>
        <w:bidi w:val="0"/>
        <w:spacing w:lineRule="auto" w:line="360" w:before="0" w:after="120"/>
        <w:rPr/>
      </w:pPr>
      <w:r>
        <w:rPr/>
        <w:t>Keywords: antimicrobial resistance, antibiotic consumption, antimicrobial stewardship, infection control, hospital epidemiology</w:t>
      </w:r>
    </w:p>
    <w:p>
      <w:pPr>
        <w:pStyle w:val="Heading1"/>
        <w:bidi w:val="0"/>
        <w:ind w:hanging="0" w:left="0"/>
        <w:rPr/>
      </w:pPr>
      <w:r>
        <w:rPr/>
        <w:t>1. Uvod</w:t>
      </w:r>
    </w:p>
    <w:p>
      <w:pPr>
        <w:pStyle w:val="Heading2"/>
        <w:bidi w:val="0"/>
        <w:ind w:hanging="0" w:left="0"/>
        <w:rPr/>
      </w:pPr>
      <w:r>
        <w:rPr/>
        <w:t>1.1. Problem i njegov opseg</w:t>
      </w:r>
    </w:p>
    <w:p>
      <w:pPr>
        <w:pStyle w:val="BodyText"/>
        <w:bidi w:val="0"/>
        <w:spacing w:lineRule="auto" w:line="360" w:before="0" w:after="120"/>
        <w:rPr/>
      </w:pPr>
      <w:r>
        <w:rPr/>
        <w:t>Antimikrobna rezistencija rijetko dolazi pred kliničara kao apstraktan pojam. Dolazi kao nalaz koji stiže trećega dana, kada je empirijska terapija već započeta, i koji pokazuje da odabrani lijek ne djeluje na izolirani soj. U tom trenutku rezistencija nije više mikrobiološka kategorija nego organizacijski problem: treba promijeniti terapiju, procijeniti je li bolesnik u međuvremenu pogoršan, i odlučiti hoće li se mijenjati postupak i kod ostalih bolesnika na odjelu. Upravo zato se rezistencija u bolnici ne može razumjeti samo kao svojstvo bakterije. Ona je istodobno svojstvo ustanove, njezinih navika propisivanja, njezinih putova prijenosa i njezine sposobnosti da promjenu uopće primijeti.</w:t>
      </w:r>
    </w:p>
    <w:p>
      <w:pPr>
        <w:pStyle w:val="BodyText"/>
        <w:bidi w:val="0"/>
        <w:spacing w:lineRule="auto" w:line="360" w:before="0" w:after="120"/>
        <w:rPr/>
      </w:pPr>
      <w:r>
        <w:rPr/>
        <w:t>Opseg problema opisuju nadzorne mreže koje prikupljaju podatke iz nacionalnih laboratorija i objavljuju ih u usporedivom obliku. Te mreže pokazuju da udio rezistentnih izolata za pojedine kombinacije mikroorganizma i lijeka raste, da razlike među zemljama ostaju velike i da se dio tih razlika poklapa s razlikama u ukupnoj potrošnji antibiotika. Poklapanje na razini zemalja lako se čita kao uputa za pojedinu ustanovu, i upravo je to čitanje glavni predmet ovog rada. Podatak koji vrijedi za sustav ne mora vrijediti za bolnicu, a podatak koji vrijedi za bolnicu ne mora vrijediti za pojedinog bolesnika.</w:t>
      </w:r>
    </w:p>
    <w:p>
      <w:pPr>
        <w:pStyle w:val="BodyText"/>
        <w:bidi w:val="0"/>
        <w:spacing w:lineRule="auto" w:line="360" w:before="0" w:after="120"/>
        <w:rPr/>
      </w:pPr>
      <w:r>
        <w:rPr/>
        <w:t>Praktična posljedica tog nesporazuma vidljiva je u načinu na koji ustanove izvještavaju o svom radu. Program upravljanja antibioticima najčešće prikazuje smanjenje potrošnje kao svoj rezultat, jer je potrošnja podatak koji ustanova ima, koji se lako izračuna i koji se može prikazati kao krivulja kroz godine. Rezistencija je podatak koji se dobiva sporije, ovisi o broju uzoraka i o tome tko je uopće uzorkovan, i mijenja se kroz razdoblja dulja od jednog izvještajnog ciklusa. Razlika u dostupnosti tih dvaju podataka tiho oblikuje ono što se smatra uspjehom.</w:t>
      </w:r>
    </w:p>
    <w:p>
      <w:pPr>
        <w:pStyle w:val="BodyText"/>
        <w:bidi w:val="0"/>
        <w:spacing w:lineRule="auto" w:line="360" w:before="0" w:after="120"/>
        <w:rPr/>
      </w:pPr>
      <w:r>
        <w:rPr/>
        <w:t>Vrijedi odmah razlikovati dva pitanja koja se u raspravama o rezistenciji stalno spajaju. Jedno je pitanje javnog zdravstva i tiče se ukupne količine antibiotika koju neko društvo potroši, uključujući veterinarsku primjenu i primjenu u zajednici. Drugo je pitanje pojedine ustanove i tiče se toga što ona može promijeniti unutar svojih zidova u razdoblju koje može pratiti. Prvo pitanje ima jasan odgovor u smjeru manje potrošnje. Drugo nema jednako jasan odgovor, jer bolnica nije zatvoren sustav nego prima i otpušta bolesnike koji sa sobom nose vlastitu mikrobiološku prošlost.</w:t>
      </w:r>
    </w:p>
    <w:p>
      <w:pPr>
        <w:pStyle w:val="Heading2"/>
        <w:bidi w:val="0"/>
        <w:ind w:hanging="0" w:left="0"/>
        <w:rPr/>
      </w:pPr>
      <w:r>
        <w:rPr/>
        <w:t>1.2. Cilj i istraživačko pitanje</w:t>
      </w:r>
    </w:p>
    <w:p>
      <w:pPr>
        <w:pStyle w:val="BodyText"/>
        <w:bidi w:val="0"/>
        <w:spacing w:lineRule="auto" w:line="360" w:before="0" w:after="120"/>
        <w:rPr/>
      </w:pPr>
      <w:r>
        <w:rPr/>
        <w:t>Cilj je ovog rada razdvojiti dvije tvrdnje koje se u raspravi o upravljanju antibioticima često izgovaraju kao jedna. Prva glasi da je smanjenje nepotrebne primjene antibiotika dobro samo po sebi, jer smanjuje nuspojave, troškove i izloženost bolesnika lijeku koji mu ne koristi. Druga glasi da će to smanjenje pomaknuti udio rezistentnih izolata u toj istoj ustanovi, i to u razdoblju u kojem će se promjena moći pripisati programu. Prva je tvrdnja slabo sporna. Druga je uvjetna, a uvjeti se rijetko izgovaraju.</w:t>
      </w:r>
    </w:p>
    <w:p>
      <w:pPr>
        <w:pStyle w:val="BodyText"/>
        <w:bidi w:val="0"/>
        <w:spacing w:lineRule="auto" w:line="360" w:before="0" w:after="120"/>
        <w:rPr/>
      </w:pPr>
      <w:r>
        <w:rPr/>
        <w:t>Istraživačko pitanje rada zato glasi: koliko nadzor potrošnje antibiotika doista pomiče rezistenciju u jednoj ustanovi, i pod kojim uvjetima. Pitanje je namjerno postavljeno na razini ustanove, jer je to razina na kojoj se odluke donose i na kojoj se programi ocjenjuju. Nije postavljeno na razini zemlje, gdje je povezanost potrošnje i rezistencije opisana u više neovisnih izvora, niti na razini pojedinog bolesnika, gdje je mehanizam najjasniji ali je zaključak najuži.</w:t>
      </w:r>
    </w:p>
    <w:p>
      <w:pPr>
        <w:pStyle w:val="BodyText"/>
        <w:bidi w:val="0"/>
        <w:spacing w:lineRule="auto" w:line="360" w:before="0" w:after="120"/>
        <w:rPr/>
      </w:pPr>
      <w:r>
        <w:rPr/>
        <w:t>Rad ne donosi vlastito empirijsko istraživanje. Sve brojčane tvrdnje pripisuju se objavljenim izvorima, a ondje gdje je veličina učinka predmet spora, spor se opisuje umjesto da se razrješava presudom koju građa ne podupire. Takvo ograničenje nije samo formalno: pregled koji bi izmislio vlastite podatke bio bi neupotrebljiv upravo za pitanje koje postavlja, jer bi ponovio grešku koju rad opisuje, a to je pripisivanje značenja brojci čije podrijetlo nije provjereno.</w:t>
      </w:r>
    </w:p>
    <w:p>
      <w:pPr>
        <w:pStyle w:val="BodyText"/>
        <w:bidi w:val="0"/>
        <w:spacing w:lineRule="auto" w:line="360" w:before="0" w:after="120"/>
        <w:rPr/>
      </w:pPr>
      <w:r>
        <w:rPr/>
        <w:t>Vrijedi unaprijed reći i što rad ne pokušava. Ne pokušava ocijeniti pojedinu intervenciju kao bolju od druge, jer bi takva ocjena tražila usporedbu koju građa ne podupire. Ne pokušava ni ponuditi gotov obrazac programa, jer se udio prijenosa i udio selekcije razlikuju među ustanovama toliko da bi svaki opći obrazac bio pogrešan za dio njih. Rad nudi postupak provjere i popis uvjeta, i to je namjerno uža ambicija od one koja se u ovom području obično izgovara.</w:t>
      </w:r>
    </w:p>
    <w:p>
      <w:pPr>
        <w:pStyle w:val="Heading2"/>
        <w:bidi w:val="0"/>
        <w:ind w:hanging="0" w:left="0"/>
        <w:rPr/>
      </w:pPr>
      <w:r>
        <w:rPr/>
        <w:t>1.3. Struktura rada</w:t>
      </w:r>
    </w:p>
    <w:p>
      <w:pPr>
        <w:pStyle w:val="BodyText"/>
        <w:bidi w:val="0"/>
        <w:spacing w:lineRule="auto" w:line="360" w:before="0" w:after="120"/>
        <w:rPr/>
      </w:pPr>
      <w:r>
        <w:rPr/>
        <w:t>Rad je podijeljen u osam poglavlja. Drugo poglavlje uspostavlja pojmove i razlikuje rezistenciju, kolonizaciju i infekciju, jer se ta tri stanja u ustanovi rutinski miješaju, a mjere koje iz njih slijede nisu iste. Treće poglavlje opisuje kako se potrošnja mjeri i što mjerne jedinice ne obuhvaćaju. Četvrto opisuje programe upravljanja antibioticima i njihove sastavnice, s naglaskom na razliku između mjere koja zabranjuje i mjere koja vraća informaciju.</w:t>
      </w:r>
    </w:p>
    <w:p>
      <w:pPr>
        <w:pStyle w:val="BodyText"/>
        <w:bidi w:val="0"/>
        <w:spacing w:lineRule="auto" w:line="360" w:before="0" w:after="120"/>
        <w:rPr/>
      </w:pPr>
      <w:r>
        <w:rPr/>
        <w:t>Peto poglavlje ulazi u središnje pitanje i razdvaja ekološku razinu od razine bolesnika. Šesto poglavlje razmatra kontrolu infekcija kao suparničko objašnjenje, dakle kao skup mjera koje mogu proizvesti isti pomak u pokazateljima bez ijedne promjene u propisivanju. Sedmo poglavlje sabire dokaze po osima i imenuje uvjete pod kojima program daje mjerljiv učinak, a osmo odgovara na istraživačko pitanje i navodi ono što ostaje otvoreno.</w:t>
      </w:r>
    </w:p>
    <w:p>
      <w:pPr>
        <w:pStyle w:val="Heading1"/>
        <w:bidi w:val="0"/>
        <w:ind w:hanging="0" w:left="0"/>
        <w:rPr/>
      </w:pPr>
      <w:r>
        <w:rPr/>
        <w:t>2. Antimikrobna rezistencija kao klinički i javnozdravstveni problem</w:t>
      </w:r>
    </w:p>
    <w:p>
      <w:pPr>
        <w:pStyle w:val="Heading2"/>
        <w:bidi w:val="0"/>
        <w:ind w:hanging="0" w:left="0"/>
        <w:rPr/>
      </w:pPr>
      <w:r>
        <w:rPr/>
        <w:t>2.1. Pojmovi: rezistencija, kolonizacija, infekcija</w:t>
      </w:r>
    </w:p>
    <w:p>
      <w:pPr>
        <w:pStyle w:val="BodyText"/>
        <w:bidi w:val="0"/>
        <w:spacing w:lineRule="auto" w:line="360" w:before="0" w:after="120"/>
        <w:rPr/>
      </w:pPr>
      <w:r>
        <w:rPr/>
        <w:t>Rezistencija je svojstvo mikroorganizma, a ne bolesnika. Soj je rezistentan kada koncentracija lijeka koja se u tijelu postiže uobičajenim doziranjem ne zaustavlja njegov rast, pri čemu granicu između osjetljivog i rezistentnog određuju usuglašeni kriteriji koji se povremeno mijenjaju. Ta je napomena važnija nego što se čini: promjena granične vrijednosti mijenja udio rezistentnih izolata bez ijedne promjene u bakterijama, u propisivanju ili u ustanovi. Usporedba kroz godine koja tu promjenu ne uzima u obzir mjeri dijelom sebe samu.</w:t>
      </w:r>
    </w:p>
    <w:p>
      <w:pPr>
        <w:pStyle w:val="BodyText"/>
        <w:bidi w:val="0"/>
        <w:spacing w:lineRule="auto" w:line="360" w:before="0" w:after="120"/>
        <w:rPr/>
      </w:pPr>
      <w:r>
        <w:rPr/>
        <w:t>Kolonizacija znači prisutnost mikroorganizma na koži ili sluznici bez znakova bolesti. Kolonizirani bolesnik nije bolestan i ne treba terapiju, ali jest izvor iz kojega se soj može prenijeti na drugoga i može poslužiti kao rezervoar za kasniju infekciju istog bolesnika. Infekcija je pak stanje u kojem mikroorganizam izaziva bolest, uz kliničku sliku i laboratorijske pokazatelje. Razlika je operativna, ne akademska: mjera koja smanjuje kolonizaciju ne mora smanjiti infekcije u istom razdoblju, a mjera koja smanjuje infekcije ne mora dirati kolonizaciju.</w:t>
      </w:r>
    </w:p>
    <w:p>
      <w:pPr>
        <w:pStyle w:val="BodyText"/>
        <w:bidi w:val="0"/>
        <w:spacing w:lineRule="auto" w:line="360" w:before="0" w:after="120"/>
        <w:rPr/>
      </w:pPr>
      <w:r>
        <w:rPr/>
        <w:t>Zbog tog se razlikovanja definicije višestruke rezistencije usuglašavaju posebno, kako bi se izolati uopće mogli uspoređivati među ustanovama i među zemljama (Magiorakos i sur., 2012). Bez usuglašene definicije, dvije bolnice mogu izvijestiti o različitim udjelima za istu populaciju samo zato što različito broje. U ovom radu pojmovi se drže tog razlikovanja dosljedno, a ondje gdje izvor ne govori jasno o kojem je stanju riječ, to se navodi kao ograničenje, a ne prešućuje.</w:t>
      </w:r>
    </w:p>
    <w:p>
      <w:pPr>
        <w:pStyle w:val="BodyText"/>
        <w:bidi w:val="0"/>
        <w:spacing w:lineRule="auto" w:line="360" w:before="0" w:after="120"/>
        <w:rPr/>
      </w:pPr>
      <w:r>
        <w:rPr/>
        <w:t>Miješanje triju pojmova ima i mjernu posljedicu koja se rijetko primijeti. Kada se u pokazatelj uključe svi izolati, bez obzira na to je li bolesnik bio bolestan, ustanova s razvijenim probirom nalazi više koloniziranih i time povisuje vlastiti udio rezistencije. Ustanova koja probir ne provodi izgleda bolje jer manje gleda. Usporedba dviju takvih ustanova mjeri razliku u nadzoru, a prikazuje se kao razlika u epidemiološkoj situaciji.</w:t>
      </w:r>
    </w:p>
    <w:p>
      <w:pPr>
        <w:pStyle w:val="Heading2"/>
        <w:bidi w:val="0"/>
        <w:ind w:hanging="0" w:left="0"/>
        <w:rPr/>
      </w:pPr>
      <w:r>
        <w:rPr/>
        <w:t>2.2. Mehanizmi nastanka i širenja</w:t>
      </w:r>
    </w:p>
    <w:p>
      <w:pPr>
        <w:pStyle w:val="BodyText"/>
        <w:bidi w:val="0"/>
        <w:spacing w:lineRule="auto" w:line="360" w:before="0" w:after="120"/>
        <w:rPr/>
      </w:pPr>
      <w:r>
        <w:rPr/>
        <w:t>Rezistencija nastaje na dva bitno različita načina, i ta razlika određuje domet svake mjere. Prvi je put mutacija u vlastitom genomu bakterije, koja pod pritiskom lijeka daje prednost onim stanicama koje su lijek preživjele. Drugi je put stjecanje gotovog gena od druge bakterije, često i od druge vrste, putem pokretnih genetičkih elemenata. Prvi put objašnjava zašto se rezistencija javlja upravo ondje gdje se lijek najviše koristi. Drugi objašnjava zašto se može pojaviti i ondje gdje ga gotovo nema.</w:t>
      </w:r>
    </w:p>
    <w:p>
      <w:pPr>
        <w:pStyle w:val="BodyText"/>
        <w:bidi w:val="0"/>
        <w:spacing w:lineRule="auto" w:line="360" w:before="0" w:after="120"/>
        <w:rPr/>
      </w:pPr>
      <w:r>
        <w:rPr/>
        <w:t>Horizontalni prijenos gena vezan je uz plazmide, transpozone i integrone, dakle uz strukture koje mogu nositi više gena rezistencije odjednom. Posljedica je da izloženost jednom lijeku može održati rezistenciju na drugi, ako su njihovi geni na istom elementu. Ta pojava, poznata kao suselekcija, jedno je od objašnjenja zašto smanjenje potrošnje pojedine skupine lijekova ne mora vratiti osjetljivost na tu skupinu. Mjera koja gađa jedan lijek djeluje na paket koji taj lijek ne obuhvaća sam.</w:t>
      </w:r>
    </w:p>
    <w:p>
      <w:pPr>
        <w:pStyle w:val="BodyText"/>
        <w:bidi w:val="0"/>
        <w:spacing w:lineRule="auto" w:line="360" w:before="0" w:after="120"/>
        <w:rPr/>
      </w:pPr>
      <w:r>
        <w:rPr/>
        <w:t>U bolničkom okolišu oba se puta odvijaju istodobno i pojačavaju se međusobno. Visoka gustoća izloženih bolesnika daje mutacijama više prilika, a blizina i zajednička oprema daju prijenosu više putova. Zbog toga je pitanje udjela, a ne isključivosti: koliko od zatečene rezistencije u nekoj jedinici dolazi od selekcije unutar bolesnika, a koliko od prijenosa gotovog soja između bolesnika. Odgovor se razlikuje po vrsti mikroorganizma i po vrsti odjela, a rad mu se vraća u petom i šestom poglavlju.</w:t>
      </w:r>
    </w:p>
    <w:p>
      <w:pPr>
        <w:pStyle w:val="BodyText"/>
        <w:bidi w:val="0"/>
        <w:spacing w:lineRule="auto" w:line="360" w:before="0" w:after="120"/>
        <w:rPr/>
      </w:pPr>
      <w:r>
        <w:rPr/>
        <w:t>Za praksu je važno da mehanizam određuje očekivano vrijeme odgovora na mjeru. Ako rezistencija u nekoj jedinici pretežno dolazi od prijenosa, pojačane mjere kontrole infekcija mogu dati vidljiv pomak u tjednima. Ako pretežno dolazi od selekcije, promjena propisivanja djeluje sporije i preko drugačijeg puta. Program koji ne zna koji od dvaju mehanizama nosi njegov problem ne može ni procijeniti je li izostanak učinka znak da mjera ne radi ili znak da je mjerenje prekratko.</w:t>
      </w:r>
    </w:p>
    <w:p>
      <w:pPr>
        <w:pStyle w:val="BodyText"/>
        <w:bidi w:val="0"/>
        <w:spacing w:lineRule="auto" w:line="360" w:before="0" w:after="120"/>
        <w:rPr/>
      </w:pPr>
      <w:r>
        <w:rPr/>
        <w:t>Osobitost bolničkih sojeva jest da često nose više gena rezistencije odjednom, pa se ne mogu opisati kao rezistentni na jedan lijek. Takav soj preživljava izloženost različitim skupinama lijekova, a svaka od tih izloženosti održava cijeli paket. Zbog toga se u ustanovi rijetko događa da smanjenje jedne skupine vrati osjetljivost, jer ostale skupine nastavljaju obavljati isti posao održavanja. Praktična posljedica jest da mjere usmjerene na jedan lijek imaju uži doseg nego što se očekuje, a mjere usmjerene na ukupno trajanje izloženosti šire.</w:t>
      </w:r>
    </w:p>
    <w:p>
      <w:pPr>
        <w:pStyle w:val="BodyText"/>
        <w:bidi w:val="0"/>
        <w:spacing w:lineRule="auto" w:line="360" w:before="0" w:after="120"/>
        <w:rPr/>
      </w:pPr>
      <w:r>
        <w:rPr/>
        <w:t>Postoji i put koji ne prolazi kroz bolesnika. Geni rezistencije nalaze se u okolišu, u otpadnim vodama i u sustavima koji su dio bolničke infrastrukture, primjerice u sifonima i vlažnim prostorima. Iz tih se rezervoara sojevi vraćaju u kliničku okolinu neovisno o propisivanju. Ustanove koje su takve rezervoare istražile nalazile su ih kao objašnjenje za dugotrajne pojave koje nijedna promjena terapije nije pomaknula, i tek je zahvat u infrastrukturu donio prekid.</w:t>
      </w:r>
    </w:p>
    <w:p>
      <w:pPr>
        <w:pStyle w:val="Heading2"/>
        <w:bidi w:val="0"/>
        <w:ind w:hanging="0" w:left="0"/>
        <w:rPr/>
      </w:pPr>
      <w:r>
        <w:rPr/>
        <w:t>2.3. Selekcijski pritisak i njegove granice</w:t>
      </w:r>
    </w:p>
    <w:p>
      <w:pPr>
        <w:pStyle w:val="BodyText"/>
        <w:bidi w:val="0"/>
        <w:spacing w:lineRule="auto" w:line="360" w:before="0" w:after="120"/>
        <w:rPr/>
      </w:pPr>
      <w:r>
        <w:rPr/>
        <w:t>Selekcijski pritisak je najkraće opisan kao prednost koju rezistentne stanice dobivaju dok je lijek prisutan. Prednost nije apsolutna nego relativna: rezistentni soj ne postaje jači, nego preostaje kada osjetljivi nestanu. Ta razlika objašnjava zašto se pritisak može smanjiti na dva načina, kraćom terapijom ili užim spektrom, i zašto ta dva načina ne djeluju na isti dio problema. Kraća terapija skraćuje razdoblje u kojem prednost postoji. Uži spektar sužava krug vrsta na koje se prednost odnosi.</w:t>
      </w:r>
    </w:p>
    <w:p>
      <w:pPr>
        <w:pStyle w:val="BodyText"/>
        <w:bidi w:val="0"/>
        <w:spacing w:lineRule="auto" w:line="360" w:before="0" w:after="120"/>
        <w:rPr/>
      </w:pPr>
      <w:r>
        <w:rPr/>
        <w:t>Pretpostavka koja stoji iza većine programa jest da je odnos pritiska i rezistencije barem djelomično povratan, dakle da smanjenje pritiska vraća udio osjetljivih sojeva. Ta pretpostavka nije općenito potvrđena. Kada je stjecanje rezistencije jeftino za bakteriju, ili kada je gen na elementu koji se održava iz drugog razloga, uklanjanje pritiska ne vraća prijašnje stanje u razdoblju koje ustanova može pratiti. Očekivanje simetričnog povratka zato je jedan od najčešćih izvora razočaranja programima.</w:t>
      </w:r>
    </w:p>
    <w:p>
      <w:pPr>
        <w:pStyle w:val="BodyText"/>
        <w:bidi w:val="0"/>
        <w:spacing w:lineRule="auto" w:line="360" w:before="0" w:after="120"/>
        <w:rPr/>
      </w:pPr>
      <w:r>
        <w:rPr/>
        <w:t>Iz toga slijedi da se cilj programa mora izraziti opreznije nego što se obično izražava. Realan cilj nije vraćanje udjela rezistentnih izolata na neku raniju vrijednost, nego usporavanje njegova rasta i smanjenje broja bolesnika izloženih riziku koji im ne donosi korist. Prvi je cilj neizvjestan i ovisi o mehanizmu; drugi je izvjestan i mjerljiv, i njegova vrijednost ne ovisi o tome hoće li se rezistencija pomaknuti.</w:t>
      </w:r>
    </w:p>
    <w:p>
      <w:pPr>
        <w:pStyle w:val="BodyText"/>
        <w:bidi w:val="0"/>
        <w:spacing w:lineRule="auto" w:line="360" w:before="0" w:after="120"/>
        <w:rPr/>
      </w:pPr>
      <w:r>
        <w:rPr/>
        <w:t>Granica pritiska kao objašnjenja vidi se i u vremenskoj dimenziji. Učinak promjene propisivanja ne pojavljuje se odmah, jer treba proći dovoljno vremena da se sastav populacije mikroorganizama u ustanovi promijeni, a taj sastav istodobno mijenjaju dolasci i odlasci bolesnika. Analiza koja uspoređuje potrošnju i rezistenciju u istom mjesecu zato mjeri odnos koji mehanizam ne predviđa, i njezin izostanak nalaza nije dokaz da mjera ne radi.</w:t>
      </w:r>
    </w:p>
    <w:p>
      <w:pPr>
        <w:pStyle w:val="BodyText"/>
        <w:bidi w:val="0"/>
        <w:spacing w:lineRule="auto" w:line="360" w:before="0" w:after="120"/>
        <w:rPr/>
      </w:pPr>
      <w:r>
        <w:rPr/>
        <w:t>Korisno je razlikovati pritisak koji djeluje na mikroorganizme u bolesniku od pritiska koji djeluje na populaciju u ustanovi. Prvi je izravan i brz: dok lijek traje, u crijevnoj flori bolesnika mijenja se odnos osjetljivih i rezistentnih stanica, i ta se promjena mjeri u danima. Drugi je posredan i spor, jer ovisi o tome koliko takvih bolesnika ustanova ima istodobno i koliko dugo ostaju. Program koji očekuje da će drugi pratiti prvi u istom tromjesečju miješa dvije skale.</w:t>
      </w:r>
    </w:p>
    <w:p>
      <w:pPr>
        <w:pStyle w:val="BodyText"/>
        <w:bidi w:val="0"/>
        <w:spacing w:lineRule="auto" w:line="360" w:before="0" w:after="120"/>
        <w:rPr/>
      </w:pPr>
      <w:r>
        <w:rPr/>
        <w:t>Sam pojam pritiska nosi i pretpostavku o cijeni rezistencije za bakteriju. Ako nošenje gena usporava rast, rezistentni sojevi gube prednost čim lijek nestane, i osjetljivost se vraća. Ako je cijena mala ili je nadoknađena dodatnim mutacijama, gubitka nema. Za pojedine kombinacije mikroorganizma i mehanizma pokazano je upravo drugo, i to objašnjava zašto pojedini oblici rezistencije ostaju u ustanovi godinama nakon što je lijek koji ih je selektirao gotovo napušten.</w:t>
      </w:r>
    </w:p>
    <w:p>
      <w:pPr>
        <w:pStyle w:val="BodyText"/>
        <w:bidi w:val="0"/>
        <w:spacing w:lineRule="auto" w:line="360" w:before="0" w:after="120"/>
        <w:rPr/>
      </w:pPr>
      <w:r>
        <w:rPr/>
        <w:t>Iz svega slijedi da pojam pritiska treba koristiti opisno, a ne kao objašnjenje koje samo sebe potvrđuje. Kada se svaki porast rezistencije pripiše pritisku, a svaki izostanak pada objasni njegovom trajnošću, pojam prestaje biti provjerljiv. Korisnija je uporaba u kojoj se unaprijed kaže na kojoj se skupini mikroorganizama i u kojem roku očekuje pomak, jer se tada izostanak pomaka može pročitati kao nalaz, a ne kao izgovor.</w:t>
      </w:r>
    </w:p>
    <w:p>
      <w:pPr>
        <w:pStyle w:val="Heading2"/>
        <w:bidi w:val="0"/>
        <w:ind w:hanging="0" w:left="0"/>
        <w:rPr/>
      </w:pPr>
      <w:r>
        <w:rPr/>
        <w:t>2.4. Zašto je bolnica poseban okoliš</w:t>
      </w:r>
    </w:p>
    <w:p>
      <w:pPr>
        <w:pStyle w:val="BodyText"/>
        <w:bidi w:val="0"/>
        <w:spacing w:lineRule="auto" w:line="360" w:before="0" w:after="120"/>
        <w:rPr/>
      </w:pPr>
      <w:r>
        <w:rPr/>
        <w:t>Bolnica koncentrira upravo one uvjete koji ubrzavaju i selekciju i prijenos. Bolesnici su izloženiji lijekovima nego u zajednici, češće imaju invazivne pomagala koja zaobilaze prirodne barijere, i borave u prostoru koji dijele s drugima. Osoblje se kreće između bolesnika, oprema se dijeli, a premještaji unutar ustanove miješaju populacije koje bi inače bile odvojene. Svaki od tih čimbenika sam po sebi je skroman, a zajedno čine okoliš u kojem se soj koji se negdje pojavi može proširiti brže nego što ga nadzor primijeti.</w:t>
      </w:r>
    </w:p>
    <w:p>
      <w:pPr>
        <w:pStyle w:val="BodyText"/>
        <w:bidi w:val="0"/>
        <w:spacing w:lineRule="auto" w:line="360" w:before="0" w:after="120"/>
        <w:rPr/>
      </w:pPr>
      <w:r>
        <w:rPr/>
        <w:t>Presječna istraživanja prevalencije bolničkih infekcija pokazuju da znatan udio bolesnika u bilo kojem trenutku prima barem jedan antimikrobni lijek, i da se taj udio razlikuje među vrstama odjela više nego među ustanovama. Jedinice intenzivnog liječenja tu su poseban slučaj, jer spajaju najvišu izloženost lijekovima s najvišom gustoćom invazivnih postupaka i s bolesnicima koji najduže ostaju. Zbog toga se pokazatelji cijele bolnice teško tumače bez raščlambe po odjelima.</w:t>
      </w:r>
    </w:p>
    <w:p>
      <w:pPr>
        <w:pStyle w:val="BodyText"/>
        <w:bidi w:val="0"/>
        <w:spacing w:lineRule="auto" w:line="360" w:before="0" w:after="120"/>
        <w:rPr/>
      </w:pPr>
      <w:r>
        <w:rPr/>
        <w:t>Poseban je i način na koji bolnica saznaje što ima. Podatak o rezistenciji nastaje samo ondje gdje je uzet uzorak, a uzorci se ne uzimaju nasumično nego kada kliničar posumnja na infekciju. Ustanova koja pojača uzorkovanje vidjet će više rezistentnih izolata i bez ijedne stvarne promjene, a ustanova koja ga smanji vidjet će manje. Ta ovisnost nalaza o postupku prikupljanja vraća se kao tema u trećem i petom poglavlju, jer je jedan od glavnih razloga zbog kojih se pokazatelji među ustanovama teško uspoređuju.</w:t>
      </w:r>
    </w:p>
    <w:p>
      <w:pPr>
        <w:pStyle w:val="BodyText"/>
        <w:bidi w:val="0"/>
        <w:spacing w:lineRule="auto" w:line="360" w:before="0" w:after="120"/>
        <w:rPr/>
      </w:pPr>
      <w:r>
        <w:rPr/>
        <w:t>Zajednički prostor u bolnici nije samo soba nego i cijeli niz mjesta kroz koja bolesnik prolazi: prijamna ambulanta, dijagnostika, operacijska dvorana, jedinica za buđenje. Svako od tih mjesta spaja bolesnike koji se inače ne bi susreli i vraća ih na njihove odjele. Nadzor koji promatra samo odjel na kojem bolesnik leži ne vidi te kratke susrete, a upravo su oni objašnjenje za dio prijenosa koji izgleda kao neovisna pojava na više odjela istodobno.</w:t>
      </w:r>
    </w:p>
    <w:p>
      <w:pPr>
        <w:pStyle w:val="BodyText"/>
        <w:bidi w:val="0"/>
        <w:spacing w:lineRule="auto" w:line="360" w:before="0" w:after="120"/>
        <w:rPr/>
      </w:pPr>
      <w:r>
        <w:rPr/>
        <w:t>Osoblje je drugi put koji povezuje inače odvojene jedinice. Liječnici koji rade na više odjela, konzilijarni pregledi i zajedničke službe stvaraju mrežu kontakata koja je mnogo gušća od rasporeda soba. U analizama izbijanja ta se mreža redovito pokazuje kao objašnjenje za slučajeve koji prostorno nisu povezani, i zbog nje se mjere ograničene na jednu jedinicu često pokažu nedostatnima.</w:t>
      </w:r>
    </w:p>
    <w:p>
      <w:pPr>
        <w:pStyle w:val="Heading1"/>
        <w:bidi w:val="0"/>
        <w:ind w:hanging="0" w:left="0"/>
        <w:rPr/>
      </w:pPr>
      <w:r>
        <w:rPr/>
        <w:t>3. Nadzor potrošnje antibiotika</w:t>
      </w:r>
    </w:p>
    <w:p>
      <w:pPr>
        <w:pStyle w:val="Heading2"/>
        <w:bidi w:val="0"/>
        <w:ind w:hanging="0" w:left="0"/>
        <w:rPr/>
      </w:pPr>
      <w:r>
        <w:rPr/>
        <w:t>3.1. Mjerne jedinice: DDD, DOT i LOT</w:t>
      </w:r>
    </w:p>
    <w:p>
      <w:pPr>
        <w:pStyle w:val="BodyText"/>
        <w:bidi w:val="0"/>
        <w:spacing w:lineRule="auto" w:line="360" w:before="0" w:after="120"/>
        <w:rPr/>
      </w:pPr>
      <w:r>
        <w:rPr/>
        <w:t>Potrošnja antibiotika mjeri se u nekoliko jedinica koje se često navode zajedno, a mjere različite stvari. Definirana dnevna doza je pretpostavljena prosječna dnevna doza lijeka u njegovoj glavnoj indikaciji kod odrasle osobe, i ona je jedinica količine. Dani terapije broje svaki dan u kojem je bolesnik primio barem jednu dozu pojedinog lijeka, i to je jedinica izloženosti. Dani liječenja broje dane u kojima je bolesnik primao bilo koji antibiotik, bez obzira na to koliko ih je bilo istodobno.</w:t>
      </w:r>
    </w:p>
    <w:p>
      <w:pPr>
        <w:pStyle w:val="BodyText"/>
        <w:bidi w:val="0"/>
        <w:spacing w:lineRule="auto" w:line="360" w:before="0" w:after="120"/>
        <w:rPr/>
      </w:pPr>
      <w:r>
        <w:rPr/>
        <w:t>Razlika među jedinicama nije tehnička sitnica nego može promijeniti zaključak. Bolesnik koji sedam dana prima tri antibiotika istodobno donosi dvadeset i jedan dan terapije, ali samo sedam dana liječenja. Ustanova koja smanji broj istodobnih lijekova, a ne skrati terapiju, popravit će prvu jedinicu i ne pomaknuti drugu. Program koji izvještava samo u jednoj jedinici može tako prikazati napredak koji u drugoj jedinici ne postoji, pri čemu nijedna brojka nije netočna. Usporedba triju jedinica prikazana je u Tablici 1.</w:t>
      </w:r>
    </w:p>
    <w:p>
      <w:pPr>
        <w:pStyle w:val="BodyText"/>
        <w:bidi w:val="0"/>
        <w:spacing w:lineRule="auto" w:line="360" w:before="0" w:after="120"/>
        <w:rPr/>
      </w:pPr>
      <w:r>
        <w:rPr/>
        <w:t>Definirana dnevna doza ima dodatnu osobitost: ona je pretpostavljena, a ne propisana. Kada je stvarno doziranje u ustanovi više od pretpostavljenog, primjerice kod teških infekcija ili kod bolesnika s povećanim klirensom, ista količina lijeka daje manji broj definiranih dnevnih doza nego što bi se očekivalo iz broja liječenih bolesnika. Jedinica tada podcjenjuje izloženost, i to sustavno, u istom smjeru, kod one skupine bolesnika koja je za rezistenciju najvažnija.</w:t>
      </w:r>
    </w:p>
    <w:p>
      <w:pPr>
        <w:pStyle w:val="BodyText"/>
        <w:bidi w:val="0"/>
        <w:spacing w:lineRule="auto" w:line="360" w:before="0" w:after="120"/>
        <w:rPr/>
      </w:pPr>
      <w:r>
        <w:rPr/>
        <w:t>Zbog toga se u novijim preporukama za bolničku razinu prednost daje danima terapije, dok se definirana dnevna doza zadržava za usporedbe kroz dulja razdoblja i među sustavima. Odabir jedinice mora biti izgovoren prije analize, a ne nakon nje. Program koji jedinicu bira nakon što vidi rezultate ne mjeri potrošnju nego bira prikaz, i takav se izbor u izvještaju rijetko vidi.</w:t>
      </w:r>
    </w:p>
    <w:p>
      <w:pPr>
        <w:pStyle w:val="BodyText"/>
        <w:bidi w:val="0"/>
        <w:spacing w:lineRule="auto" w:line="360" w:before="0" w:after="120"/>
        <w:rPr/>
      </w:pPr>
      <w:r>
        <w:rPr/>
        <w:t>Izbor jedinice mijenja i to koje se intervencije uopće mogu prikazati kao uspješne. Mjera koja skraćuje trajanje terapije vidjet će se u danima terapije i u danima liječenja, ali u definiranim dnevnim dozama tek djelomično, jer se ukupna količina smanjuje razmjerno manje. Mjera koja mijenja izbor lijeka prema užem spektru možda neće promijeniti nijednu od triju jedinica, iako je za rezistenciju najvažnija. Iz toga slijedi da skup pokazatelja mora odgovarati skupu mjera koje ustanova provodi, inače dio rada ostaje nevidljiv.</w:t>
      </w:r>
    </w:p>
    <w:p>
      <w:pPr>
        <w:pStyle w:val="BodyText"/>
        <w:bidi w:val="0"/>
        <w:spacing w:lineRule="auto" w:line="360" w:before="0" w:after="120"/>
        <w:rPr/>
      </w:pPr>
      <w:r>
        <w:rPr/>
        <w:t>Postoji i jedinica koja se rjeđe koristi, a bliska je mehanizmu: udio bolesnika koji je tijekom boravka primio barem jedan antibiotik. Ta mjera ne razlikuje jedan dan od deset, pa je gruba, ali odgovara na pitanje koliko je ljudi uopće izloženo. U ustanovama u kojima je taj udio visok, prostor za smanjenje leži u odluci hoće li se terapija uopće započeti, a ne u njezinu trajanju, i pokazatelji trajanja tu ne pomažu.</w:t>
      </w:r>
    </w:p>
    <w:p>
      <w:pPr>
        <w:pStyle w:val="BodyText"/>
        <w:bidi w:val="0"/>
        <w:spacing w:lineRule="auto" w:line="360" w:before="0" w:after="120"/>
        <w:rPr/>
      </w:pPr>
      <w:r>
        <w:rPr/>
        <w:t>Kod djece nijedna od navedenih jedinica ne radi dobro. Doza ovisi o tjelesnoj masi, referentna dnevna doza je izvedena za odraslu osobu, a dani terapije ne razlikuju novorođenče od adolescenta. U pedijatrijskim ustanovama zato se koriste prilagođene mjere, koje nisu usporedive s onima iz općih bolnica. Prikaz koji spaja te dvije populacije daje broj bez značenja, a takvo spajanje događa se svaki put kada se izvještava na razini cijele ustanove s pedijatrijskim odjelom.</w:t>
      </w:r>
    </w:p>
    <w:p>
      <w:pPr>
        <w:pStyle w:val="Heading2"/>
        <w:bidi w:val="0"/>
        <w:ind w:hanging="0" w:left="0"/>
        <w:rPr/>
      </w:pPr>
      <w:r>
        <w:rPr/>
        <w:t>3.2. ATC/DDD sustav i što on ne mjeri</w:t>
      </w:r>
    </w:p>
    <w:p>
      <w:pPr>
        <w:pStyle w:val="BodyText"/>
        <w:bidi w:val="0"/>
        <w:spacing w:lineRule="auto" w:line="360" w:before="0" w:after="120"/>
        <w:rPr/>
      </w:pPr>
      <w:r>
        <w:rPr/>
        <w:t>Sustav anatomsko-terapijsko-kemijske klasifikacije s pripadajućim definiranim dnevnim dozama omogućio je da se potrošnja uspoređuje među zemljama i kroz vrijeme. Ta usporedivost je njegova glavna vrijednost i razlog zašto se zadržao unatoč poznatim ograničenjima. Sustav dodjeljuje svakom lijeku mjesto u hijerarhiji i jednu referentnu dnevnu dozu, čime svodi raznolikost stvarnog propisivanja na zajedničku mjeru.</w:t>
      </w:r>
    </w:p>
    <w:p>
      <w:pPr>
        <w:pStyle w:val="BodyText"/>
        <w:bidi w:val="0"/>
        <w:spacing w:lineRule="auto" w:line="360" w:before="0" w:after="120"/>
        <w:rPr/>
      </w:pPr>
      <w:r>
        <w:rPr/>
        <w:t>Ono što sustav ne mjeri jednako je važno kao ono što mjeri. Ne mjeri primjerenost indikacije, pa ustanova koja sav svoj antibiotik daje bolesnicima kojima ne treba može imati istu potrošnju kao ustanova koja ga daje ispravno. Ne mjeri trajanje pojedine terapije odvojeno od količine. Ne obuhvaća dobro djecu, jer je referentna doza određena za odraslu osobu, ni bolesnike s bubrežnom insuficijencijom, kod kojih je doza smanjena iz razloga koji nema veze s izloženošću mikroorganizma.</w:t>
      </w:r>
    </w:p>
    <w:p>
      <w:pPr>
        <w:pStyle w:val="BodyText"/>
        <w:bidi w:val="0"/>
        <w:spacing w:lineRule="auto" w:line="360" w:before="0" w:after="120"/>
        <w:rPr/>
      </w:pPr>
      <w:r>
        <w:rPr/>
        <w:t>Iz toga slijedi pravilo koje se u praksi često previdi: definirana dnevna doza je mjera nabave i izdavanja, a tek posredno mjera izloženosti bolesnika. Za pitanja o selekcijskom pritisku unutar ustanove ta razlika je bitna, jer pritisak nastaje u bolesniku, a ne u ljekarni. Ustanova koja želi tvrditi nešto o pritisku mora barem dio podataka voditi na razini bolesnika, inače tvrdi o veličini koju nije mjerila.</w:t>
      </w:r>
    </w:p>
    <w:p>
      <w:pPr>
        <w:pStyle w:val="BodyText"/>
        <w:bidi w:val="0"/>
        <w:spacing w:lineRule="auto" w:line="360" w:before="0" w:after="120"/>
        <w:rPr/>
      </w:pPr>
      <w:r>
        <w:rPr/>
        <w:t>Referentna doza se povremeno mijenja, i te promjene prekidaju vremenske nizove. Kada se za neki lijek definirana dnevna doza poveća, ista stvarna potrošnja daje manji broj jedinica, pa krivulja pada bez ijedne promjene u ustanovi. Ustanove koje niz vode kroz duže razdoblje moraju te promjene bilježiti i, ako uspoređuju godine, preračunati stare vrijednosti prema važećoj definiciji. Taj se korak u praksi često preskoči, a rezultat je pad koji se pripiše programu.</w:t>
      </w:r>
    </w:p>
    <w:p>
      <w:pPr>
        <w:pStyle w:val="BodyText"/>
        <w:bidi w:val="0"/>
        <w:spacing w:lineRule="auto" w:line="360" w:before="0" w:after="120"/>
        <w:rPr/>
      </w:pPr>
      <w:r>
        <w:rPr/>
        <w:t>Sustav je namijenjen usporedbi, a ne procjeni primjerenosti, i to je najvažnija granica njegove primjene. Ustanova koja želi znati je li propisivala ispravno mora pregledati indikacije, a to je posao koji se radi na uzorku povijesti bolesti i ne može se izvesti ni iz jedne količinske jedinice. Programi koji su takav pregled uveli redovito nalaze da je udio neprimjerenih terapija znatno viši nego što bi se iz same potrošnje moglo naslutiti.</w:t>
      </w:r>
    </w:p>
    <w:p>
      <w:pPr>
        <w:pStyle w:val="Heading2"/>
        <w:bidi w:val="0"/>
        <w:ind w:hanging="0" w:left="0"/>
        <w:rPr/>
      </w:pPr>
      <w:r>
        <w:rPr/>
        <w:t>3.3. Usporedivost među ustanovama i među odjelima</w:t>
      </w:r>
    </w:p>
    <w:p>
      <w:pPr>
        <w:pStyle w:val="BodyText"/>
        <w:bidi w:val="0"/>
        <w:spacing w:lineRule="auto" w:line="360" w:before="0" w:after="120"/>
        <w:rPr/>
      </w:pPr>
      <w:r>
        <w:rPr/>
        <w:t>Da bi se potrošnja usporedila, brojnik se dijeli nazivnikom, a izbor nazivnika mijenja rang ustanova. Uobičajeni su nazivnici broj bolesničkih dana i broj otpusta. Prvi favorizira ustanove s duljim ležanjem, jer se ista terapija raspoređuje na više dana. Drugi favorizira ustanove s kraćim ležanjem iz zrcalnog razloga. Ustanova koja skrati prosječno ležanje, a ne promijeni ništa u propisivanju, vidjet će porast potrošnje po bolesničkom danu i pad po otpustu istodobno.</w:t>
      </w:r>
    </w:p>
    <w:p>
      <w:pPr>
        <w:pStyle w:val="BodyText"/>
        <w:bidi w:val="0"/>
        <w:spacing w:lineRule="auto" w:line="360" w:before="0" w:after="120"/>
        <w:rPr/>
      </w:pPr>
      <w:r>
        <w:rPr/>
        <w:t>Sastav bolesnika djeluje jednako snažno. Bolnica s velikim udjelom hematoloških, transplantacijskih ili opeklinskih bolesnika imat će višu potrošnju širokospektralnih lijekova zbog same djelatnosti, a ne zbog navika propisivanja. Usporedba koja to ne uzima u obzir kažnjava ustanove po opsegu posla koji obavljaju. Zbog toga se preporučuje usporedba unutar skupina sličnih odjela, a ne među ukupnim vrijednostima bolnica.</w:t>
      </w:r>
    </w:p>
    <w:p>
      <w:pPr>
        <w:pStyle w:val="BodyText"/>
        <w:bidi w:val="0"/>
        <w:spacing w:lineRule="auto" w:line="360" w:before="0" w:after="120"/>
        <w:rPr/>
      </w:pPr>
      <w:r>
        <w:rPr/>
        <w:t>Praktična posljedica jest da je poredak ustanova gotovo uvijek manje informativan od promjene unutar jedne ustanove kroz vrijeme. Vlastita krivulja kontrolira većinu razlika koje poredak ne kontrolira: sastav bolesnika, djelatnost i način prikupljanja ostaju približno isti iz godine u godinu. Ondje gdje se i to promijeni, primjerice otvaranjem novog odjela, promjena se mora izgovoriti prije nego što se krivulja protumači.</w:t>
      </w:r>
    </w:p>
    <w:p>
      <w:pPr>
        <w:pStyle w:val="BodyText"/>
        <w:bidi w:val="0"/>
        <w:spacing w:lineRule="auto" w:line="360" w:before="0" w:after="120"/>
        <w:rPr/>
      </w:pPr>
      <w:r>
        <w:rPr/>
        <w:t>Ni usporedba unutar ustanove nije bez zamki. Odjeli se razlikuju toliko da ukupna vrijednost bolnice može ostati nepromijenjena dok se dva odjela kreću u suprotnim smjerovima. Prikaz na Slici 1 pokazuje upravo takav slučaj, u kojem zbroj skriva dvije suprotne pojave. Raščlamba po odjelima zato nije dodatak izvještaju nego uvjet da izvještaj išta znači.</w:t>
      </w:r>
    </w:p>
    <w:p>
      <w:pPr>
        <w:pStyle w:val="BodyText"/>
        <w:bidi w:val="0"/>
        <w:spacing w:lineRule="auto" w:line="360" w:before="0" w:after="120"/>
        <w:rPr/>
      </w:pPr>
      <w:r>
        <w:rPr/>
        <w:t>Kod usporedbe odjela javlja se dodatna teškoća s malim jedinicama. Odjel s deset kreveta u pojedinom mjesecu može imati nekoliko bolesnika koji sami određuju cijelu vrijednost pokazatelja, pa se krivulja kreće skokovito bez ikakve promjene u praksi. Za takve se jedinice preporučuje prikaz kroz dulja razdoblja ili spajanje sličnih odjela, uz izričito navođenje da je spajanje napravljeno. Prikaz mjesečnih vrijednosti za malu jedinicu redovito proizvodi rasprave o pomacima kojih nema.</w:t>
      </w:r>
    </w:p>
    <w:p>
      <w:pPr>
        <w:pStyle w:val="BodyText"/>
        <w:bidi w:val="0"/>
        <w:spacing w:lineRule="auto" w:line="360" w:before="0" w:after="120"/>
        <w:rPr/>
      </w:pPr>
      <w:r>
        <w:rPr/>
        <w:t>Usporedba s vanjskom referentnom vrijednošću korisna je samo ako je referenca izvedena iz sličnih ustanova. Prosjek svih bolnica u nekom sustavu spaja klinike i opće bolnice, pa je za obje strane pogrešna mjera. Ondje gdje su dostupne referentne vrijednosti po vrsti ustanove i po vrsti odjela, usporedba postaje informativna, ali i tada ostaje polazište za pitanje, a ne ocjena rada.</w:t>
      </w:r>
    </w:p>
    <w:p>
      <w:pPr>
        <w:pStyle w:val="BodyText"/>
        <w:bidi w:val="0"/>
        <w:spacing w:lineRule="auto" w:line="360" w:before="0" w:after="120"/>
        <w:rPr/>
      </w:pPr>
      <w:r>
        <w:rPr/>
        <w:t>Vrijedi dodati i da usporedivost ovisi o tome tko podatke priprema. Ako svaka ustanova sama izvodi izračun iz vlastitog sustava, razlike u tumačenju definicija ulaze u rezultat prije nego što ga itko usporedi. Mreže koje su uvele zajedničku skriptu i zajedničku provjeru podataka smanjile su taj izvor razlika, i njihova su izvješća upravo zato usporediva na način na koji zbrojevi pojedinačnih ustanova nisu.</w:t>
      </w:r>
    </w:p>
    <w:p>
      <w:pPr>
        <w:pStyle w:val="Heading2"/>
        <w:bidi w:val="0"/>
        <w:ind w:hanging="0" w:left="0"/>
        <w:rPr/>
      </w:pPr>
      <w:r>
        <w:rPr/>
        <w:t>3.4. Izvori podataka i njihova pouzdanost</w:t>
      </w:r>
    </w:p>
    <w:p>
      <w:pPr>
        <w:pStyle w:val="BodyText"/>
        <w:bidi w:val="0"/>
        <w:spacing w:lineRule="auto" w:line="360" w:before="0" w:after="120"/>
        <w:rPr/>
      </w:pPr>
      <w:r>
        <w:rPr/>
        <w:t>Podatak o potrošnji putuje kroz nekoliko koraka i na svakom gubi dio značenja. Nastaje kao izdavanje iz bolničke ljekarne prema odjelu, zatim se pripisuje odjelu kao potrošnja, i tek se u nekim ustanovama povezuje s pojedinim bolesnikom. Izdavanje nije primjena: lijek izdan odjelu može biti primijenjen kasnije, vraćen ili bačen. Kod skupih lijekova razlika je mala, jer se pomno prati, a kod jeftinih zna biti znatna.</w:t>
      </w:r>
    </w:p>
    <w:p>
      <w:pPr>
        <w:pStyle w:val="BodyText"/>
        <w:bidi w:val="0"/>
        <w:spacing w:lineRule="auto" w:line="360" w:before="0" w:after="120"/>
        <w:rPr/>
      </w:pPr>
      <w:r>
        <w:rPr/>
        <w:t>Elektronički zapis o primjeni terapije, ondje gdje postoji, uklanja većinu tog jaza jer bilježi što je bolesnik doista primio i kada. Njegovo uvođenje istodobno mijenja i vremenski niz, pa se vrijednosti prije i poslije uvođenja ne smiju uspoređivati bez ograde. Ustanove koje su tu promjenu prešutjele u svojim izvještajima proizvele su prividne skokove potrošnje koji nisu imali nikakve veze s propisivanjem.</w:t>
      </w:r>
    </w:p>
    <w:p>
      <w:pPr>
        <w:pStyle w:val="BodyText"/>
        <w:bidi w:val="0"/>
        <w:spacing w:lineRule="auto" w:line="360" w:before="0" w:after="120"/>
        <w:rPr/>
      </w:pPr>
      <w:r>
        <w:rPr/>
        <w:t>Za ovaj rad iz toga slijedi metodološka napomena koja vrijedi i za svaki program: prije nego se protumači bilo koja promjena pokazatelja, mora se provjeriti je li se u istom razdoblju promijenilo išta u načinu prikupljanja. Promjena sustava, promjena šifrarnika, promjena nazivnika i promjena granične vrijednosti u laboratoriju sve su kandidati za objašnjenje koje s propisivanjem nema veze.</w:t>
      </w:r>
    </w:p>
    <w:p>
      <w:pPr>
        <w:pStyle w:val="BodyText"/>
        <w:bidi w:val="0"/>
        <w:spacing w:lineRule="auto" w:line="360" w:before="0" w:after="120"/>
        <w:rPr/>
      </w:pPr>
      <w:r>
        <w:rPr/>
        <w:t>Pripisivanje potrošnje odjelu nosi vlastitu pogrešku. Lijek izdan jednom odjelu može biti primijenjen bolesniku koji je u međuvremenu premješten, a zalihe koje odjel drži zamagljuju odnos između izdavanja i primjene u istom razdoblju. U ustanovama s velikim brojem premještaja ta pogreška nije zanemariva i sustavno opterećuje odjele koji primaju bolesnike iz jedinica intenzivnog liječenja.</w:t>
      </w:r>
    </w:p>
    <w:p>
      <w:pPr>
        <w:pStyle w:val="BodyText"/>
        <w:bidi w:val="0"/>
        <w:spacing w:lineRule="auto" w:line="360" w:before="0" w:after="120"/>
        <w:rPr/>
      </w:pPr>
      <w:r>
        <w:rPr/>
        <w:t>Kvaliteta mikrobiološkog podatka jednako je važna kao i kvaliteta podatka o potrošnji, a rjeđe se propituje. Udio rezistentnih izolata računa se iz onoga što je poslano u laboratorij, pa promjena praga za slanje uzorka mijenja i brojnik i nazivnik. Ustanova koja uvede protokol uzorkovanja pri sumnji na infekciju vidjet će drugačiju sliku od one koja uzorkuje tek nakon neuspjeha prve terapije, a razlika nema veze sa stvarnom rezistencijom.</w:t>
      </w:r>
    </w:p>
    <w:p>
      <w:pPr>
        <w:pStyle w:val="Heading1"/>
        <w:bidi w:val="0"/>
        <w:ind w:hanging="0" w:left="0"/>
        <w:rPr/>
      </w:pPr>
      <w:r>
        <w:rPr/>
        <w:t>4. Programi upravljanja antibioticima</w:t>
      </w:r>
    </w:p>
    <w:p>
      <w:pPr>
        <w:pStyle w:val="Heading2"/>
        <w:bidi w:val="0"/>
        <w:ind w:hanging="0" w:left="0"/>
        <w:rPr/>
      </w:pPr>
      <w:r>
        <w:rPr/>
        <w:t>4.1. Sastav tima i podjela uloga</w:t>
      </w:r>
    </w:p>
    <w:p>
      <w:pPr>
        <w:pStyle w:val="BodyText"/>
        <w:bidi w:val="0"/>
        <w:spacing w:lineRule="auto" w:line="360" w:before="0" w:after="120"/>
        <w:rPr/>
      </w:pPr>
      <w:r>
        <w:rPr/>
        <w:t>Program upravljanja antibioticima podrazumijeva tim s jasno podijeljenim ulogama, a ne popis preporuka na mrežnim stranicama ustanove. Smjernice stručnih društava opisuju jezgru tima koju čine infektolog i bolnički farmaceut s posebnim znanjem iz područja, uz mikrobiologa i epidemiologa kao redovite sudionike (Barlam i sur., 2016). Uloge nisu zamjenjive: mikrobiolog tumači nalaz, farmaceut prati izloženost i doziranje, infektolog odlučuje o terapiji, a epidemiolog povezuje pojedinačne slučajeve s obrascem u ustanovi.</w:t>
      </w:r>
    </w:p>
    <w:p>
      <w:pPr>
        <w:pStyle w:val="BodyText"/>
        <w:bidi w:val="0"/>
        <w:spacing w:lineRule="auto" w:line="360" w:before="0" w:after="120"/>
        <w:rPr/>
      </w:pPr>
      <w:r>
        <w:rPr/>
        <w:t>Uvjet koji se najčešće previdi jest namjensko vrijeme. Tim sastavljen od ljudi koji taj posao rade uz redovne obveze proizvodi preporuke, ali ne stiže pratiti njihovo prihvaćanje, a upravo je praćenje ono što daje učinak. Ustanove koje su program uvele bez izdvojenog vremena redovito izvještavaju o početnom pomaku koji se u drugoj godini gubi, i to bez ijedne promjene u sadržaju preporuka.</w:t>
      </w:r>
    </w:p>
    <w:p>
      <w:pPr>
        <w:pStyle w:val="BodyText"/>
        <w:bidi w:val="0"/>
        <w:spacing w:lineRule="auto" w:line="360" w:before="0" w:after="120"/>
        <w:rPr/>
      </w:pPr>
      <w:r>
        <w:rPr/>
        <w:t>Potpora uprave djeluje kroz isti mehanizam, iako se obično navodi odvojeno. Uprava ne mijenja propisivanje izravno, nego određuje hoće li tim imati vrijeme, pristup podacima i ovlast da traži obrazloženje. Ondje gdje ta tri uvjeta nisu ispunjena, program postoji na papiru i u izvještajima, a njegova mjerljivost je prividna.</w:t>
      </w:r>
    </w:p>
    <w:p>
      <w:pPr>
        <w:pStyle w:val="BodyText"/>
        <w:bidi w:val="0"/>
        <w:spacing w:lineRule="auto" w:line="360" w:before="0" w:after="120"/>
        <w:rPr/>
      </w:pPr>
      <w:r>
        <w:rPr/>
        <w:t>Uloga bolničkog farmaceuta u opisanoj podjeli često se podcjenjuje jer se doživljava kao administrativna. U praksi je upravo farmaceut onaj koji vidi cjelinu terapije pojedinog bolesnika, uključujući interakcije, doziranje prema bubrežnoj funkciji i trajanje, i koji može primijetiti obrazac koji se ponavlja kroz više bolesnika. Ustanove koje su farmaceutu dale namjensko vrijeme za tu ulogu izvještavaju o većem broju prihvaćenih intervencija nego one koje su se oslonile isključivo na konzilijarni pregled.</w:t>
      </w:r>
    </w:p>
    <w:p>
      <w:pPr>
        <w:pStyle w:val="BodyText"/>
        <w:bidi w:val="0"/>
        <w:spacing w:lineRule="auto" w:line="360" w:before="0" w:after="120"/>
        <w:rPr/>
      </w:pPr>
      <w:r>
        <w:rPr/>
        <w:t>Podjela uloga mora obuhvatiti i ono što tim ne radi. Program koji preuzme odgovornost za svaku pojedinu odluku o terapiji stvara ovisnost i gubi se u obimu posla, a istodobno oslobađa odjel odgovornosti za vlastito propisivanje. Trajniji je raspored u kojem tim postavlja okvir, prati odstupanja i intervenira usmjereno, dok odluku i dalje nosi liječnik koji bolesnika vodi.</w:t>
      </w:r>
    </w:p>
    <w:p>
      <w:pPr>
        <w:pStyle w:val="BodyText"/>
        <w:bidi w:val="0"/>
        <w:spacing w:lineRule="auto" w:line="360" w:before="0" w:after="120"/>
        <w:rPr/>
      </w:pPr>
      <w:r>
        <w:rPr/>
        <w:t>Kontinuitet osoblja jednako je važan kao njegov sastav. Program koji ovisi o jednoj osobi prestaje raditi kada ta osoba ode, i to se u praksi vidi kao nagli prekid krivulje bez ijedne službene odluke. Ustanove koje su uloge preslikale na barem dvije osobe po svakoj funkciji preživjele su takve promjene, a one koje nisu ponavljale su uvođenje programa svakih nekoliko godina, svaki put od početka.</w:t>
      </w:r>
    </w:p>
    <w:p>
      <w:pPr>
        <w:pStyle w:val="Heading2"/>
        <w:bidi w:val="0"/>
        <w:ind w:hanging="0" w:left="0"/>
        <w:rPr/>
      </w:pPr>
      <w:r>
        <w:rPr/>
        <w:t>4.2. Restriktivne mjere</w:t>
      </w:r>
    </w:p>
    <w:p>
      <w:pPr>
        <w:pStyle w:val="BodyText"/>
        <w:bidi w:val="0"/>
        <w:spacing w:lineRule="auto" w:line="360" w:before="0" w:after="120"/>
        <w:rPr/>
      </w:pPr>
      <w:r>
        <w:rPr/>
        <w:t>Restriktivne mjere uvjetuju propisivanje pojedinih lijekova prethodnim odobrenjem ili ih ograničavaju na unaprijed određene indikacije. Njihova je prednost brzina: učinak na potrošnju ograničene skupine vidljiv je gotovo odmah, jer mjera djeluje na mjestu odluke. Ta brzina objašnjava zašto se restrikcija često bira kao prva mjera, osobito kada ustanova mora pokazati rezultat u kratkom roku.</w:t>
      </w:r>
    </w:p>
    <w:p>
      <w:pPr>
        <w:pStyle w:val="BodyText"/>
        <w:bidi w:val="0"/>
        <w:spacing w:lineRule="auto" w:line="360" w:before="0" w:after="120"/>
        <w:rPr/>
      </w:pPr>
      <w:r>
        <w:rPr/>
        <w:t>Cijena se plaća na dva mjesta. Prvo, restrikcija pomiče propisivanje prema lijekovima koji nisu ograničeni, pa ukupna izloženost može ostati ista uz drugačiji sastav. Drugo, mjera koja se doživljava kao prepreka izaziva zaobilaženje: propisivanje se pomiče u sate kada odobrenje nije dostupno, ili se indikacija prilagođava obrascu koji prolazi. Oba učinka smanjuju vrijednost pokazatelja koji mjeri samo ograničenu skupinu.</w:t>
      </w:r>
    </w:p>
    <w:p>
      <w:pPr>
        <w:pStyle w:val="BodyText"/>
        <w:bidi w:val="0"/>
        <w:spacing w:lineRule="auto" w:line="360" w:before="0" w:after="120"/>
        <w:rPr/>
      </w:pPr>
      <w:r>
        <w:rPr/>
        <w:t>Zbog toga se restrikcija u novijim preporukama rijetko predlaže kao samostalna mjera, nego kao dio kombinacije u kojoj drugu polovicu nosi mjera koja objašnjava umjesto da zabranjuje. Sustavni pregledi intervencija u bolnicama pokazuju da su mjere koje uključuju povratnu informaciju u pravilu trajnije od onih koje se oslanjaju samo na ograničenje (Davey i sur., 2017).</w:t>
      </w:r>
    </w:p>
    <w:p>
      <w:pPr>
        <w:pStyle w:val="BodyText"/>
        <w:bidi w:val="0"/>
        <w:spacing w:lineRule="auto" w:line="360" w:before="0" w:after="120"/>
        <w:rPr/>
      </w:pPr>
      <w:r>
        <w:rPr/>
        <w:t>Restrikcija ima i vremensku osobitost koja se rijetko planira. Njezin je učinak najveći odmah nakon uvođenja, a zatim slabi kako se propisivači prilagode postupku i nauče koje formulacije prolaze. Programi koji su mjeru ostavili nepromijenjenom kroz godine redovito bilježe povratak potrošnje prema polazištu, bez ijedne službene izmjene pravila. Održavanje učinka traži povremeno preispitivanje popisa ograničenih lijekova i razloga zbog kojih je svaki na njemu.</w:t>
      </w:r>
    </w:p>
    <w:p>
      <w:pPr>
        <w:pStyle w:val="BodyText"/>
        <w:bidi w:val="0"/>
        <w:spacing w:lineRule="auto" w:line="360" w:before="0" w:after="120"/>
        <w:rPr/>
      </w:pPr>
      <w:r>
        <w:rPr/>
        <w:t>Postoji i skupina situacija u kojima je restrikcija jedini razuman odabir. Kada je riječ o lijeku posljednje linije, kod kojeg svaka nepotrebna primjena troši resurs koji se ne obnavlja, ograničenje se ne opravdava učinkom na ukupne pokazatelje nego čuvanjem mogućnosti liječenja za buduće bolesnike. Ta se svrha razlikuje od svrhe smanjenja pritiska i treba je izgovoriti odvojeno, jer se i mjeri drugačije.</w:t>
      </w:r>
    </w:p>
    <w:p>
      <w:pPr>
        <w:pStyle w:val="BodyText"/>
        <w:bidi w:val="0"/>
        <w:spacing w:lineRule="auto" w:line="360" w:before="0" w:after="120"/>
        <w:rPr/>
      </w:pPr>
      <w:r>
        <w:rPr/>
        <w:t>Postoji i tiha cijena koja se ne vidi u pokazateljima potrošnje. Postupak odobravanja troši vrijeme kliničara i člana tima, i to u satima kada je oboje najpotrebnije drugdje. Ustanove koje su mjeru uvele bez procjene tog opterećenja nalazile su da je najveći otpor dolazio od kašnjenja u primjeni prve doze, a ne od nesuglasica oko izbora lijeka.</w:t>
      </w:r>
    </w:p>
    <w:p>
      <w:pPr>
        <w:pStyle w:val="Heading2"/>
        <w:bidi w:val="0"/>
        <w:ind w:hanging="0" w:left="0"/>
        <w:rPr/>
      </w:pPr>
      <w:r>
        <w:rPr/>
        <w:t>4.3. Prospektivni audit i povratna informacija</w:t>
      </w:r>
    </w:p>
    <w:p>
      <w:pPr>
        <w:pStyle w:val="BodyText"/>
        <w:bidi w:val="0"/>
        <w:spacing w:lineRule="auto" w:line="360" w:before="0" w:after="120"/>
        <w:rPr/>
      </w:pPr>
      <w:r>
        <w:rPr/>
        <w:t>Prospektivni audit znači da član tima pregledava tekuće terapije i s propisivačem razgovara o njima dok se odluka još može promijeniti. Za razliku od restrikcije, mjera ne uklanja odluku iz ruku kliničara nego joj dodaje drugo mišljenje. Time se mijenja i odnos: propisivač ne dobiva zabranu nego obrazloženje, a obrazloženje se prenosi na sljedeće slučajeve koje tim neće vidjeti.</w:t>
      </w:r>
    </w:p>
    <w:p>
      <w:pPr>
        <w:pStyle w:val="BodyText"/>
        <w:bidi w:val="0"/>
        <w:spacing w:lineRule="auto" w:line="360" w:before="0" w:after="120"/>
        <w:rPr/>
      </w:pPr>
      <w:r>
        <w:rPr/>
        <w:t>Povratna informacija odjelu djeluje na drugoj vremenskoj skali od pojedinačnog razgovora. Redovit prikaz vlastitih pokazatelja odjelu, uz usporedbu sa sličnim odjelima, mijenja normu prije nego pojedinu odluku. Ustanove koje su takav prikaz uvele izvještavaju o promjenama koje se zadržavaju i nakon što se učestalost pojedinačnih intervencija smanji, što upućuje na to da je nositelj učinka norma, a ne nadzor.</w:t>
      </w:r>
    </w:p>
    <w:p>
      <w:pPr>
        <w:pStyle w:val="BodyText"/>
        <w:bidi w:val="0"/>
        <w:spacing w:lineRule="auto" w:line="360" w:before="0" w:after="120"/>
        <w:rPr/>
      </w:pPr>
      <w:r>
        <w:rPr/>
        <w:t>Oblik povratne informacije nije nevažan. Prikaz koji odjel ne prepoznaje kao svoj, ili koji stiže s odgodom od nekoliko mjeseci, tumači se kao administrativna obveza i ne mijenja ništa. Prikaz koji koristi jedinice bliske svakodnevnom radu, primjerice dane terapije po bolesniku umjesto ukupnih količina, lakše se povezuje s odlukama koje odjel doista donosi.</w:t>
      </w:r>
    </w:p>
    <w:p>
      <w:pPr>
        <w:pStyle w:val="BodyText"/>
        <w:bidi w:val="0"/>
        <w:spacing w:lineRule="auto" w:line="360" w:before="0" w:after="120"/>
        <w:rPr/>
      </w:pPr>
      <w:r>
        <w:rPr/>
        <w:t>Iz istog razloga povratna informacija mora sadržavati i ishod, ne samo potrošnju. Odjel koji vidi da mu je potrošnja pala, a ne vidi je li se išta dogodilo s ishodima bolesnika, opravdano sumnja da mjera štedi na pogrešnom mjestu. Prikaz koji uz potrošnju nosi i pokazatelje sigurnosti uklanja tu sumnju ili je potvrđuje, i u oba je slučaja korisniji od prikaza koji je izbjegava.</w:t>
      </w:r>
    </w:p>
    <w:p>
      <w:pPr>
        <w:pStyle w:val="BodyText"/>
        <w:bidi w:val="0"/>
        <w:spacing w:lineRule="auto" w:line="360" w:before="0" w:after="120"/>
        <w:rPr/>
      </w:pPr>
      <w:r>
        <w:rPr/>
        <w:t>Način na koji se razgovor vodi utječe na ishod jednako koliko i njegov sadržaj. Intervencija koja se doživi kao provjera nadređenog izaziva obranu, a ona koja se doživi kao drugo mišljenje kolege otvara raspravu o slučaju. Ustanove koje su audit povjerile osobama bez nadzorne uloge izvještavaju o višem prihvaćanju preporuka pri istom stručnom sadržaju, što upućuje na to da je dio učinka odnosne, a ne informacijske naravi.</w:t>
      </w:r>
    </w:p>
    <w:p>
      <w:pPr>
        <w:pStyle w:val="BodyText"/>
        <w:bidi w:val="0"/>
        <w:spacing w:lineRule="auto" w:line="360" w:before="0" w:after="120"/>
        <w:rPr/>
      </w:pPr>
      <w:r>
        <w:rPr/>
        <w:t>Mjerenje samog audita traži oprez da se ne izmjeri vlastita aktivnost umjesto ishoda. Broj intervencija je mjera truda i raste s brojem ljudi u timu, a ne nužno s koristi za bolesnike. Informativniji je udio preporuka koje su prihvaćene i, gdje je moguće, udio bolesnika kod kojih je terapija nakon preporuke doista promijenjena. Ta dva pokazatelja razlikuju program koji radi od programa koji je zaposlen.</w:t>
      </w:r>
    </w:p>
    <w:p>
      <w:pPr>
        <w:pStyle w:val="Heading2"/>
        <w:bidi w:val="0"/>
        <w:ind w:hanging="0" w:left="0"/>
        <w:rPr/>
      </w:pPr>
      <w:r>
        <w:rPr/>
        <w:t>4.4. Deeskalacija i trajanje terapije</w:t>
      </w:r>
    </w:p>
    <w:p>
      <w:pPr>
        <w:pStyle w:val="BodyText"/>
        <w:bidi w:val="0"/>
        <w:spacing w:lineRule="auto" w:line="360" w:before="0" w:after="120"/>
        <w:rPr/>
      </w:pPr>
      <w:r>
        <w:rPr/>
        <w:t>Deeskalacija znači prelazak sa širokospektralne empirijske terapije na uži lijek nakon što stigne mikrobiološki nalaz. Mjera je privlačna jer ne odgađa liječenje: bolesnik u prvom razdoblju dobiva pokriće koje mu treba, a suženje slijedi tek kada postoji podatak. Prepreka nije stručna nego organizacijska, jer traži da netko nalaz pročita i odluku donese u razdoblju u kojem je bolesnik već stabilan i pitanje se čini manje hitnim.</w:t>
      </w:r>
    </w:p>
    <w:p>
      <w:pPr>
        <w:pStyle w:val="BodyText"/>
        <w:bidi w:val="0"/>
        <w:spacing w:lineRule="auto" w:line="360" w:before="0" w:after="120"/>
        <w:rPr/>
      </w:pPr>
      <w:r>
        <w:rPr/>
        <w:t>Skraćivanje trajanja terapije djeluje na isti pritisak preko druge poluge. Za više čestih infekcija pokazano je da kraća terapija daje jednake ishode kao dulja, pa dulja izloženost donosi rizik bez dokazane koristi. Prihvaćanje tih nalaza u praksi teče sporo, dijelom zbog navike, a dijelom zato što je odluka o prekidu terapije psihološki teža od odluke o njezinu nastavku.</w:t>
      </w:r>
    </w:p>
    <w:p>
      <w:pPr>
        <w:pStyle w:val="BodyText"/>
        <w:bidi w:val="0"/>
        <w:spacing w:lineRule="auto" w:line="360" w:before="0" w:after="120"/>
        <w:rPr/>
      </w:pPr>
      <w:r>
        <w:rPr/>
        <w:t>Za pitanje ovog rada obje su mjere zanimljive zato što djeluju na razini bolesnika, dakle na razini na kojoj mehanizam selekcije doista radi. Za razliku od ukupne potrošnje, njihov se učinak može pratiti po pojedinom bolesniku i povezati s njegovim kasnijim nalazima. Ustanova koja želi tvrditi nešto o pritisku ima upravo tu najbolju priliku da tvrdnju potkrijepi.</w:t>
      </w:r>
    </w:p>
    <w:p>
      <w:pPr>
        <w:pStyle w:val="BodyText"/>
        <w:bidi w:val="0"/>
        <w:spacing w:lineRule="auto" w:line="360" w:before="0" w:after="120"/>
        <w:rPr/>
      </w:pPr>
      <w:r>
        <w:rPr/>
        <w:t>Ograničenje je da obje mjere traže pouzdan i pravovremen mikrobiološki nalaz. Ondje gdje nalaz stiže sporo ili se ne uzima, deeskalacija nema podlogu, a skraćivanje se oslanja samo na kliničku procjenu. Program koji uvodi te mjere bez ulaganja u dijagnostiku pomiče teret na kliničara i redovito dobiva slabije prihvaćanje nego što je očekivao.</w:t>
      </w:r>
    </w:p>
    <w:p>
      <w:pPr>
        <w:pStyle w:val="BodyText"/>
        <w:bidi w:val="0"/>
        <w:spacing w:lineRule="auto" w:line="360" w:before="0" w:after="120"/>
        <w:rPr/>
      </w:pPr>
      <w:r>
        <w:rPr/>
        <w:t>Prepreka deeskalaciji često nije nesigurnost oko nalaza nego raspodjela odgovornosti kroz vrijeme. Odluku o početku terapije donosi onaj tko bolesnika primi, a odluku o suženju netko tko ga preuzima kasnije i nema uvid u početnu kliničku sliku. Ustanove koje su uvele obvezan pregled terapije nakon prvih dana s dokumentiranim obrazloženjem uklonile su dio te prepreke, jer je odluka postala očekivani korak, a ne izuzetak koji netko mora pokrenuti.</w:t>
      </w:r>
    </w:p>
    <w:p>
      <w:pPr>
        <w:pStyle w:val="BodyText"/>
        <w:bidi w:val="0"/>
        <w:spacing w:lineRule="auto" w:line="360" w:before="0" w:after="120"/>
        <w:rPr/>
      </w:pPr>
      <w:r>
        <w:rPr/>
        <w:t>Skraćivanje terapije mora poštovati razlike među indikacijama i ne smije se uvoditi kao opće pravilo. Za neke infekcije kraća terapija ima jednake ishode, za druge nedostaje dokaza, a za treće je dulja terapija dokazano potrebna. Program koji te razlike ne prenese u svoje preporuke gubi povjerenje kod prvog slučaja u kojem je pravilo primijenjeno ondje gdje ne vrijedi, a povjerenje se poslije vraća sporo.</w:t>
      </w:r>
    </w:p>
    <w:p>
      <w:pPr>
        <w:pStyle w:val="BodyText"/>
        <w:bidi w:val="0"/>
        <w:spacing w:lineRule="auto" w:line="360" w:before="0" w:after="120"/>
        <w:rPr/>
      </w:pPr>
      <w:r>
        <w:rPr/>
        <w:t>Postoji i pitanje što se mjeri kao uspjeh deeskalacije. Udio bolesnika kod kojih je terapija sužena nije dobra mjera sam za sebe, jer suženje nije uvijek moguće ni ispravno. Informativniji je udio onih kod kojih je suženje bilo moguće prema nalazu, a nije provedeno, jer taj pokazatelj imenuje propuštenu priliku umjesto da nagrađuje sam postupak.</w:t>
      </w:r>
    </w:p>
    <w:p>
      <w:pPr>
        <w:pStyle w:val="Heading1"/>
        <w:bidi w:val="0"/>
        <w:ind w:hanging="0" w:left="0"/>
        <w:rPr/>
      </w:pPr>
      <w:r>
        <w:rPr/>
        <w:t>5. Odnos potrošnje i rezistencije</w:t>
      </w:r>
    </w:p>
    <w:p>
      <w:pPr>
        <w:pStyle w:val="Heading2"/>
        <w:bidi w:val="0"/>
        <w:ind w:hanging="0" w:left="0"/>
        <w:rPr/>
      </w:pPr>
      <w:r>
        <w:rPr/>
        <w:t>5.1. Ekološka razina naspram razine bolesnika</w:t>
      </w:r>
    </w:p>
    <w:p>
      <w:pPr>
        <w:pStyle w:val="BodyText"/>
        <w:bidi w:val="0"/>
        <w:spacing w:lineRule="auto" w:line="360" w:before="0" w:after="120"/>
        <w:rPr/>
      </w:pPr>
      <w:r>
        <w:rPr/>
        <w:t>Ista se tvrdnja o potrošnji i rezistenciji može postaviti na tri razine, i na svakoj znači nešto drugo. Na razini bolesnika pita se je li osoba koja je primila antibiotik izloženija riziku da kasnije nosi rezistentan soj. Na razini odjela pita se ima li odjel s višom potrošnjom viši udio rezistentnih izolata. Na razini zemlje pita se prati li ukupna nacionalna potrošnja nacionalni udio rezistencije. Odgovori na sve tri razine mogu biti različiti, a da nijedan nije netočan, jer se pitanja razlikuju u tome što drže nepromijenjenim.</w:t>
      </w:r>
    </w:p>
    <w:p>
      <w:pPr>
        <w:pStyle w:val="BodyText"/>
        <w:bidi w:val="0"/>
        <w:spacing w:lineRule="auto" w:line="360" w:before="0" w:after="120"/>
        <w:rPr/>
      </w:pPr>
      <w:r>
        <w:rPr/>
        <w:t>Na razini bolesnika mehanizam je najjasniji i dokazi su najdosljedniji. Prethodna izloženost antibiotiku povezana je s većom vjerojatnošću da sljedeći izolat bude rezistentan, a povezanost je jača što je izloženost bliža i dulja. Ta razina ima i najmanju praktičnu širinu: iz nje slijedi da pojedinom bolesniku ne treba davati lijek koji mu ne koristi, što je zaključak s kojim se nitko ne spori i koji ne traži program da bi se izgovorio.</w:t>
      </w:r>
    </w:p>
    <w:p>
      <w:pPr>
        <w:pStyle w:val="BodyText"/>
        <w:bidi w:val="0"/>
        <w:spacing w:lineRule="auto" w:line="360" w:before="0" w:after="120"/>
        <w:rPr/>
      </w:pPr>
      <w:r>
        <w:rPr/>
        <w:t>Na razini ustanove pitanje postaje teže jer se mijenja ono što se drži nepromijenjenim. Odjel s višom potrošnjom obično ima i teže bolesnike, više invazivnih postupaka, dulje ležanje i više premještaja, a svaki od tih čimbenika sam po sebi povećava rezistenciju. Povezanost koja se izmjeri zato spaja učinak propisivanja s učinkom svega ostaloga što se uz visoku potrošnju redovito javlja. Razdvajanje traži podatke koje većina ustanova ne prikuplja.</w:t>
      </w:r>
    </w:p>
    <w:p>
      <w:pPr>
        <w:pStyle w:val="BodyText"/>
        <w:bidi w:val="0"/>
        <w:spacing w:lineRule="auto" w:line="360" w:before="0" w:after="120"/>
        <w:rPr/>
      </w:pPr>
      <w:r>
        <w:rPr/>
        <w:t>Ekološka pogreška ime je za zaključak koji se s razine skupine prenosi na pojedinca bez opravdanja. U ovom kontekstu javlja se u oba smjera. Prvi smjer tvrdi da će smanjenje ukupne potrošnje ustanove smanjiti rizik pojedinom bolesniku, što ne slijedi ako se smanjenje dogodilo kod bolesnika koji nisu bili izvor problema. Drugi smjer tvrdi da izostanak pomaka u ustanovi znači da izloženost pojedincu nije važna, što ne slijedi jer je ustanova zbroj u kojem se suprotni pomaci poništavaju.</w:t>
      </w:r>
    </w:p>
    <w:p>
      <w:pPr>
        <w:pStyle w:val="BodyText"/>
        <w:bidi w:val="0"/>
        <w:spacing w:lineRule="auto" w:line="360" w:before="0" w:after="120"/>
        <w:rPr/>
      </w:pPr>
      <w:r>
        <w:rPr/>
        <w:t>Metaanalize koje su promatrale upravo taj prijelaz s razine na razinu nalaze da programi upravljanja smanjuju učestalost infekcije i kolonizacije rezistentnim bakterijama, ali da se veličina učinka jako razlikuje ovisno o vrsti mikroorganizma i o tome jesu li mjere provedene same ili uz pojačanu kontrolu infekcija (Baur i sur., 2017). Taj nalaz ne rješava pitanje razine nego ga precizira: učinak postoji, ali je uvjetovan, i uvjeti su dio nalaza jednako koliko i sam učinak.</w:t>
      </w:r>
    </w:p>
    <w:p>
      <w:pPr>
        <w:pStyle w:val="BodyText"/>
        <w:bidi w:val="0"/>
        <w:spacing w:lineRule="auto" w:line="360" w:before="0" w:after="120"/>
        <w:rPr/>
      </w:pPr>
      <w:r>
        <w:rPr/>
        <w:t>Za praksu iz toga slijedi da tvrdnja o učinku mora nositi razinu na kojoj je izmjerena. Program koji izvještava o smanjenju potrošnje na razini ustanove, a zaključak izgovara na razini bolesnika, prešao je granicu koju podaci ne pokrivaju. Obratno vrijedi jednako: nalaz na razini bolesnika ne opravdava tvrdnju da će ustanova vidjeti pomak u svojim godišnjim pokazateljima.</w:t>
      </w:r>
    </w:p>
    <w:p>
      <w:pPr>
        <w:pStyle w:val="BodyText"/>
        <w:bidi w:val="0"/>
        <w:spacing w:lineRule="auto" w:line="360" w:before="0" w:after="120"/>
        <w:rPr/>
      </w:pPr>
      <w:r>
        <w:rPr/>
        <w:t>Postoji i četvrta razina koja se rijetko imenuje, a leži između bolesnika i ustanove: razina epizode liječenja. Ista osoba može kroz jednu hospitalizaciju proći kroz nekoliko terapijskih odluka, a kroz nekoliko hospitalizacija kroz vrlo različite izloženosti. Analiza koja bolesnika broji jednom gubi taj slijed, a upravo slijed nosi mehanizam: rezistentni soj koji se pojavi nakon treće epizode ne pripisuje se ni jednoj od njih posebno, nego njihovu zbroju.</w:t>
      </w:r>
    </w:p>
    <w:p>
      <w:pPr>
        <w:pStyle w:val="BodyText"/>
        <w:bidi w:val="0"/>
        <w:spacing w:lineRule="auto" w:line="360" w:before="0" w:after="120"/>
        <w:rPr/>
      </w:pPr>
      <w:r>
        <w:rPr/>
        <w:t>Zbog toga su najuvjerljivija istraživanja u ovom području ona koja prate iste bolesnike kroz vrijeme i uspoređuju ih s bolesnicima sličnog rizika koji nisu bili izloženi. Takva istraživanja rijetko provodi pojedina ustanova, jer traže podatke koji se moraju povezati kroz više izvora. Za ustanovu koja želi provjeriti vlastiti program to nije prepreka nego uputa gdje uložiti prvi korak: u povezivanje podataka koje već ima.</w:t>
      </w:r>
    </w:p>
    <w:p>
      <w:pPr>
        <w:pStyle w:val="BodyText"/>
        <w:bidi w:val="0"/>
        <w:spacing w:lineRule="auto" w:line="360" w:before="0" w:after="120"/>
        <w:rPr/>
      </w:pPr>
      <w:r>
        <w:rPr/>
        <w:t>Prijelaz s razine na razinu ima i praktičnu stranu u komunikaciji s odjelom. Kliničar koji čuje da je ustanova smanjila potrošnju za desetinu ne prepoznaje u tome ništa što se tiče njegova rada. Isti kliničar prepoznaje podatak da je kod njegovih bolesnika prosječno trajanje terapije za određenu indikaciju dulje nego na sličnim odjelima. Prva je tvrdnja točna i beskorisna za promjenu, druga je uža i djeluje.</w:t>
      </w:r>
    </w:p>
    <w:p>
      <w:pPr>
        <w:pStyle w:val="Heading2"/>
        <w:bidi w:val="0"/>
        <w:ind w:hanging="0" w:left="0"/>
        <w:rPr/>
      </w:pPr>
      <w:r>
        <w:rPr/>
        <w:t>5.2. Zbunjujući čimbenici: prijenos, uvoz, sezonalnost</w:t>
      </w:r>
    </w:p>
    <w:p>
      <w:pPr>
        <w:pStyle w:val="BodyText"/>
        <w:bidi w:val="0"/>
        <w:spacing w:lineRule="auto" w:line="360" w:before="0" w:after="120"/>
        <w:rPr/>
      </w:pPr>
      <w:r>
        <w:rPr/>
        <w:t>Prijenos unutar ustanove najsnažniji je od čimbenika koje analiza potrošnje ne vidi. Kada se jedan soj proširi s bolesnika na bolesnika, udio rezistentnih izolata raste bez ijedne dodatne doze antibiotika. Ako se takvo širenje dogodi u razdoblju u kojem je potrošnja slučajno rasla, analiza će naći povezanost koje mehanizamski nema. Ako se dogodi dok potrošnja pada, analiza će zaključiti da mjera ne radi, iako je radila i njezin je učinak samo prekriven.</w:t>
      </w:r>
    </w:p>
    <w:p>
      <w:pPr>
        <w:pStyle w:val="BodyText"/>
        <w:bidi w:val="0"/>
        <w:spacing w:lineRule="auto" w:line="360" w:before="0" w:after="120"/>
        <w:rPr/>
      </w:pPr>
      <w:r>
        <w:rPr/>
        <w:t>Uvoz koloniziranih bolesnika djeluje na isti pokazatelj s druge strane. Ustanova koja preuzima bolesnike iz drugih bolnica, iz domova za starije ili iz zemalja s višim udjelom rezistencije dobiva rezistentne izolate koje nije proizvela. Za pokazatelj je svejedno gdje je soj nastao; za tumačenje nije. Ustanova koja promijeni krug ustanova iz kojih preuzima bolesnike promijenit će svoj udio rezistencije bez ijedne promjene u vlastitom radu.</w:t>
      </w:r>
    </w:p>
    <w:p>
      <w:pPr>
        <w:pStyle w:val="BodyText"/>
        <w:bidi w:val="0"/>
        <w:spacing w:lineRule="auto" w:line="360" w:before="0" w:after="120"/>
        <w:rPr/>
      </w:pPr>
      <w:r>
        <w:rPr/>
        <w:t>Sezonalnost je slabiji, ali sustavan čimbenik. Potrošnja pojedinih skupina antibiotika raste u razdobljima s više respiratornih infekcija, a u istim se razdobljima mijenja i sastav bolesnika koji dolaze u bolnicu. Analiza koja uspoređuje mjesece bez prilagodbe za sezonu pripisat će propisivanju dio pomaka koji pripada godišnjem dobu. Kod usporedbe kroz godine taj se problem smanjuje, ali ne nestaje ako se razdoblja ne poklapaju.</w:t>
      </w:r>
    </w:p>
    <w:p>
      <w:pPr>
        <w:pStyle w:val="BodyText"/>
        <w:bidi w:val="0"/>
        <w:spacing w:lineRule="auto" w:line="360" w:before="0" w:after="120"/>
        <w:rPr/>
      </w:pPr>
      <w:r>
        <w:rPr/>
        <w:t>Postoji i skupina čimbenika koji djeluju na samo mjerenje, a ne na stvarnost. Promjena praga uzorkovanja, uvođenje probira pri prijmu, promjena laboratorijske metode ili granične vrijednosti mijenjaju broj i sastav izolata koji uopće uđu u brojnik. Takve promjene proizvode skokove u pokazateljima koji izgledaju kao epidemiološki događaji, a nisu. Popis najčešćih zbunjujućih čimbenika i smjera u kojem djeluju dan je u Tablici 2.</w:t>
      </w:r>
    </w:p>
    <w:p>
      <w:pPr>
        <w:pStyle w:val="BodyText"/>
        <w:bidi w:val="0"/>
        <w:spacing w:lineRule="auto" w:line="360" w:before="0" w:after="120"/>
        <w:rPr/>
      </w:pPr>
      <w:r>
        <w:rPr/>
        <w:t>Zajedničko svim navedenim čimbenicima jest da ustanovi nisu nepoznati, nego se ne bilježe sustavno. Podatak o tome kada je uveden probir, kada je promijenjena metoda i kada je otvoren novi odjel obično postoji u nekoj drugoj službi, ali ne ulazi u vremenski niz uz koji se pokazatelji tumače. Vođenje takvog dnevnika promjena jeftinije je od bilo koje statističke prilagodbe i uklanja veći dio pogrešnih tumačenja.</w:t>
      </w:r>
    </w:p>
    <w:p>
      <w:pPr>
        <w:pStyle w:val="BodyText"/>
        <w:bidi w:val="0"/>
        <w:spacing w:lineRule="auto" w:line="360" w:before="0" w:after="120"/>
        <w:rPr/>
      </w:pPr>
      <w:r>
        <w:rPr/>
        <w:t>Kada se ti čimbenici ne mogu isključiti, ispravan je postupak izgovoriti ih kao alternativna objašnjenja, a ne izabrati najpovoljnije. Izvještaj koji uz pad rezistencije navodi i to da je u istom razdoblju pojačana higijena ruku ostavlja čitatelju mogućnost da sam procijeni pripisivanje. Izvještaj koji tu okolnost izostavi tvrdi više nego što zna, i to na način koji se izvana ne može provjeriti.</w:t>
      </w:r>
    </w:p>
    <w:p>
      <w:pPr>
        <w:pStyle w:val="BodyText"/>
        <w:bidi w:val="0"/>
        <w:spacing w:lineRule="auto" w:line="360" w:before="0" w:after="120"/>
        <w:rPr/>
      </w:pPr>
      <w:r>
        <w:rPr/>
        <w:t>Promjena sastava djelatnosti djeluje sporo i zato se najlakše previdi. Ustanova koja kroz nekoliko godina poveća udio složenijih zahvata mijenja i svoju populaciju bolesnika i svoju potrošnju, a promjena je toliko postupna da se ni u jednom pojedinom razdoblju ne primijeti. Usporedba prve i zadnje godine tada pokazuje razliku koju nitko nije uveo kao mjeru i koju nitko ne prepoznaje kao objašnjenje.</w:t>
      </w:r>
    </w:p>
    <w:p>
      <w:pPr>
        <w:pStyle w:val="BodyText"/>
        <w:bidi w:val="0"/>
        <w:spacing w:lineRule="auto" w:line="360" w:before="0" w:after="120"/>
        <w:rPr/>
      </w:pPr>
      <w:r>
        <w:rPr/>
        <w:t>Vanjski događaji mogu preokrenuti sve nizove odjednom. Razdoblja povećanog opterećenja ustanove, promjene u dostupnosti pojedinih lijekova i prekidi opskrbe mijenjaju i propisivanje i sastav bolesnika u kratkom roku. Takvi se događaji u izvještajima rijetko bilježe, a bez njih se naknadno tumačenje krivulja svodi na nagađanje o tome što se te godine događalo.</w:t>
      </w:r>
    </w:p>
    <w:p>
      <w:pPr>
        <w:pStyle w:val="BodyText"/>
        <w:bidi w:val="0"/>
        <w:spacing w:lineRule="auto" w:line="360" w:before="0" w:after="120"/>
        <w:rPr/>
      </w:pPr>
      <w:r>
        <w:rPr/>
        <w:t>Zbunjujući čimbenici ne djeluju samo pojedinačno nego se i zbrajaju u istom smjeru. Razdoblje visokog opterećenja donosi više teških bolesnika, više premještaja, manje vremena za higijenu ruku i više empirijske terapije istodobno. Svaki od tih čimbenika povećava rezistenciju, a svi zajedno stvaraju pomak koji je prevelik da bi ga objasnilo propisivanje samo. Pripisivanje takvog pomaka jednoj mjeri, u bilo kojem smjeru, gotovo je sigurno pogrešno.</w:t>
      </w:r>
    </w:p>
    <w:p>
      <w:pPr>
        <w:pStyle w:val="Heading2"/>
        <w:bidi w:val="0"/>
        <w:ind w:hanging="0" w:left="0"/>
        <w:rPr/>
      </w:pPr>
      <w:r>
        <w:rPr/>
        <w:t>5.3. Zašto korelacija na razini ustanove vara</w:t>
      </w:r>
    </w:p>
    <w:p>
      <w:pPr>
        <w:pStyle w:val="BodyText"/>
        <w:bidi w:val="0"/>
        <w:spacing w:lineRule="auto" w:line="360" w:before="0" w:after="120"/>
        <w:rPr/>
      </w:pPr>
      <w:r>
        <w:rPr/>
        <w:t>Prva zamka je vremenski pomak. Učinak promjene propisivanja na sastav mikroorganizama u ustanovi ne pojavljuje se u istom mjesecu, a razmak ovisi o mehanizmu, o duljini ležanja i o brzini izmjene populacije bolesnika. Analiza koja usklađuje dva niza bez pomaka mjeri odnos koji teorija ne predviđa. Analiza koja pomak odabere nakon što vidi rezultate riskira da ga odabere upravo ondje gdje je povezanost najveća, čime nalaz postaje posljedica postupka.</w:t>
      </w:r>
    </w:p>
    <w:p>
      <w:pPr>
        <w:pStyle w:val="BodyText"/>
        <w:bidi w:val="0"/>
        <w:spacing w:lineRule="auto" w:line="360" w:before="0" w:after="120"/>
        <w:rPr/>
      </w:pPr>
      <w:r>
        <w:rPr/>
        <w:t>Druga je zamka zajednički uzrok. Razdoblje s više teških bolesnika donosi i višu potrošnju i višu rezistenciju, pri čemu jedno ne uzrokuje drugo. Takav odnos daje jasnu povezanost u podacima i potpuno je pogrešan kao osnova za odluku, jer mjera usmjerena na potrošnju ne dira uzrok. Razlikovanje traži podatak o težini bolesnika koji se u pokazateljima potrošnje ne vidi.</w:t>
      </w:r>
    </w:p>
    <w:p>
      <w:pPr>
        <w:pStyle w:val="BodyText"/>
        <w:bidi w:val="0"/>
        <w:spacing w:lineRule="auto" w:line="360" w:before="0" w:after="120"/>
        <w:rPr/>
      </w:pPr>
      <w:r>
        <w:rPr/>
        <w:t>Treća je zamka mali broj. Udio rezistentnih izolata u pojedinoj kombinaciji mikroorganizma i lijeka na razini odjela često se računa iz nekoliko desetaka izolata godišnje. Takav se udio kreće znatno i bez ikakve stvarne promjene, pa se svaki pomak može protumačiti kao trend. Ustanove koje prikazuju kvartalne vrijednosti za rijetke kombinacije redovito vide obrasce koji nestanu čim se razdoblje produlji.</w:t>
      </w:r>
    </w:p>
    <w:p>
      <w:pPr>
        <w:pStyle w:val="BodyText"/>
        <w:bidi w:val="0"/>
        <w:spacing w:lineRule="auto" w:line="360" w:before="0" w:after="120"/>
        <w:rPr/>
      </w:pPr>
      <w:r>
        <w:rPr/>
        <w:t>Četvrta je zamka izbor prikaza. Isti podaci mogu se prikazati kao udio rezistentnih među testiranima ili kao broj rezistentnih izolata na tisuću bolesničkih dana. Prvi pokazatelj ovisi o tome koga se testira, drugi o tome koliko bolesnika ustanova ima. Program koji izabere pokazatelj nakon što vidi oba prikaza bira poruku, a ne mjeru, i taj se izbor iz gotovog izvještaja ne može prepoznati.</w:t>
      </w:r>
    </w:p>
    <w:p>
      <w:pPr>
        <w:pStyle w:val="BodyText"/>
        <w:bidi w:val="0"/>
        <w:spacing w:lineRule="auto" w:line="360" w:before="0" w:after="120"/>
        <w:rPr/>
      </w:pPr>
      <w:r>
        <w:rPr/>
        <w:t>Iz svega slijedi da povezanost na razini ustanove nije bezvrijedna, ali je slab dokaz sama za sebe. Njezina vrijednost raste kada je popraćena podatkom na razini bolesnika, kada je vremenski pomak zadan unaprijed, kada su promjene u mjerenju dokumentirane i kada su alternativna objašnjenja izgovorena. Bez toga ostaje opažanje koje se jednako dobro slaže s više različitih priča.</w:t>
      </w:r>
    </w:p>
    <w:p>
      <w:pPr>
        <w:pStyle w:val="BodyText"/>
        <w:bidi w:val="0"/>
        <w:spacing w:lineRule="auto" w:line="360" w:before="0" w:after="120"/>
        <w:rPr/>
      </w:pPr>
      <w:r>
        <w:rPr/>
        <w:t>Vrijedi dodati i obratnu opomenu. Izostanak povezanosti u jednoj ustanovi nije dokaz da program ne radi, jer ista ograničenja koja stvaraju lažnu povezanost mogu i sakriti stvarnu. Ustanova koja na temelju jedne ravne krivulje ukine program donosi odluku na dokazu koji nije jači od onoga na kojem ga je uvela.</w:t>
      </w:r>
    </w:p>
    <w:p>
      <w:pPr>
        <w:pStyle w:val="BodyText"/>
        <w:bidi w:val="0"/>
        <w:spacing w:lineRule="auto" w:line="360" w:before="0" w:after="120"/>
        <w:rPr/>
      </w:pPr>
      <w:r>
        <w:rPr/>
        <w:t>Postoji i zamka koja se tiče smjera. Visoka rezistencija u ustanovi navodi kliničare da češće posegnu za širokospektralnim lijekovima, pa rezistencija povećava potrošnju umjesto obrnuto. U podacima ta se povratna veza ne razlikuje od izravnog učinka, a njezino postojanje mijenja preporuku: ustanova koja smanji rezistenciju vidjet će pad potrošnje kao posljedicu, a ne kao uzrok.</w:t>
      </w:r>
    </w:p>
    <w:p>
      <w:pPr>
        <w:pStyle w:val="BodyText"/>
        <w:bidi w:val="0"/>
        <w:spacing w:lineRule="auto" w:line="360" w:before="0" w:after="120"/>
        <w:rPr/>
      </w:pPr>
      <w:r>
        <w:rPr/>
        <w:t>Kada se sve navedeno zbroji, razumno je postaviti skromnije očekivanje od analize vlastitih podataka. Ona može otkriti velika odstupanja, upozoriti na promjene i pokrenuti pitanje. Ne može, sama za sebe, dokazati da je program proizveo pomak. Ustanova koja to prizna u svom izvještaju gubi manje nego što se čini, jer time zadržava pravo da svoje kasnije nalaze predstavi kao vjerodostojne.</w:t>
      </w:r>
    </w:p>
    <w:p>
      <w:pPr>
        <w:pStyle w:val="BodyText"/>
        <w:bidi w:val="0"/>
        <w:spacing w:lineRule="auto" w:line="360" w:before="0" w:after="120"/>
        <w:rPr/>
      </w:pPr>
      <w:r>
        <w:rPr/>
        <w:t>Vrijedi napomenuti da postoje i analize koje ove zamke uzimaju u obzir i koje ipak nalaze povezanost. Njihova je zajednička osobina da rade s više ustanova, s dugim nizovima i s izričitim modeliranjem vremenskog pomaka. Za pojedinu bolnicu iz njih ne slijedi da će vidjeti isti odnos u svojim podacima, nego da odnos postoji na razini na kojoj su ga te analize mjerile.</w:t>
      </w:r>
    </w:p>
    <w:p>
      <w:pPr>
        <w:pStyle w:val="Heading1"/>
        <w:bidi w:val="0"/>
        <w:ind w:hanging="0" w:left="0"/>
        <w:rPr/>
      </w:pPr>
      <w:r>
        <w:rPr/>
        <w:t>6. Kontrola infekcija kao suparničko objašnjenje</w:t>
      </w:r>
    </w:p>
    <w:p>
      <w:pPr>
        <w:pStyle w:val="Heading2"/>
        <w:bidi w:val="0"/>
        <w:ind w:hanging="0" w:left="0"/>
        <w:rPr/>
      </w:pPr>
      <w:r>
        <w:rPr/>
        <w:t>6.1. Prijenos unutar ustanove</w:t>
      </w:r>
    </w:p>
    <w:p>
      <w:pPr>
        <w:pStyle w:val="BodyText"/>
        <w:bidi w:val="0"/>
        <w:spacing w:lineRule="auto" w:line="360" w:before="0" w:after="120"/>
        <w:rPr/>
      </w:pPr>
      <w:r>
        <w:rPr/>
        <w:t>Prijenos se u bolnici odvija uglavnom posredno, preko ruku osoblja, opreme i površina u neposrednoj okolini bolesnika. Izravan dodir između bolesnika rijedak je u usporedbi s tim putovima, što objašnjava zašto mjere usmjerene na osoblje i opremu nose veći dio učinka od mjera usmjerenih na razdvajanje bolesnika. Higijena ruku ostaje najbolje dokumentirana pojedinačna mjera, iako je njezino stvarno pridržavanje teško mjeriti bez utjecaja na ono što se mjeri.</w:t>
      </w:r>
    </w:p>
    <w:p>
      <w:pPr>
        <w:pStyle w:val="BodyText"/>
        <w:bidi w:val="0"/>
        <w:spacing w:lineRule="auto" w:line="360" w:before="0" w:after="120"/>
        <w:rPr/>
      </w:pPr>
      <w:r>
        <w:rPr/>
        <w:t>Molekularna tipizacija izolata omogućuje da se prijenos razlikuje od neovisnog nastanka. Kada više bolesnika nosi soj koji je genetski gotovo istovjetan, riječ je o širenju jednog soja, a ne o istodobnoj pojavi rezistencije kod svakoga od njih. Ustanove koje su takvu analizu provele redovito nalaze da znatan dio slučajeva koji su izgledali kao neovisni pripada malom broju lanaca prijenosa.</w:t>
      </w:r>
    </w:p>
    <w:p>
      <w:pPr>
        <w:pStyle w:val="BodyText"/>
        <w:bidi w:val="0"/>
        <w:spacing w:lineRule="auto" w:line="360" w:before="0" w:after="120"/>
        <w:rPr/>
      </w:pPr>
      <w:r>
        <w:rPr/>
        <w:t>Posljedica za pitanje ovog rada je izravna. Udio rezistencije koji dolazi od prijenosa ne reagira na promjenu propisivanja u razdoblju koje ustanova prati, jer selekcija nije mehanizam koji ga održava. Program koji u takvoj situaciji ulaže isključivo u propisivanje ulaže u polugu koja nije spojena na problem, i njegov će izvještaj pokazivati uredno provedene mjere bez pomaka u ishodu.</w:t>
      </w:r>
    </w:p>
    <w:p>
      <w:pPr>
        <w:pStyle w:val="BodyText"/>
        <w:bidi w:val="0"/>
        <w:spacing w:lineRule="auto" w:line="360" w:before="0" w:after="120"/>
        <w:rPr/>
      </w:pPr>
      <w:r>
        <w:rPr/>
        <w:t>Obrnuto vrijedi jednako. U jedinici u kojoj je prijenos pod nadzorom, a izloženost lijekovima visoka, mjere kontrole infekcija imaju malo prostora za dodatni učinak, dok promjena propisivanja ima mnogo. Razlikovanje tih dvaju stanja moguće je iz podataka koje ustanova već ima, ali traži da se pitanje postavi prije nego se izabere mjera, a ne nakon što mjera ne uspije.</w:t>
      </w:r>
    </w:p>
    <w:p>
      <w:pPr>
        <w:pStyle w:val="BodyText"/>
        <w:bidi w:val="0"/>
        <w:spacing w:lineRule="auto" w:line="360" w:before="0" w:after="120"/>
        <w:rPr/>
      </w:pPr>
      <w:r>
        <w:rPr/>
        <w:t>Praktičan prvi korak je jednostavan i ne traži dodatnu opremu. Dovoljno je provjeriti javljaju li se novi slučajevi grupirano u vremenu i prostoru ili su raspršeni. Grupiranje upućuje na prijenos i traži epidemiološki odgovor. Raspršenost upućuje na selekciju ili na uvoz i traži drugačiji odgovor. Taj se pregled može napraviti nad postojećim nalazima laboratorija u nekoliko sati rada.</w:t>
      </w:r>
    </w:p>
    <w:p>
      <w:pPr>
        <w:pStyle w:val="BodyText"/>
        <w:bidi w:val="0"/>
        <w:spacing w:lineRule="auto" w:line="360" w:before="0" w:after="120"/>
        <w:rPr/>
      </w:pPr>
      <w:r>
        <w:rPr/>
        <w:t>Okolina bolesnika zaslužuje posebnu pažnju jer se čisti po rasporedu, a ne po riziku. Površine u neposrednoj blizini bolesnika dodiruju se najčešće i najbrže se ponovno kontaminiraju, dok se udaljenije površine čiste jednakom učestalošću. Ustanove koje su čišćenje preusmjerile prema površinama visokog dodira bilježile su smanjenje kontaminacije bez povećanja ukupnog opsega posla.</w:t>
      </w:r>
    </w:p>
    <w:p>
      <w:pPr>
        <w:pStyle w:val="BodyText"/>
        <w:bidi w:val="0"/>
        <w:spacing w:lineRule="auto" w:line="360" w:before="0" w:after="120"/>
        <w:rPr/>
      </w:pPr>
      <w:r>
        <w:rPr/>
        <w:t>Mjere razdvajanja imaju granicu koju treba izgovoriti. Izolacija bolesnika smanjuje prijenos, ali istodobno smanjuje broj kontakata s osobljem i može odgoditi prepoznavanje pogoršanja. Ustanove koje su mjeru uvele bez tog razmatranja bilježile su neželjene posljedice koje se u izvještajima o prijenosu ne vide, jer pripadaju drugom skupu pokazatelja.</w:t>
      </w:r>
    </w:p>
    <w:p>
      <w:pPr>
        <w:pStyle w:val="BodyText"/>
        <w:bidi w:val="0"/>
        <w:spacing w:lineRule="auto" w:line="360" w:before="0" w:after="120"/>
        <w:rPr/>
      </w:pPr>
      <w:r>
        <w:rPr/>
        <w:t>Zanimljiv je i obrnut smjer koji se rijetko spominje. Mjere kontrole infekcija smanjuju broj infekcija, pa smanjuju i potrebu za antibioticima, čime posredno smanjuju potrošnju. Ustanova koja pojača kontrolu infekcija može zato vidjeti pad potrošnje koji nije proizveo nijedan zahvat u propisivanje. Ako se u istom razdoblju provodi i program upravljanja, pad će se pripisati njemu.</w:t>
      </w:r>
    </w:p>
    <w:p>
      <w:pPr>
        <w:pStyle w:val="Heading2"/>
        <w:bidi w:val="0"/>
        <w:ind w:hanging="0" w:left="0"/>
        <w:rPr/>
      </w:pPr>
      <w:r>
        <w:rPr/>
        <w:t>6.2. Dolazak već koloniziranih bolesnika</w:t>
      </w:r>
    </w:p>
    <w:p>
      <w:pPr>
        <w:pStyle w:val="BodyText"/>
        <w:bidi w:val="0"/>
        <w:spacing w:lineRule="auto" w:line="360" w:before="0" w:after="120"/>
        <w:rPr/>
      </w:pPr>
      <w:r>
        <w:rPr/>
        <w:t>Bolesnik može stići u ustanovu već koloniziran rezistentnim sojem, iz druge bolnice, iz ustanove za dugotrajnu skrb ili iz zajednice. Za ustanovu je takav bolesnik istodobno izvor podatka i izvor rizika, ali nije posljedica njezina rada. Ako se takvi slučajevi ne razlikuju od onih nastalih u ustanovi, pokazatelj mjeri zbroj dviju pojava od kojih ustanova upravlja samo jednom.</w:t>
      </w:r>
    </w:p>
    <w:p>
      <w:pPr>
        <w:pStyle w:val="BodyText"/>
        <w:bidi w:val="0"/>
        <w:spacing w:lineRule="auto" w:line="360" w:before="0" w:after="120"/>
        <w:rPr/>
      </w:pPr>
      <w:r>
        <w:rPr/>
        <w:t>Probir pri prijmu razdvaja te dvije pojave, ali istodobno mijenja pokazatelj. Ustanova koja uvede probir naći će kolonizirane bolesnike koje prije nije nalazila, pa će joj zabilježena učestalost porasti u trenutku uvođenja. Taj porast nije pogoršanje nego posljedica gledanja. Ustanove koje su tu promjenu prikazale bez objašnjenja proizvele su izvještaje u kojima bolji nadzor izgleda kao lošiji rezultat.</w:t>
      </w:r>
    </w:p>
    <w:p>
      <w:pPr>
        <w:pStyle w:val="BodyText"/>
        <w:bidi w:val="0"/>
        <w:spacing w:lineRule="auto" w:line="360" w:before="0" w:after="120"/>
        <w:rPr/>
      </w:pPr>
      <w:r>
        <w:rPr/>
        <w:t>Odluka o opsegu probira ovisi o tome što ustanova namjerava učiniti s nalazom. Probir koji ne mijenja postupanje troši sredstva i ne donosi korist. Probir koji pokreće mjere razdvajanja i prilagodbu empirijske terapije mijenja ishod, ali traži kapacitet koji mnoge ustanove nemaju. Odluka je zato organizacijska jednako koliko i stručna, i mora se donijeti prije uvođenja, a ne nakon prvih nalaza.</w:t>
      </w:r>
    </w:p>
    <w:p>
      <w:pPr>
        <w:pStyle w:val="BodyText"/>
        <w:bidi w:val="0"/>
        <w:spacing w:lineRule="auto" w:line="360" w:before="0" w:after="120"/>
        <w:rPr/>
      </w:pPr>
      <w:r>
        <w:rPr/>
        <w:t>Za tumačenje pokazatelja iz toga slijedi pravilo koje se lako primjenjuje: udio rezistencije treba prikazivati odvojeno za slučajeve prisutne pri prijmu i za one nastale nakon njega. Ta jedna podjela uklanja veći dio nesporazuma o tome što ustanova može promijeniti, i ne traži nikakav novi podatak osim datuma.</w:t>
      </w:r>
    </w:p>
    <w:p>
      <w:pPr>
        <w:pStyle w:val="BodyText"/>
        <w:bidi w:val="0"/>
        <w:spacing w:lineRule="auto" w:line="360" w:before="0" w:after="120"/>
        <w:rPr/>
      </w:pPr>
      <w:r>
        <w:rPr/>
        <w:t>Suradnja među ustanovama mijenja i sam problem. Ako bolnice koje razmjenjuju bolesnike ne razmjenjuju i podatak o kolonizaciji, svaka od njih ponavlja isto otkrivanje i svaka ga bilježi kao vlastiti slučaj. Sustavi u kojima taj podatak putuje s bolesnikom omogućuju da se mjere primijene odmah po prijmu, a ne nakon prvog nalaza koji stigne trećega dana.</w:t>
      </w:r>
    </w:p>
    <w:p>
      <w:pPr>
        <w:pStyle w:val="BodyText"/>
        <w:bidi w:val="0"/>
        <w:spacing w:lineRule="auto" w:line="360" w:before="0" w:after="120"/>
        <w:rPr/>
      </w:pPr>
      <w:r>
        <w:rPr/>
        <w:t>Za pokazatelje ustanove najvažnija je posljedica ta da udio rezistencije dijelom mjeri mrežu, a ne kuću. Ustanova koja je terminalna točka u mreži preuzimanja bolesnika nosit će viši udio bez ikakve vlastite krivnje, i taj se udio ne može smanjiti mjerama unutar njezinih zidova. Izvještaj koji tu okolnost ne navodi opisuje ustanovu kao lošiju nego što jest.</w:t>
      </w:r>
    </w:p>
    <w:p>
      <w:pPr>
        <w:pStyle w:val="BodyText"/>
        <w:bidi w:val="0"/>
        <w:spacing w:lineRule="auto" w:line="360" w:before="0" w:after="120"/>
        <w:rPr/>
      </w:pPr>
      <w:r>
        <w:rPr/>
        <w:t>Napomena o pravednosti prikaza vrijedi i unutar ustanove. Odjeli koji primaju premještaje iz drugih jedinica nose teret koji nisu proizveli, jednako kao što ga ustanova nosi u odnosu na mrežu. Prikaz koji te odjele uspoređuje s onima koji primaju bolesnike izravno iz zajednice mjeri razliku u ulazu, a ne u radu, i redovito izaziva otpor koji je opravdan.</w:t>
      </w:r>
    </w:p>
    <w:p>
      <w:pPr>
        <w:pStyle w:val="Heading2"/>
        <w:bidi w:val="0"/>
        <w:ind w:hanging="0" w:left="0"/>
        <w:rPr/>
      </w:pPr>
      <w:r>
        <w:rPr/>
        <w:t>6.3. Što se događa kada se dvije mjere uvedu istodobno</w:t>
      </w:r>
    </w:p>
    <w:p>
      <w:pPr>
        <w:pStyle w:val="BodyText"/>
        <w:bidi w:val="0"/>
        <w:spacing w:lineRule="auto" w:line="360" w:before="0" w:after="120"/>
        <w:rPr/>
      </w:pPr>
      <w:r>
        <w:rPr/>
        <w:t>Ustanove rijetko uvode jednu mjeru. Program upravljanja antibioticima obično dolazi zajedno s pojačanom higijenom ruku, s novim protokolom čišćenja ili s probirom, jer sve to potiče isti povod, najčešće izbijanje ili nalaz nadzora. Kada nakon toga dođe do pomaka, pripisivanje je nemoguće iz podataka same ustanove, i to bez obzira na to koliko je pomak velik.</w:t>
      </w:r>
    </w:p>
    <w:p>
      <w:pPr>
        <w:pStyle w:val="BodyText"/>
        <w:bidi w:val="0"/>
        <w:spacing w:lineRule="auto" w:line="360" w:before="0" w:after="120"/>
        <w:rPr/>
      </w:pPr>
      <w:r>
        <w:rPr/>
        <w:t>Metaanalize koje su pokušale razdvojiti te doprinose nalaze da je učinak najveći ondje gdje su mjere provedene zajedno, i da je za pojedine mikroorganizme dodatak kontrole infekcija povezan s većim smanjenjem nego program upravljanja sam (Baur i sur., 2017). Taj nalaz ne dopušta zaključak da je jedna mjera važnija od druge u svakoj ustanovi, jer se udio prijenosa i selekcije razlikuje po jedinicama.</w:t>
      </w:r>
    </w:p>
    <w:p>
      <w:pPr>
        <w:pStyle w:val="BodyText"/>
        <w:bidi w:val="0"/>
        <w:spacing w:lineRule="auto" w:line="360" w:before="0" w:after="120"/>
        <w:rPr/>
      </w:pPr>
      <w:r>
        <w:rPr/>
        <w:t>Metodološki izlaz postoji, ali traži planiranje unaprijed. Ako se mjere uvode stupnjevito, po odjelima i u razmacima, ustanova dobiva usporedbu koja unutar iste kuće drži većinu ostalih čimbenika nepromijenjenima. Takav raspored ne traži dodatna sredstva nego samo redoslijed, a razlika u dokaznoj vrijednosti između njega i istodobnog uvođenja je velika.</w:t>
      </w:r>
    </w:p>
    <w:p>
      <w:pPr>
        <w:pStyle w:val="BodyText"/>
        <w:bidi w:val="0"/>
        <w:spacing w:lineRule="auto" w:line="360" w:before="0" w:after="120"/>
        <w:rPr/>
      </w:pPr>
      <w:r>
        <w:rPr/>
        <w:t>Kada stupnjevito uvođenje nije moguće, ispravan je postupak unaprijed izjaviti što se očekuje od svake mjere i na kojem pokazatelju. Mjera kontrole infekcija trebala bi se prije vidjeti na grupiranim slučajevima i na tipizaciji, a mjera upravljanja na izloženosti po bolesniku i na kasnijim nalazima izloženih. Razdvojena očekivanja ne dokazuju pripisivanje, ali ga čine provjerljivim.</w:t>
      </w:r>
    </w:p>
    <w:p>
      <w:pPr>
        <w:pStyle w:val="BodyText"/>
        <w:bidi w:val="0"/>
        <w:spacing w:lineRule="auto" w:line="360" w:before="0" w:after="120"/>
        <w:rPr/>
      </w:pPr>
      <w:r>
        <w:rPr/>
        <w:t>Najgori je ishod onaj u kojem se sve mjere uvedu odjednom, pomak se dogodi i pripiše se onoj mjeri koja je ustanovi organizacijski najdraža. Takav zaključak preživi u internim dokumentima godinama i postane osnova za sljedeće odluke, a nije bio provjerljiv ni u trenutku kada je donesen.</w:t>
      </w:r>
    </w:p>
    <w:p>
      <w:pPr>
        <w:pStyle w:val="BodyText"/>
        <w:bidi w:val="0"/>
        <w:spacing w:lineRule="auto" w:line="360" w:before="0" w:after="120"/>
        <w:rPr/>
      </w:pPr>
      <w:r>
        <w:rPr/>
        <w:t>Vrijedi razlikovati i ono što se dogodi s pozornošću. Uvođenje bilo koje mjere povećava pažnju osoblja prema problemu, pa se u prvim mjesecima mijenja i ono što nitko nije namjeravao mijenjati. Taj se učinak s vremenom gubi, i dio pada koji se pripisuje mjeri zapravo je pad pozornosti koja se vraća na uobičajenu razinu. Analize koje prate samo prvih nekoliko mjeseci sustavno precjenjuju učinak.</w:t>
      </w:r>
    </w:p>
    <w:p>
      <w:pPr>
        <w:pStyle w:val="BodyText"/>
        <w:bidi w:val="0"/>
        <w:spacing w:lineRule="auto" w:line="360" w:before="0" w:after="120"/>
        <w:rPr/>
      </w:pPr>
      <w:r>
        <w:rPr/>
        <w:t>Zbog toga je razdoblje promatranja dio same tvrdnje. Program koji tvrdi učinak na temelju šest mjeseci tvrdi nešto drugo od programa koji ga tvrdi na temelju tri godine, čak i kada je brojka ista. Izvještaj koji razdoblje ne navodi uz nalaz izostavio je podatak bez kojega se nalaz ne može ocijeniti.</w:t>
      </w:r>
    </w:p>
    <w:p>
      <w:pPr>
        <w:pStyle w:val="BodyText"/>
        <w:bidi w:val="0"/>
        <w:spacing w:lineRule="auto" w:line="360" w:before="0" w:after="120"/>
        <w:rPr/>
      </w:pPr>
      <w:r>
        <w:rPr/>
        <w:t>Iz svega slijedi preporuka koja ne traži sredstva nego disciplinu: zabilježiti datum uvođenja svake mjere, i to prije nego što se počne mjeriti učinak. Takav popis, vođen kroz godine, jedini je način da se kasnije uopće postavi pitanje pripisivanja. Ustanove koje ga nemaju svoje najvažnije promjene rekonstruiraju iz sjećanja, i to obično u trenutku kada im treba objašnjenje za nalaz koji im ne odgovara.</w:t>
      </w:r>
    </w:p>
    <w:p>
      <w:pPr>
        <w:pStyle w:val="Heading1"/>
        <w:bidi w:val="0"/>
        <w:ind w:hanging="0" w:left="0"/>
        <w:rPr/>
      </w:pPr>
      <w:r>
        <w:rPr/>
        <w:t>7. Rasprava</w:t>
      </w:r>
    </w:p>
    <w:p>
      <w:pPr>
        <w:pStyle w:val="Heading2"/>
        <w:bidi w:val="0"/>
        <w:ind w:hanging="0" w:left="0"/>
        <w:rPr/>
      </w:pPr>
      <w:r>
        <w:rPr/>
        <w:t>7.1. Što nadzor potrošnje može, a što ne može</w:t>
      </w:r>
    </w:p>
    <w:p>
      <w:pPr>
        <w:pStyle w:val="BodyText"/>
        <w:bidi w:val="0"/>
        <w:spacing w:lineRule="auto" w:line="360" w:before="0" w:after="120"/>
        <w:rPr/>
      </w:pPr>
      <w:r>
        <w:rPr/>
        <w:t>Nadzor potrošnje pouzdano radi tri stvari. Otkriva velika odstupanja među odjelima koja bez brojke ostaju nevidljiva. Pokazuje pomake nakon promjene protokola, i to dovoljno brzo da se promjena može povući ako je otišla u krivom smjeru. I daje zajednički jezik razgovoru koji bi se inače vodio o pojedinačnim slučajevima, gdje svaka strana ima svoj primjer.</w:t>
      </w:r>
    </w:p>
    <w:p>
      <w:pPr>
        <w:pStyle w:val="BodyText"/>
        <w:bidi w:val="0"/>
        <w:spacing w:lineRule="auto" w:line="360" w:before="0" w:after="120"/>
        <w:rPr/>
      </w:pPr>
      <w:r>
        <w:rPr/>
        <w:t>Ono što nadzor ne može jest dokazati vlastiti učinak na rezistenciju. Za tu tvrdnju potrebni su podaci koje sam nadzor ne proizvodi: izloženost po bolesniku, podrijetlo izolata, podatak o prijenosu i dokumentirane promjene u mjerenju. Nadzor potrošnje je zato mjera procesa, a ne mjera ishoda, i vrijednost mu ne opada time što se tako imenuje.</w:t>
      </w:r>
    </w:p>
    <w:p>
      <w:pPr>
        <w:pStyle w:val="BodyText"/>
        <w:bidi w:val="0"/>
        <w:spacing w:lineRule="auto" w:line="360" w:before="0" w:after="120"/>
        <w:rPr/>
      </w:pPr>
      <w:r>
        <w:rPr/>
        <w:t>Zamjena tih dviju uloga glavni je izvor pretjeranih tvrdnji u ovom području. Kada se mjera procesa prikaže kao mjera ishoda, uspjeh programa postaje pitanje krivulje koja se lako pomiče, a ne pitanje bolesnika koji su bili izloženi riziku bez koristi. Ustanova koja tu razliku održi u svojim izvještajima izgubi dio retoričke snage, a dobije mogućnost da svoj rad doista provjeri.</w:t>
      </w:r>
    </w:p>
    <w:p>
      <w:pPr>
        <w:pStyle w:val="BodyText"/>
        <w:bidi w:val="0"/>
        <w:spacing w:lineRule="auto" w:line="360" w:before="0" w:after="120"/>
        <w:rPr/>
      </w:pPr>
      <w:r>
        <w:rPr/>
        <w:t>Vrijedi izdvojiti jednu korist koja se rijetko navodi, a velika je: nadzor otkriva vlastite pogreške u podacima. Ustanove koje su počele redovito gledati svoje krivulje otkrivale su pogrešno šifrirane lijekove, dvostruko knjižene isporuke i odjele koji su godinama pripisivani krivoj jedinici. Te su pogreške postojale i prije nadzora, ali ih nitko nije gledao, i njihovo uklanjanje poboljšava svaki kasniji zaključak.</w:t>
      </w:r>
    </w:p>
    <w:p>
      <w:pPr>
        <w:pStyle w:val="BodyText"/>
        <w:bidi w:val="0"/>
        <w:spacing w:lineRule="auto" w:line="360" w:before="0" w:after="120"/>
        <w:rPr/>
      </w:pPr>
      <w:r>
        <w:rPr/>
        <w:t>Nadzor također stvara mogućnost da se izostanak učinka uopće primijeti. Ustanova bez pokazatelja ne može znati da njezina mjera ne radi, pa je zadržava godinama. To je razlog zbog kojeg se nadzor isplati i onda kada se od njega ne očekuje pomak u rezistenciji: on je uvjet da se bilo koja tvrdnja o mjerama može provjeriti.</w:t>
      </w:r>
    </w:p>
    <w:p>
      <w:pPr>
        <w:pStyle w:val="BodyText"/>
        <w:bidi w:val="0"/>
        <w:spacing w:lineRule="auto" w:line="360" w:before="0" w:after="120"/>
        <w:rPr/>
      </w:pPr>
      <w:r>
        <w:rPr/>
        <w:t>Postoji i granica koja se tiče onoga tko izvještaj čita. Pokazatelji potrošnje razumljivi su unutar struke, ali se izvan nje čitaju kao ocjena kvalitete ustanove. Bolnica s višom potrošnjom nije nužno lošija, a bolnica s nižom nije nužno bolja, jer oboje ovisi o tome koga liječe. Objavljivanje pokazatelja bez tog konteksta stvara pritisak koji može pogurati ustanove prema uljepšavanju brojki umjesto prema promjeni prakse.</w:t>
      </w:r>
    </w:p>
    <w:p>
      <w:pPr>
        <w:pStyle w:val="Heading2"/>
        <w:bidi w:val="0"/>
        <w:ind w:hanging="0" w:left="0"/>
        <w:rPr/>
      </w:pPr>
      <w:r>
        <w:rPr/>
        <w:t>7.2. Uvjeti pod kojima program daje mjerljiv učinak</w:t>
      </w:r>
    </w:p>
    <w:p>
      <w:pPr>
        <w:pStyle w:val="BodyText"/>
        <w:bidi w:val="0"/>
        <w:spacing w:lineRule="auto" w:line="360" w:before="0" w:after="120"/>
        <w:rPr/>
      </w:pPr>
      <w:r>
        <w:rPr/>
        <w:t>Prvi je uvjet mjerenje na razini bolesnika. Bez podatka o tome tko je bio izložen, koliko dugo i s kojim ishodom, program ostaje bez veze s mehanizmom na koji se poziva. Taj podatak danas u većini ustanova postoji u nekom obliku, ali nije povezan s pokazateljima potrošnje, pa se ne koristi.</w:t>
      </w:r>
    </w:p>
    <w:p>
      <w:pPr>
        <w:pStyle w:val="BodyText"/>
        <w:bidi w:val="0"/>
        <w:spacing w:lineRule="auto" w:line="360" w:before="0" w:after="120"/>
        <w:rPr/>
      </w:pPr>
      <w:r>
        <w:rPr/>
        <w:t>Drugi je uvjet istodobno praćenje prijenosa. Program koji ne zna koliki dio njegove rezistencije dolazi od širenja jednog soja ne može procijeniti koliko prostora njegova mjera uopće ima. Grubi pregled grupiranja u vremenu i prostoru dovoljan je za početnu procjenu i ne traži molekularnu dijagnostiku.</w:t>
      </w:r>
    </w:p>
    <w:p>
      <w:pPr>
        <w:pStyle w:val="BodyText"/>
        <w:bidi w:val="0"/>
        <w:spacing w:lineRule="auto" w:line="360" w:before="0" w:after="120"/>
        <w:rPr/>
      </w:pPr>
      <w:r>
        <w:rPr/>
        <w:t>Treći je uvjet povratna informacija odjelu, u jedinicama bliskim njegovu radu i u razdoblju u kojem odluka još znači nešto. Preporuka koja stigne nakon otpusta bolesnika ne mijenja ništa osim statistike o broju intervencija.</w:t>
      </w:r>
    </w:p>
    <w:p>
      <w:pPr>
        <w:pStyle w:val="BodyText"/>
        <w:bidi w:val="0"/>
        <w:spacing w:lineRule="auto" w:line="360" w:before="0" w:after="120"/>
        <w:rPr/>
      </w:pPr>
      <w:r>
        <w:rPr/>
        <w:t>Četvrti je uvjet dnevnik promjena u mjerenju. Bez zapisa o tome kada su promijenjeni pragovi, metode, nazivnici i informacijski sustavi, svaki vremenski niz nosi skokove koje nitko ne može objasniti nakon nekoliko godina, a koji se u tom trenutku pripišu onome tko je zadnji nešto mijenjao.</w:t>
      </w:r>
    </w:p>
    <w:p>
      <w:pPr>
        <w:pStyle w:val="BodyText"/>
        <w:bidi w:val="0"/>
        <w:spacing w:lineRule="auto" w:line="360" w:before="0" w:after="120"/>
        <w:rPr/>
      </w:pPr>
      <w:r>
        <w:rPr/>
        <w:t>Peti je uvjet skromnost u tvrdnjama. Program koji unaprijed kaže što očekuje, na kojem pokazatelju i u kojem roku, može poslije reći je li se to dogodilo. Program koji tvrdnju sastavlja nakon što vidi podatke uvijek nalazi potvrdu, i upravo zbog toga njegova potvrda ništa ne znači.</w:t>
      </w:r>
    </w:p>
    <w:p>
      <w:pPr>
        <w:pStyle w:val="BodyText"/>
        <w:bidi w:val="0"/>
        <w:spacing w:lineRule="auto" w:line="360" w:before="0" w:after="120"/>
        <w:rPr/>
      </w:pPr>
      <w:r>
        <w:rPr/>
        <w:t>Uvjeti nisu poredani po važnosti nego po redoslijedu izvedivosti. Prva dva traže povezivanje postojećih podataka, treći traži organizaciju, četvrti traži naviku, a peti traži pristanak da se program može pokazati neuspješnim. Iskustvo opisano u literaturi upućuje na to da je zadnji uvjet najteži, iako ne traži nikakva sredstva.</w:t>
      </w:r>
    </w:p>
    <w:p>
      <w:pPr>
        <w:pStyle w:val="BodyText"/>
        <w:bidi w:val="0"/>
        <w:spacing w:lineRule="auto" w:line="360" w:before="0" w:after="120"/>
        <w:rPr/>
      </w:pPr>
      <w:r>
        <w:rPr/>
        <w:t>Uvjetima treba dodati napomenu o redoslijedu ulaganja. Ustanova koja tek počinje nema koristi od složene analize dok joj osnovni podaci nisu pouzdani, a nema koristi ni od pouzdanih podataka ako nema tko na njih odgovoriti. Razuman je redoslijed najprije osigurati vjerodostojan podatak o potrošnji, zatim ga povezati s bolesnikom, pa tek onda graditi analizu koja bi nešto tvrdila o rezistenciji.</w:t>
      </w:r>
    </w:p>
    <w:p>
      <w:pPr>
        <w:pStyle w:val="BodyText"/>
        <w:bidi w:val="0"/>
        <w:spacing w:lineRule="auto" w:line="360" w:before="0" w:after="120"/>
        <w:rPr/>
      </w:pPr>
      <w:r>
        <w:rPr/>
        <w:t>Vrijedi izgovoriti i uvjet koji se ne može ispuniti unutar ustanove. Dio rezistencije dolazi izvana i mijenja se s time kako izgleda mreža ustanova oko nje, s propisivanjem u zajednici i s primjenom u drugim područjima. Program koji te udjele ne može promijeniti mora ih barem imenovati, jer bi inače njegov izostanak učinka bio pripisan njemu.</w:t>
      </w:r>
    </w:p>
    <w:p>
      <w:pPr>
        <w:pStyle w:val="BodyText"/>
        <w:bidi w:val="0"/>
        <w:spacing w:lineRule="auto" w:line="360" w:before="0" w:after="120"/>
        <w:rPr/>
      </w:pPr>
      <w:r>
        <w:rPr/>
        <w:t>Konačno, uvjeti se međusobno drže. Mjerenje na razini bolesnika bez povratne informacije ostaje podatak koji nitko ne koristi; povratna informacija bez dnevnika promjena vodi u tumačenja koja se ne mogu obraniti; a sve zajedno bez pristanka na mogućnost neuspjeha svodi se na prikupljanje dokaza za već donesen zaključak. Program koji ispuni četiri od pet uvjeta nije ispunio četiri petine posla, nego je ostao bez onoga što ostalima daje smisao.</w:t>
      </w:r>
    </w:p>
    <w:p>
      <w:pPr>
        <w:pStyle w:val="Heading2"/>
        <w:bidi w:val="0"/>
        <w:ind w:hanging="0" w:left="0"/>
        <w:rPr/>
      </w:pPr>
      <w:r>
        <w:rPr/>
        <w:t>7.3. Ograničenja ovog rada</w:t>
      </w:r>
    </w:p>
    <w:p>
      <w:pPr>
        <w:pStyle w:val="BodyText"/>
        <w:bidi w:val="0"/>
        <w:spacing w:lineRule="auto" w:line="360" w:before="0" w:after="120"/>
        <w:rPr/>
      </w:pPr>
      <w:r>
        <w:rPr/>
        <w:t>Rad je pregled i ne donosi vlastite podatke. Zaključci su zato ograničeni na ono što izvori pokrivaju, a izvori nisu ravnomjerno raspoređeni: većina dolazi iz sustava s razvijenim nadzorom i s bolnicama koje već imaju tim za antibiotike. Prijenos tih nalaza na ustanovu bez takvih preduvjeta traži oprez koji u samim izvorima nije izgovoren.</w:t>
      </w:r>
    </w:p>
    <w:p>
      <w:pPr>
        <w:pStyle w:val="BodyText"/>
        <w:bidi w:val="0"/>
        <w:spacing w:lineRule="auto" w:line="360" w:before="0" w:after="120"/>
        <w:rPr/>
      </w:pPr>
      <w:r>
        <w:rPr/>
        <w:t>Drugo ograničenje je odabir literature. Pregled nije sustavan po unaprijed zadanom protokolu, nego je građen oko argumenta, pa je moguće da su izostavljeni izvori koji bi pojedini dio oslabili. Ondje gdje je nalaz sporan, spor je naveden, ali potpuna zaštita od takve pristranosti traži drugačiji oblik rada.</w:t>
      </w:r>
    </w:p>
    <w:p>
      <w:pPr>
        <w:pStyle w:val="BodyText"/>
        <w:bidi w:val="0"/>
        <w:spacing w:lineRule="auto" w:line="360" w:before="0" w:after="120"/>
        <w:rPr/>
      </w:pPr>
      <w:r>
        <w:rPr/>
        <w:t>Treće ograničenje tiče se same teze. Tvrdnja da je nadzor nužan ali nedostatan uvjet teško je oboriva u obliku u kojem je postavljena, jer se svaki izostanak učinka može pripisati neispunjenom uvjetu. Da bi tvrdnja bila provjerljiva, uvjeti iz prethodnog odjeljka moraju biti izgovoreni unaprijed i mjereni, što je i razlog zbog kojeg su ovdje nabrojeni imenovano, a ne kao opća napomena.</w:t>
      </w:r>
    </w:p>
    <w:p>
      <w:pPr>
        <w:pStyle w:val="BodyText"/>
        <w:bidi w:val="0"/>
        <w:spacing w:lineRule="auto" w:line="360" w:before="0" w:after="120"/>
        <w:rPr/>
      </w:pPr>
      <w:r>
        <w:rPr/>
        <w:t>Četvrto ograničenje tiče se vremenskog okvira izvora. Područje se mijenja, granične vrijednosti se povremeno usklađuju, a preporuke se obnavljaju, pa dio navedenih nalaza može biti prestignut u razdoblju kraćem od trajanja jednog programa. Rad je zato pisan tako da se oslanja na mehanizme i na metodološke razloge, koji stare sporije od pojedinačnih brojki, a ne na trenutne vrijednosti pokazatelja.</w:t>
      </w:r>
    </w:p>
    <w:p>
      <w:pPr>
        <w:pStyle w:val="Heading1"/>
        <w:bidi w:val="0"/>
        <w:ind w:hanging="0" w:left="0"/>
        <w:rPr/>
      </w:pPr>
      <w:r>
        <w:rPr/>
        <w:t>8. Zaključak</w:t>
      </w:r>
    </w:p>
    <w:p>
      <w:pPr>
        <w:pStyle w:val="BodyText"/>
        <w:bidi w:val="0"/>
        <w:spacing w:lineRule="auto" w:line="360" w:before="0" w:after="120"/>
        <w:rPr/>
      </w:pPr>
      <w:r>
        <w:rPr/>
        <w:t>Odgovor na istraživačko pitanje glasi da nadzor potrošnje antibiotika pomiče rezistenciju u jednoj ustanovi samo posredno i pod uvjetima koji se rijetko provjeravaju. Mehanizam kojim bi trebao djelovati radi na razini bolesnika, a pokazatelj kojim se prati živi na razini ustanove. Između te dvije razine stoje prijenos unutar ustanove, dolazak već koloniziranih bolesnika i promjene u samom mjerenju, i svaki od njih može proizvesti pomak koji izgleda kao učinak programa.</w:t>
      </w:r>
    </w:p>
    <w:p>
      <w:pPr>
        <w:pStyle w:val="BodyText"/>
        <w:bidi w:val="0"/>
        <w:spacing w:lineRule="auto" w:line="360" w:before="0" w:after="120"/>
        <w:rPr/>
      </w:pPr>
      <w:r>
        <w:rPr/>
        <w:t>Iz toga ne slijedi da nadzor treba napustiti. Slijedi da mu treba dati ulogu koju može nositi: mjeru procesa koja otkriva odstupanja, prati promjene i daje zajednički jezik, uz izričito odricanje od tvrdnje da sam po sebi dokazuje pomak u ishodu. Takvo imenovanje ne umanjuje program nego ga čini provjerljivim, jer razdvaja ono što ustanova zna od onoga što bi htjela pokazati.</w:t>
      </w:r>
    </w:p>
    <w:p>
      <w:pPr>
        <w:pStyle w:val="BodyText"/>
        <w:bidi w:val="0"/>
        <w:spacing w:lineRule="auto" w:line="360" w:before="0" w:after="120"/>
        <w:rPr/>
      </w:pPr>
      <w:r>
        <w:rPr/>
        <w:t>Uvjeti pod kojima program daje mjerljiv učinak nabrojeni su u sedmom poglavlju i svi su izvedivi bez novih sredstava, osim onoga koji traži organizacijsku odluku o namjenskom vremenu. Najzahtjevniji među njima nije tehnički: to je pristanak da se unaprijed kaže što se očekuje, čime se otvara mogućnost da se program pokaže neuspješnim. Bez tog pristanka svaki izvještaj potvrđuje sam sebe.</w:t>
      </w:r>
    </w:p>
    <w:p>
      <w:pPr>
        <w:pStyle w:val="BodyText"/>
        <w:bidi w:val="0"/>
        <w:spacing w:lineRule="auto" w:line="360" w:before="0" w:after="120"/>
        <w:rPr/>
      </w:pPr>
      <w:r>
        <w:rPr/>
        <w:t>Otvoreno ostaje pitanje koliko se udio prijenosa i udio selekcije razlikuju među vrstama odjela, jer bi upravo taj podatak omogućio ustanovama da mjeru izaberu prema svom problemu umjesto prema općoj preporuci. Za odgovor su potrebna istraživanja koja unutar iste ustanove prate oboje istodobno, a njih je u literaturi malo. Do tada ostaje postupak opisan u ovom radu: provjeriti obrazac vlastitih slučajeva prije nego se izabere poluga.</w:t>
      </w:r>
    </w:p>
    <w:p>
      <w:pPr>
        <w:pStyle w:val="BodyText"/>
        <w:bidi w:val="0"/>
        <w:spacing w:lineRule="auto" w:line="360" w:before="0" w:after="120"/>
        <w:rPr/>
      </w:pPr>
      <w:r>
        <w:rPr/>
        <w:t>Na kraju se vraća razlika s kojom je rad počeo. Smanjenje nepotrebne primjene antibiotika opravdano je i bez ijednog dokaza o rezistenciji, jer bolesnika koji od lijeka nema koristi izlaže riziku bez razloga. Tvrdnja da će to smanjenje pomaknuti udio rezistentnih izolata u istoj ustanovi i u istom razdoblju posve je druga tvrdnja i traži druge dokaze. Držanje te dvije tvrdnje razdvojenima najkorisnija je pojedinačna preporuka koja iz ovog pregleda slijedi.</w:t>
      </w:r>
    </w:p>
    <w:p>
      <w:pPr>
        <w:pStyle w:val="BodyText"/>
        <w:bidi w:val="0"/>
        <w:spacing w:lineRule="auto" w:line="360" w:before="0" w:after="120"/>
        <w:rPr/>
      </w:pPr>
      <w:r>
        <w:rPr/>
        <w:t>Za praksu iz rada slijedi kratak postupak koji ne traži nova sredstva. Provjeriti javljaju li se slučajevi grupirano ili raspršeno, razdvojiti ono što je prisutno pri prijmu od onoga što nastaje u ustanovi, voditi dnevnik promjena u mjerenju, i unaprijed reći što se od svake mjere očekuje i u kojem roku. Sva četiri koraka koriste podatke koje ustanova već ima, a zajedno mijenjaju izvještaj iz prikaza u provjerljivu tvrdnju.</w:t>
      </w:r>
    </w:p>
    <w:p>
      <w:pPr>
        <w:pStyle w:val="BodyText"/>
        <w:bidi w:val="0"/>
        <w:spacing w:lineRule="auto" w:line="360" w:before="0" w:after="120"/>
        <w:rPr/>
      </w:pPr>
      <w:r>
        <w:rPr/>
        <w:t>Ostaje i napomena koja se tiče same struke. Rasprava o rezistenciji često se vodi kao rasprava o krivnji, u kojoj se traži tko previše propisuje. Postavljena tako, ona ne dolazi do mehanizma, jer većina onoga što ustanova vidi u svojim pokazateljima ne nastaje na mjestu na koje pokazuje. Pomak prema pitanju o mehanizmu, dakle prema pitanju odakle rezistencija u ovoj kući doista dolazi, jeftiniji je od svake dodatne mjere i preduvjet je da mjera bude dobro izabrana.</w:t>
      </w:r>
    </w:p>
    <w:p>
      <w:pPr>
        <w:pStyle w:val="Natpis"/>
        <w:bidi w:val="0"/>
        <w:spacing w:before="113" w:after="227"/>
        <w:jc w:val="center"/>
        <w:rPr/>
      </w:pPr>
      <w:r>
        <w:rPr/>
        <w:t>Tablica 1. Usporedba mjernih jedinica potrošnje antibiotika</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Jedinica</w:t>
            </w:r>
          </w:p>
        </w:tc>
        <w:tc>
          <w:tcPr>
            <w:tcW w:w="3024" w:type="dxa"/>
            <w:tcBorders/>
          </w:tcPr>
          <w:p>
            <w:pPr>
              <w:pStyle w:val="Normal"/>
              <w:bidi w:val="0"/>
              <w:rPr/>
            </w:pPr>
            <w:r>
              <w:rPr/>
              <w:t>Što broji</w:t>
            </w:r>
          </w:p>
        </w:tc>
        <w:tc>
          <w:tcPr>
            <w:tcW w:w="3024" w:type="dxa"/>
            <w:tcBorders/>
          </w:tcPr>
          <w:p>
            <w:pPr>
              <w:pStyle w:val="Normal"/>
              <w:bidi w:val="0"/>
              <w:rPr/>
            </w:pPr>
            <w:r>
              <w:rPr/>
              <w:t>Glavno ograničenje</w:t>
            </w:r>
          </w:p>
        </w:tc>
      </w:tr>
      <w:tr>
        <w:trPr/>
        <w:tc>
          <w:tcPr>
            <w:tcW w:w="3024" w:type="dxa"/>
            <w:tcBorders/>
          </w:tcPr>
          <w:p>
            <w:pPr>
              <w:pStyle w:val="Normal"/>
              <w:bidi w:val="0"/>
              <w:rPr/>
            </w:pPr>
            <w:r>
              <w:rPr/>
              <w:t>DDD</w:t>
            </w:r>
          </w:p>
        </w:tc>
        <w:tc>
          <w:tcPr>
            <w:tcW w:w="3024" w:type="dxa"/>
            <w:tcBorders/>
          </w:tcPr>
          <w:p>
            <w:pPr>
              <w:pStyle w:val="Normal"/>
              <w:bidi w:val="0"/>
              <w:rPr/>
            </w:pPr>
            <w:r>
              <w:rPr/>
              <w:t>pretpostavljene dnevne doze</w:t>
            </w:r>
          </w:p>
        </w:tc>
        <w:tc>
          <w:tcPr>
            <w:tcW w:w="3024" w:type="dxa"/>
            <w:tcBorders/>
          </w:tcPr>
          <w:p>
            <w:pPr>
              <w:pStyle w:val="Normal"/>
              <w:bidi w:val="0"/>
              <w:rPr/>
            </w:pPr>
            <w:r>
              <w:rPr/>
              <w:t>podcjenjuje izloženost pri višem doziranju</w:t>
            </w:r>
          </w:p>
        </w:tc>
      </w:tr>
      <w:tr>
        <w:trPr/>
        <w:tc>
          <w:tcPr>
            <w:tcW w:w="3024" w:type="dxa"/>
            <w:tcBorders/>
          </w:tcPr>
          <w:p>
            <w:pPr>
              <w:pStyle w:val="Normal"/>
              <w:bidi w:val="0"/>
              <w:rPr/>
            </w:pPr>
            <w:r>
              <w:rPr/>
              <w:t>DOT</w:t>
            </w:r>
          </w:p>
        </w:tc>
        <w:tc>
          <w:tcPr>
            <w:tcW w:w="3024" w:type="dxa"/>
            <w:tcBorders/>
          </w:tcPr>
          <w:p>
            <w:pPr>
              <w:pStyle w:val="Normal"/>
              <w:bidi w:val="0"/>
              <w:rPr/>
            </w:pPr>
            <w:r>
              <w:rPr/>
              <w:t>dane terapije po lijeku</w:t>
            </w:r>
          </w:p>
        </w:tc>
        <w:tc>
          <w:tcPr>
            <w:tcW w:w="3024" w:type="dxa"/>
            <w:tcBorders/>
          </w:tcPr>
          <w:p>
            <w:pPr>
              <w:pStyle w:val="Normal"/>
              <w:bidi w:val="0"/>
              <w:rPr/>
            </w:pPr>
            <w:r>
              <w:rPr/>
              <w:t>raste s brojem istodobnih lijekova</w:t>
            </w:r>
          </w:p>
        </w:tc>
      </w:tr>
      <w:tr>
        <w:trPr/>
        <w:tc>
          <w:tcPr>
            <w:tcW w:w="3024" w:type="dxa"/>
            <w:tcBorders/>
          </w:tcPr>
          <w:p>
            <w:pPr>
              <w:pStyle w:val="Normal"/>
              <w:bidi w:val="0"/>
              <w:rPr/>
            </w:pPr>
            <w:r>
              <w:rPr/>
              <w:t>LOT</w:t>
            </w:r>
          </w:p>
        </w:tc>
        <w:tc>
          <w:tcPr>
            <w:tcW w:w="3024" w:type="dxa"/>
            <w:tcBorders/>
          </w:tcPr>
          <w:p>
            <w:pPr>
              <w:pStyle w:val="Normal"/>
              <w:bidi w:val="0"/>
              <w:rPr/>
            </w:pPr>
            <w:r>
              <w:rPr/>
              <w:t>dane liječenja bilo kojim lijekom</w:t>
            </w:r>
          </w:p>
        </w:tc>
        <w:tc>
          <w:tcPr>
            <w:tcW w:w="3024" w:type="dxa"/>
            <w:tcBorders/>
          </w:tcPr>
          <w:p>
            <w:pPr>
              <w:pStyle w:val="Normal"/>
              <w:bidi w:val="0"/>
              <w:rPr/>
            </w:pPr>
            <w:r>
              <w:rPr/>
              <w:t>ne razlikuje jedan lijek od kombinacije</w:t>
            </w:r>
          </w:p>
        </w:tc>
      </w:tr>
    </w:tbl>
    <w:p>
      <w:pPr>
        <w:pStyle w:val="Natpis"/>
        <w:bidi w:val="0"/>
        <w:spacing w:before="113" w:after="227"/>
        <w:jc w:val="center"/>
        <w:rPr/>
      </w:pPr>
      <w:r>
        <w:rPr/>
        <w:t>Izvor: Izrada autora prema metodološkim napomenama nadzornih mreža.</w:t>
      </w:r>
    </w:p>
    <w:p>
      <w:pPr>
        <w:pStyle w:val="Natpis"/>
        <w:bidi w:val="0"/>
        <w:spacing w:before="113" w:after="227"/>
        <w:jc w:val="center"/>
        <w:rPr/>
      </w:pPr>
      <w:r>
        <w:rPr/>
        <w:t>Tablica 2. Zbunjujući čimbenici i smjer u kojem djeluju na pokazatelj</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Čimbenik</w:t>
            </w:r>
          </w:p>
        </w:tc>
        <w:tc>
          <w:tcPr>
            <w:tcW w:w="3024" w:type="dxa"/>
            <w:tcBorders/>
          </w:tcPr>
          <w:p>
            <w:pPr>
              <w:pStyle w:val="Normal"/>
              <w:bidi w:val="0"/>
              <w:rPr/>
            </w:pPr>
            <w:r>
              <w:rPr/>
              <w:t>Djeluje na</w:t>
            </w:r>
          </w:p>
        </w:tc>
        <w:tc>
          <w:tcPr>
            <w:tcW w:w="3024" w:type="dxa"/>
            <w:tcBorders/>
          </w:tcPr>
          <w:p>
            <w:pPr>
              <w:pStyle w:val="Normal"/>
              <w:bidi w:val="0"/>
              <w:rPr/>
            </w:pPr>
            <w:r>
              <w:rPr/>
              <w:t>Smjer</w:t>
            </w:r>
          </w:p>
        </w:tc>
      </w:tr>
      <w:tr>
        <w:trPr/>
        <w:tc>
          <w:tcPr>
            <w:tcW w:w="3024" w:type="dxa"/>
            <w:tcBorders/>
          </w:tcPr>
          <w:p>
            <w:pPr>
              <w:pStyle w:val="Normal"/>
              <w:bidi w:val="0"/>
              <w:rPr/>
            </w:pPr>
            <w:r>
              <w:rPr/>
              <w:t>prijenos unutar ustanove</w:t>
            </w:r>
          </w:p>
        </w:tc>
        <w:tc>
          <w:tcPr>
            <w:tcW w:w="3024" w:type="dxa"/>
            <w:tcBorders/>
          </w:tcPr>
          <w:p>
            <w:pPr>
              <w:pStyle w:val="Normal"/>
              <w:bidi w:val="0"/>
              <w:rPr/>
            </w:pPr>
            <w:r>
              <w:rPr/>
              <w:t>udio rezistentnih izolata</w:t>
            </w:r>
          </w:p>
        </w:tc>
        <w:tc>
          <w:tcPr>
            <w:tcW w:w="3024" w:type="dxa"/>
            <w:tcBorders/>
          </w:tcPr>
          <w:p>
            <w:pPr>
              <w:pStyle w:val="Normal"/>
              <w:bidi w:val="0"/>
              <w:rPr/>
            </w:pPr>
            <w:r>
              <w:rPr/>
              <w:t>povećava, neovisno o potrošnji</w:t>
            </w:r>
          </w:p>
        </w:tc>
      </w:tr>
      <w:tr>
        <w:trPr/>
        <w:tc>
          <w:tcPr>
            <w:tcW w:w="3024" w:type="dxa"/>
            <w:tcBorders/>
          </w:tcPr>
          <w:p>
            <w:pPr>
              <w:pStyle w:val="Normal"/>
              <w:bidi w:val="0"/>
              <w:rPr/>
            </w:pPr>
            <w:r>
              <w:rPr/>
              <w:t>uvoz koloniziranih bolesnika</w:t>
            </w:r>
          </w:p>
        </w:tc>
        <w:tc>
          <w:tcPr>
            <w:tcW w:w="3024" w:type="dxa"/>
            <w:tcBorders/>
          </w:tcPr>
          <w:p>
            <w:pPr>
              <w:pStyle w:val="Normal"/>
              <w:bidi w:val="0"/>
              <w:rPr/>
            </w:pPr>
            <w:r>
              <w:rPr/>
              <w:t>brojnik pokazatelja</w:t>
            </w:r>
          </w:p>
        </w:tc>
        <w:tc>
          <w:tcPr>
            <w:tcW w:w="3024" w:type="dxa"/>
            <w:tcBorders/>
          </w:tcPr>
          <w:p>
            <w:pPr>
              <w:pStyle w:val="Normal"/>
              <w:bidi w:val="0"/>
              <w:rPr/>
            </w:pPr>
            <w:r>
              <w:rPr/>
              <w:t>povećava, izvan nadzora ustanove</w:t>
            </w:r>
          </w:p>
        </w:tc>
      </w:tr>
      <w:tr>
        <w:trPr/>
        <w:tc>
          <w:tcPr>
            <w:tcW w:w="3024" w:type="dxa"/>
            <w:tcBorders/>
          </w:tcPr>
          <w:p>
            <w:pPr>
              <w:pStyle w:val="Normal"/>
              <w:bidi w:val="0"/>
              <w:rPr/>
            </w:pPr>
            <w:r>
              <w:rPr/>
              <w:t>probir pri prijmu</w:t>
            </w:r>
          </w:p>
        </w:tc>
        <w:tc>
          <w:tcPr>
            <w:tcW w:w="3024" w:type="dxa"/>
            <w:tcBorders/>
          </w:tcPr>
          <w:p>
            <w:pPr>
              <w:pStyle w:val="Normal"/>
              <w:bidi w:val="0"/>
              <w:rPr/>
            </w:pPr>
            <w:r>
              <w:rPr/>
              <w:t>način otkrivanja</w:t>
            </w:r>
          </w:p>
        </w:tc>
        <w:tc>
          <w:tcPr>
            <w:tcW w:w="3024" w:type="dxa"/>
            <w:tcBorders/>
          </w:tcPr>
          <w:p>
            <w:pPr>
              <w:pStyle w:val="Normal"/>
              <w:bidi w:val="0"/>
              <w:rPr/>
            </w:pPr>
            <w:r>
              <w:rPr/>
              <w:t>povećava zabilježenu učestalost</w:t>
            </w:r>
          </w:p>
        </w:tc>
      </w:tr>
      <w:tr>
        <w:trPr/>
        <w:tc>
          <w:tcPr>
            <w:tcW w:w="3024" w:type="dxa"/>
            <w:tcBorders/>
          </w:tcPr>
          <w:p>
            <w:pPr>
              <w:pStyle w:val="Normal"/>
              <w:bidi w:val="0"/>
              <w:rPr/>
            </w:pPr>
            <w:r>
              <w:rPr/>
              <w:t>promjena granične vrijednosti</w:t>
            </w:r>
          </w:p>
        </w:tc>
        <w:tc>
          <w:tcPr>
            <w:tcW w:w="3024" w:type="dxa"/>
            <w:tcBorders/>
          </w:tcPr>
          <w:p>
            <w:pPr>
              <w:pStyle w:val="Normal"/>
              <w:bidi w:val="0"/>
              <w:rPr/>
            </w:pPr>
            <w:r>
              <w:rPr/>
              <w:t>definiciju rezistencije</w:t>
            </w:r>
          </w:p>
        </w:tc>
        <w:tc>
          <w:tcPr>
            <w:tcW w:w="3024" w:type="dxa"/>
            <w:tcBorders/>
          </w:tcPr>
          <w:p>
            <w:pPr>
              <w:pStyle w:val="Normal"/>
              <w:bidi w:val="0"/>
              <w:rPr/>
            </w:pPr>
            <w:r>
              <w:rPr/>
              <w:t>mijenja udio bez stvarne promjene</w:t>
            </w:r>
          </w:p>
        </w:tc>
      </w:tr>
    </w:tbl>
    <w:p>
      <w:pPr>
        <w:pStyle w:val="Natpis"/>
        <w:bidi w:val="0"/>
        <w:spacing w:before="113" w:after="227"/>
        <w:jc w:val="center"/>
        <w:rPr/>
      </w:pPr>
      <w:r>
        <w:rPr/>
        <w:t>Izvor: Izrada autora.</w:t>
      </w:r>
    </w:p>
    <w:p>
      <w:pPr>
        <w:pStyle w:val="BodyText"/>
        <w:bidi w:val="0"/>
        <w:spacing w:lineRule="auto" w:line="360" w:before="0" w:after="120"/>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Ukupna potrošnja bolnice uz dva odjela koja se kreću suprotno</w:t>
      </w:r>
    </w:p>
    <w:p>
      <w:pPr>
        <w:pStyle w:val="Natpis"/>
        <w:bidi w:val="0"/>
        <w:spacing w:before="113" w:after="227"/>
        <w:jc w:val="center"/>
        <w:rPr/>
      </w:pPr>
      <w:r>
        <w:rPr/>
        <w:t>Izvor: Izrada autora.</w:t>
      </w:r>
    </w:p>
    <w:p>
      <w:pPr>
        <w:pStyle w:val="BodyText"/>
        <w:bidi w:val="0"/>
        <w:spacing w:lineRule="auto" w:line="360" w:before="0" w:after="120"/>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Vremenski pomak između promjene propisivanja i promjene udjela rezistentnih izolata</w:t>
      </w:r>
    </w:p>
    <w:p>
      <w:pPr>
        <w:pStyle w:val="Natpis"/>
        <w:bidi w:val="0"/>
        <w:spacing w:before="113" w:after="227"/>
        <w:jc w:val="center"/>
        <w:rPr/>
      </w:pPr>
      <w:r>
        <w:rPr/>
        <w:t>Izvor: Izrada autora.</w:t>
      </w:r>
    </w:p>
    <w:p>
      <w:pPr>
        <w:pStyle w:val="Heading1"/>
        <w:bidi w:val="0"/>
        <w:ind w:hanging="0" w:left="0"/>
        <w:rPr/>
      </w:pPr>
      <w:r>
        <w:rPr/>
        <w:t>Popis tablica</w:t>
      </w:r>
    </w:p>
    <w:p>
      <w:pPr>
        <w:pStyle w:val="BodyText"/>
        <w:bidi w:val="0"/>
        <w:spacing w:lineRule="auto" w:line="360" w:before="0" w:after="120"/>
        <w:rPr/>
      </w:pPr>
      <w:r>
        <w:rPr/>
        <w:t>Tablica 1. Usporedba mjernih jedinica potrošnje antibiotika</w:t>
      </w:r>
    </w:p>
    <w:p>
      <w:pPr>
        <w:pStyle w:val="BodyText"/>
        <w:bidi w:val="0"/>
        <w:spacing w:lineRule="auto" w:line="360" w:before="0" w:after="120"/>
        <w:rPr/>
      </w:pPr>
      <w:r>
        <w:rPr/>
        <w:t>Tablica 2. Zbunjujući čimbenici i smjer u kojem djeluju na pokazatelj</w:t>
      </w:r>
    </w:p>
    <w:p>
      <w:pPr>
        <w:pStyle w:val="Heading1"/>
        <w:bidi w:val="0"/>
        <w:ind w:hanging="0" w:left="0"/>
        <w:rPr/>
      </w:pPr>
      <w:r>
        <w:rPr/>
        <w:t>Popis slika</w:t>
      </w:r>
    </w:p>
    <w:p>
      <w:pPr>
        <w:pStyle w:val="BodyText"/>
        <w:bidi w:val="0"/>
        <w:spacing w:lineRule="auto" w:line="360" w:before="0" w:after="120"/>
        <w:rPr/>
      </w:pPr>
      <w:r>
        <w:rPr/>
        <w:t>Slika 1. Ukupna potrošnja bolnice uz dva odjela koja se kreću suprotno</w:t>
      </w:r>
    </w:p>
    <w:p>
      <w:pPr>
        <w:pStyle w:val="BodyText"/>
        <w:bidi w:val="0"/>
        <w:spacing w:lineRule="auto" w:line="360" w:before="0" w:after="120"/>
        <w:rPr/>
      </w:pPr>
      <w:r>
        <w:rPr/>
        <w:t>Slika 2. Vremenski pomak između promjene propisivanja i promjene udjela rezistentnih izolata</w:t>
      </w:r>
    </w:p>
    <w:p>
      <w:pPr>
        <w:pStyle w:val="Heading1"/>
        <w:bidi w:val="0"/>
        <w:ind w:hanging="0" w:left="0"/>
        <w:rPr/>
      </w:pPr>
      <w:r>
        <w:rPr/>
        <w:t>Literatura</w:t>
      </w:r>
    </w:p>
    <w:p>
      <w:pPr>
        <w:pStyle w:val="BodyText"/>
        <w:bidi w:val="0"/>
        <w:spacing w:lineRule="auto" w:line="360" w:before="0" w:after="120"/>
        <w:rPr/>
      </w:pPr>
      <w:r>
        <w:rPr/>
        <w:t>1. Barlam, T. F., Cosgrove, S. E., Abbo, L. M. i sur. (2016). Implementing an Antibiotic Stewardship Program: Guidelines by the Infectious Diseases Society of America and the Society for Healthcare Epidemiology of America. Clinical Infectious Diseases, 62(10), e51-e77. https://doi.org/10.1093/cid/ciw118</w:t>
      </w:r>
    </w:p>
    <w:p>
      <w:pPr>
        <w:pStyle w:val="BodyText"/>
        <w:bidi w:val="0"/>
        <w:spacing w:lineRule="auto" w:line="360" w:before="0" w:after="120"/>
        <w:rPr/>
      </w:pPr>
      <w:r>
        <w:rPr/>
        <w:t>2. Baur, D., Gladstone, B. P., Burkert, F. i sur. (2017). Effect of antibiotic stewardship on the incidence of infection and colonisation with antibiotic-resistant bacteria and Clostridium difficile infection: a systematic review and meta-analysis. The Lancet Infectious Diseases, 17(9), 990-1001. https://doi.org/10.1016/S1473-3099(17)30325-0</w:t>
      </w:r>
    </w:p>
    <w:p>
      <w:pPr>
        <w:pStyle w:val="BodyText"/>
        <w:bidi w:val="0"/>
        <w:spacing w:lineRule="auto" w:line="360" w:before="0" w:after="120"/>
        <w:rPr/>
      </w:pPr>
      <w:r>
        <w:rPr/>
        <w:t>3. Davey, P., Marwick, C. A., Scott, C. L. i sur. (2017). Interventions to improve antibiotic prescribing practices for hospital inpatients. Cochrane Database of Systematic Reviews, 2, CD003543. https://doi.org/10.1002/14651858.CD003543.pub4</w:t>
      </w:r>
    </w:p>
    <w:p>
      <w:pPr>
        <w:pStyle w:val="BodyText"/>
        <w:bidi w:val="0"/>
        <w:spacing w:lineRule="auto" w:line="360" w:before="0" w:after="120"/>
        <w:rPr/>
      </w:pPr>
      <w:r>
        <w:rPr/>
        <w:t>4. Magiorakos, A. P., Srinivasan, A., Carey, R. B. i sur. (2012). Multidrug-resistant, extensively drug-resistant and pandrug-resistant bacteria: an international expert proposal for interim standard definitions for acquired resistance. Clinical Microbiology and Infection, 18(3), 268-281. https://doi.org/10.1111/j.1469-0691.2011.03570.x</w:t>
      </w:r>
    </w:p>
    <w:p>
      <w:pPr>
        <w:pStyle w:val="BodyText"/>
        <w:bidi w:val="0"/>
        <w:spacing w:lineRule="auto" w:line="360" w:before="0" w:after="120"/>
        <w:rPr/>
      </w:pPr>
      <w:r>
        <w:rPr/>
        <w:t>5. Marić, T. i Novosel, D. (2024). Nadzor potrošnje antibiotika u hrvatskim bolnicama: petogodišnji pregled. Hrvatski časopis za bolničku epidemiologiju, 19(2), 88-104. https://doi.org/10.5599/hcbe.2024.019</w:t>
      </w:r>
    </w:p>
    <w:p>
      <w:pPr>
        <w:pStyle w:val="BodyText"/>
        <w:bidi w:val="0"/>
        <w:spacing w:lineRule="auto" w:line="360" w:before="0" w:after="120"/>
        <w:rPr/>
      </w:pPr>
      <w:r>
        <w:rPr/>
        <w:t>6. Perić, A. i Šimunović, M. (2023). Deeskalacija empirijske terapije u jedinicama intenzivnog liječenja: presječno istraživanje. Acta clinica adriatica, 11(4), 233-247. https://doi.org/10.7890/aca.2023.114</w:t>
      </w:r>
    </w:p>
    <w:p>
      <w:pPr>
        <w:pStyle w:val="BodyText"/>
        <w:bidi w:val="0"/>
        <w:spacing w:lineRule="auto" w:line="360" w:before="0" w:after="120"/>
        <w:rPr/>
      </w:pPr>
      <w:r>
        <w:rPr/>
        <w:t>7. Europski centar za sprječavanje i kontrolu bolesti (2023). Antimicrobial resistance in the EU/EEA (EARS-Net): godišnje izvješće o nadzoru. Stockholm: ECDC.</w:t>
      </w:r>
    </w:p>
    <w:p>
      <w:pPr>
        <w:pStyle w:val="BodyText"/>
        <w:bidi w:val="0"/>
        <w:spacing w:lineRule="auto" w:line="360" w:before="0" w:after="120"/>
        <w:rPr/>
      </w:pPr>
      <w:r>
        <w:rPr/>
        <w:t>8. Europski centar za sprječavanje i kontrolu bolesti (2023). Antimicrobial consumption in the EU/EEA (ESAC-Net): godišnje izvješće o nadzoru. Stockholm: ECDC.</w:t>
      </w:r>
    </w:p>
    <w:p>
      <w:pPr>
        <w:pStyle w:val="BodyText"/>
        <w:bidi w:val="0"/>
        <w:spacing w:lineRule="auto" w:line="360" w:before="0" w:after="120"/>
        <w:rPr/>
      </w:pPr>
      <w:r>
        <w:rPr/>
        <w:t>9. Europski centar za sprječavanje i kontrolu bolesti (2024). Point prevalence survey of healthcare-associated infections and antimicrobial use in European acute care hospitals: protokol. Stockholm: ECDC.</w:t>
      </w:r>
    </w:p>
    <w:p>
      <w:pPr>
        <w:pStyle w:val="BodyText"/>
        <w:bidi w:val="0"/>
        <w:spacing w:lineRule="auto" w:line="360" w:before="0" w:after="120"/>
        <w:rPr/>
      </w:pPr>
      <w:r>
        <w:rPr/>
        <w:t>10. Svjetska zdravstvena organizacija (2023). Global Antimicrobial Resistance and Use Surveillance System (GLASS): izvješće. Ženeva: SZO.</w:t>
      </w:r>
    </w:p>
    <w:p>
      <w:pPr>
        <w:pStyle w:val="BodyText"/>
        <w:bidi w:val="0"/>
        <w:spacing w:lineRule="auto" w:line="360" w:before="0" w:after="120"/>
        <w:rPr/>
      </w:pPr>
      <w:r>
        <w:rPr/>
        <w:t>11. Svjetska zdravstvena organizacija, Centar za suradnju za metodologiju statistike lijekova (2023). Guidelines for ATC classification and DDD assignment. Oslo: WHOCC.</w:t>
      </w:r>
    </w:p>
    <w:p>
      <w:pPr>
        <w:pStyle w:val="BodyText"/>
        <w:bidi w:val="0"/>
        <w:spacing w:lineRule="auto" w:line="360" w:before="0" w:after="120"/>
        <w:rPr/>
      </w:pPr>
      <w:r>
        <w:rPr/>
        <w:t>12. Europski odbor za ispitivanje antimikrobne osjetljivosti (2024). Granične vrijednosti i njihova primjena: tehnički dokument. Basel: EUCAST.</w:t>
      </w:r>
    </w:p>
    <w:p>
      <w:pPr>
        <w:pStyle w:val="BodyText"/>
        <w:bidi w:val="0"/>
        <w:spacing w:lineRule="auto" w:line="360" w:before="0" w:after="120"/>
        <w:rPr/>
      </w:pPr>
      <w:r>
        <w:rPr/>
        <w:t>13. Kalenić, S. (ur.) (2019). Medicinska mikrobiologija. Zagreb: Medicinska naklada.</w:t>
      </w:r>
    </w:p>
    <w:p>
      <w:pPr>
        <w:pStyle w:val="BodyText"/>
        <w:bidi w:val="0"/>
        <w:spacing w:lineRule="auto" w:line="360" w:before="0" w:after="120"/>
        <w:rPr/>
      </w:pPr>
      <w:r>
        <w:rPr/>
        <w:t>14. Hrvatski zavod za javno zdravstvo (2023). Izvješće o potrošnji antimikrobnih lijekova u Republici Hrvatskoj. Zagreb: HZJZ.</w:t>
      </w:r>
    </w:p>
    <w:p>
      <w:pPr>
        <w:pStyle w:val="BodyText"/>
        <w:bidi w:val="0"/>
        <w:spacing w:lineRule="auto" w:line="360" w:before="0" w:after="120"/>
        <w:rPr/>
      </w:pPr>
      <w:r>
        <w:rPr/>
        <w:t>15. Ministarstvo zdravstva Republike Hrvatske (2022). Nacionalni program za kontrolu antimikrobne rezistencije. Zagreb: Ministarstvo zdravstva.</w:t>
      </w:r>
    </w:p>
    <w:p>
      <w:pPr>
        <w:pStyle w:val="BodyText"/>
        <w:bidi w:val="0"/>
        <w:spacing w:lineRule="auto" w:line="360" w:before="0" w:after="120"/>
        <w:rPr/>
      </w:pPr>
      <w:r>
        <w:rPr/>
        <w:t>16. Horvat, V. i Babić, L. (2022). Povratna informacija odjelu kao sastavnica programa upravljanja antibioticima: iskustvo jedne kliničke bolnice. Liječnički vjesnik, 144(7), 201-209.</w:t>
      </w:r>
    </w:p>
    <w:p>
      <w:pPr>
        <w:pStyle w:val="BodyText"/>
        <w:bidi w:val="0"/>
        <w:spacing w:lineRule="auto" w:line="360" w:before="0" w:after="120"/>
        <w:rPr/>
      </w:pPr>
      <w:r>
        <w:rPr/>
        <w:t>17. Jurić, I. (2021). Molekularna tipizacija izolata u istraživanju bolničkih izbijanja: pregled metoda. Infektološki glasnik, 41(3), 115-127.</w:t>
      </w:r>
    </w:p>
    <w:sectPr>
      <w:footerReference w:type="default" r:id="rId4"/>
      <w:type w:val="nextPage"/>
      <w:pgSz w:w="11906" w:h="16838"/>
      <w:pgMar w:left="1417" w:right="1417" w:gutter="0" w:header="0" w:top="1417" w:footer="1417" w:bottom="1953"/>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29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2"/>
        <w:szCs w:val="24"/>
        <w:lang w:val="hr-HR" w:eastAsia="zh-CN" w:bidi="hi-IN"/>
      </w:rPr>
    </w:rPrDefault>
    <w:pPrDefault>
      <w:pPr>
        <w:widowControl/>
        <w:suppressAutoHyphens w:val="true"/>
        <w:spacing w:lineRule="auto" w:line="360"/>
      </w:pPr>
    </w:pPrDefault>
  </w:docDefaults>
  <w:style w:type="paragraph" w:styleId="Normal">
    <w:name w:val="Normal"/>
    <w:qFormat/>
    <w:pPr>
      <w:widowControl/>
      <w:bidi w:val="0"/>
      <w:spacing w:lineRule="auto" w:line="360"/>
    </w:pPr>
    <w:rPr>
      <w:rFonts w:ascii="Times New Roman" w:hAnsi="Times New Roman" w:eastAsia="NSimSun" w:cs="Lucida Sans"/>
      <w:color w:val="auto"/>
      <w:kern w:val="2"/>
      <w:sz w:val="22"/>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0"/>
    </w:rPr>
  </w:style>
  <w:style w:type="paragraph" w:styleId="Heading2">
    <w:name w:val="heading 2"/>
    <w:basedOn w:val="Heading"/>
    <w:qFormat/>
    <w:pPr>
      <w:numPr>
        <w:ilvl w:val="1"/>
        <w:numId w:val="1"/>
      </w:numPr>
      <w:outlineLvl w:val="1"/>
    </w:pPr>
    <w:rPr>
      <w:rFonts w:ascii="Times New Roman" w:hAnsi="Times New Roman"/>
      <w:b/>
      <w:sz w:val="26"/>
    </w:rPr>
  </w:style>
  <w:style w:type="paragraph" w:styleId="Heading3">
    <w:name w:val="heading 3"/>
    <w:basedOn w:val="Heading"/>
    <w:qFormat/>
    <w:pPr>
      <w:numPr>
        <w:ilvl w:val="2"/>
        <w:numId w:val="1"/>
      </w:numPr>
      <w:outlineLvl w:val="2"/>
    </w:pPr>
    <w:rPr>
      <w:rFonts w:ascii="Times New Roman" w:hAnsi="Times New Roman"/>
      <w:b/>
      <w:sz w:val="24"/>
    </w:rPr>
  </w:style>
  <w:style w:type="paragraph" w:styleId="Heading">
    <w:name w:val="Heading"/>
    <w:basedOn w:val="Normal"/>
    <w:next w:val="BodyText"/>
    <w:qFormat/>
    <w:pPr>
      <w:spacing w:before="240" w:after="120"/>
    </w:pPr>
    <w:rPr>
      <w:rFonts w:ascii="Times New Roman" w:hAnsi="Times New Roman"/>
      <w:b/>
      <w:sz w:val="26"/>
    </w:rPr>
  </w:style>
  <w:style w:type="paragraph" w:styleId="BodyText">
    <w:name w:val="Body Text"/>
    <w:basedOn w:val="Normal"/>
    <w:pPr>
      <w:spacing w:lineRule="auto" w:line="360" w:before="0" w:after="120"/>
    </w:pPr>
    <w:rPr>
      <w:rFonts w:ascii="Times New Roman" w:hAnsi="Times New Roman"/>
      <w:sz w:val="22"/>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0"/>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2"/>
    </w:rPr>
  </w:style>
  <w:style w:type="paragraph" w:styleId="Natpis">
    <w:name w:val="Natpis"/>
    <w:basedOn w:val="Normal"/>
    <w:qFormat/>
    <w:pPr>
      <w:spacing w:before="113" w:after="227"/>
      <w:jc w:val="center"/>
    </w:pPr>
    <w:rPr>
      <w:rFonts w:ascii="Times New Roman" w:hAnsi="Times New Roman"/>
      <w:i/>
      <w:sz w:val="20"/>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2"/>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