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PRAVNI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Stručni prijediplomski Porezni studij</w:t>
      </w:r>
    </w:p>
    <w:p>
      <w:pPr>
        <w:pStyle w:val="Naslovnica"/>
        <w:bidi w:val="0"/>
        <w:spacing w:lineRule="auto" w:line="360" w:before="113" w:after="113"/>
        <w:jc w:val="center"/>
        <w:rPr/>
      </w:pPr>
      <w:r>
        <w:rPr/>
      </w:r>
    </w:p>
    <w:p>
      <w:pPr>
        <w:pStyle w:val="Naslovnica"/>
        <w:bidi w:val="0"/>
        <w:spacing w:lineRule="auto" w:line="360" w:before="113" w:after="113"/>
        <w:jc w:val="center"/>
        <w:rPr/>
      </w:pPr>
      <w:r>
        <w:rPr/>
        <w:t>Luka Perković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NAČELO ZAKONITOSTI U POREZNOM POSTUPKU: GRANICE DISKRECIJE POREZNOG TIJELA</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Ivana Barac</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 xml:space="preserve">Diskrecijska ocjena poreznog tijela redovito se prikazuje kao iznimka od načela </w:t>
      </w:r>
      <w:r>
        <w:rPr/>
        <w:t>zakonitosti, kao prostor u kojem zakon prestaje govoriti. Ovaj rad brani suprotnu postavku: diskrecija je dio zakonitosti, a ne rupa u njoj, jer je zakon sam otvara i sam joj postavlja svrhu, opseg i mjerila. Rad je pojmovno-raspravni pregled i ne analizira zbirku konkretnih predmeta. Razmatraju se tri skupine pitanja: gdje porezni propisi doista ostavljaju prostor procjeni i kako se taj prostor razlikuje od neodređenih pravnih pojmova, koja mjerila vežu tijelo kada prostor postoji, i koliko od svega toga sudski nadzor može ispitati. Zaključak je da granica u praksi ne stoji ondje gdje je zakon postavlja nego ondje dokle seže obrazloženje: odluka bez obrazloženja koje se može ispitati oduzima sudu predmet nadzora, pa se pitanje zakonitosti pretvara u pitanje povjerenja.</w:t>
      </w:r>
    </w:p>
    <w:p>
      <w:pPr>
        <w:pStyle w:val="BodyText"/>
        <w:bidi w:val="0"/>
        <w:spacing w:lineRule="auto" w:line="240" w:before="0" w:after="340"/>
        <w:jc w:val="both"/>
        <w:rPr/>
      </w:pPr>
      <w:r>
        <w:rPr>
          <w:rFonts w:cs="Arial"/>
          <w:szCs w:val="24"/>
        </w:rPr>
        <w:t>Ključne riječi: načelo zakonitosti, diskrecijska ocjena, porezni postupak, obraz</w:t>
      </w:r>
      <w:r>
        <w:rPr/>
        <w:t>loženje odluke, upravni spor</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Discretionary assessment by the tax authority is routinely presented as an exception to the principle of legality, as a space in which the law falls silent. This thesis defends the opposite proposition: discretion is part of legality rather than a gap within it, because the law itself opens the space and itself supplies its purpose, scope and standards. The work is a conceptual review and does not analyse a body of individual cases. Three groups of questions are addressed: where tax legislation genuinely leaves room for assessment and how that room differs from indeterminate legal concepts, which standards bind the authority once the room exists, and how much of all this judicial review can actually examine. The conclusion is that in practice the boundary does not lie where the statute places it but as far as the reasoning reaches: a decision without reasoning that can be examined deprives the court of its subject matter, turning the question of legality into a question of trust.</w:t>
      </w:r>
    </w:p>
    <w:p>
      <w:pPr>
        <w:pStyle w:val="BodyText"/>
        <w:bidi w:val="0"/>
        <w:spacing w:lineRule="auto" w:line="240" w:before="0" w:after="340"/>
        <w:jc w:val="both"/>
        <w:rPr/>
      </w:pPr>
      <w:r>
        <w:rPr/>
        <w:t>Keywords: principle of legality, administrative discretion, tax procedure, statement of reasons, judicial review</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1.1.</w:t>
        <w:tab/>
        <w:t>Predmet rada i zašto je pitanje sporno</w:t>
      </w:r>
    </w:p>
    <w:p>
      <w:pPr>
        <w:pStyle w:val="BodyText"/>
        <w:bidi w:val="0"/>
        <w:spacing w:lineRule="auto" w:line="240" w:before="0" w:after="340"/>
        <w:jc w:val="both"/>
        <w:rPr/>
      </w:pPr>
      <w:r>
        <w:rPr/>
        <w:t>Porezni obveznik koji primi rješenje s obrazloženjem od tri retka rijetko se pita je li tijelo postupalo diskrecijski. Pita se zašto je iznos takav kakav jest i po čemu bi on bio drugačiji da je predmet vodio netko drugi. To je, sadržajno, upravo pitanje granica diskrecije, samo postavljeno jezikom stranke, a ne jezikom struke. Rad polazi od tog pitanja jer ono pokazuje gdje se problem doista osjeća: ne u tome što zakon nešto prepušta ocjeni, nego u tome što se iz odluke ne vidi kako je ocjena provedena.</w:t>
      </w:r>
      <w:r>
        <w:rPr>
          <w:rStyle w:val="FootnoteReference"/>
        </w:rPr>
        <w:footnoteReference w:id="2"/>
      </w:r>
    </w:p>
    <w:p>
      <w:pPr>
        <w:pStyle w:val="BodyText"/>
        <w:bidi w:val="0"/>
        <w:spacing w:lineRule="auto" w:line="240" w:before="0" w:after="340"/>
        <w:jc w:val="both"/>
        <w:rPr/>
      </w:pPr>
      <w:r>
        <w:rPr/>
        <w:t>U raspravi se diskrecija često opisuje kao iznimka od načela zakonitosti, kao prostor u kojem zakon prestaje govoriti i počinje govoriti službenik. Takav opis je privlačan jer je jednostavan, ali je netočan u polazištu. Prostor za ocjenu ne nastaje unatoč zakonu nego njegovom odlukom: zakonodavac ga otvara jer je predvidio da se svi činjenični sklopovi ne mogu unaprijed opisati. Ono što otvara, ujedno i ograđuje, pa je pitanje granice od početka pitanje tumačenja zakona, a ne pitanje njegove odsutnosti.</w:t>
      </w:r>
      <w:r>
        <w:rPr>
          <w:rStyle w:val="FootnoteReference"/>
        </w:rPr>
        <w:footnoteReference w:id="3"/>
      </w:r>
    </w:p>
    <w:p>
      <w:pPr>
        <w:pStyle w:val="BodyText"/>
        <w:bidi w:val="0"/>
        <w:spacing w:lineRule="auto" w:line="240" w:before="0" w:after="340"/>
        <w:jc w:val="both"/>
        <w:rPr/>
      </w:pPr>
      <w:r>
        <w:rPr/>
        <w:t>Porezni postupak je za to pitanje zahvalno područje iz dva razloga. Prvi je masovnost: odluke se donose u velikom broju, često po ustaljenom obrascu, pa se odstupanje od obrasca lakše primijeti nego u područjima s malo predmeta. Drugi je izravnost posljedice, jer odluka pogađa imovinu stranke odmah i mjerljivo. Oba razloga čine da se pitanje mjerila ne postavlja akademski nego praktično, i to od strane onoga tko posljedicu snosi.</w:t>
      </w:r>
      <w:r>
        <w:rPr>
          <w:rStyle w:val="FootnoteReference"/>
        </w:rPr>
        <w:footnoteReference w:id="4"/>
      </w:r>
    </w:p>
    <w:p>
      <w:pPr>
        <w:pStyle w:val="BodyText"/>
        <w:bidi w:val="0"/>
        <w:spacing w:lineRule="auto" w:line="240" w:before="0" w:after="340"/>
        <w:jc w:val="both"/>
        <w:rPr/>
      </w:pPr>
      <w:r>
        <w:rPr/>
        <w:t>Rad ne tvrdi da je diskrecija sama po sebi problem. Tvrdi da je njezina granica stvar koja se mora moći provjeriti, i da mjesto na kojem se provjerava nije tekst zakona nego obrazloženje pojedine odluke. Ta razlika određuje sve što slijedi: ako obrazloženje ne pokazuje kako je ocjena provedena, granica postoji u zakonu, a ne postoji u postupku.</w:t>
      </w:r>
      <w:r>
        <w:rPr>
          <w:rStyle w:val="FootnoteReference"/>
        </w:rPr>
        <w:footnoteReference w:id="5"/>
      </w:r>
    </w:p>
    <w:p>
      <w:pPr>
        <w:pStyle w:val="BodyText"/>
        <w:bidi w:val="0"/>
        <w:spacing w:lineRule="auto" w:line="240" w:before="0" w:after="340"/>
        <w:jc w:val="both"/>
        <w:rPr/>
      </w:pPr>
      <w:r>
        <w:rPr/>
        <w:t>Vrijedi odmah odvojiti dva prigovora koja se u razgovoru o diskreciji stalno spajaju. Prvi je da tijelo ima previše ovlasti, i to je pitanje za zakonodavca. Drugi je da se postojeća ovlast koristi neprovjerljivo, i to je pitanje za pravnika. Ovaj rad se bavi isključivo drugim, jer se prvi ne može riješiti tumačenjem nego samo izmjenom propisa, a takva rasprava traži podatke o učincima kojih ovdje nema.</w:t>
      </w:r>
      <w:r>
        <w:rPr>
          <w:rStyle w:val="FootnoteReference"/>
        </w:rPr>
        <w:footnoteReference w:id="6"/>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1.2.</w:t>
        <w:tab/>
        <w:t>Istraživačko pitanje i granice rada</w:t>
      </w:r>
    </w:p>
    <w:p>
      <w:pPr>
        <w:pStyle w:val="BodyText"/>
        <w:bidi w:val="0"/>
        <w:spacing w:lineRule="auto" w:line="240" w:before="0" w:after="340"/>
        <w:jc w:val="both"/>
        <w:rPr/>
      </w:pPr>
      <w:r>
        <w:rPr/>
        <w:t>Istraživačko pitanje glasi: gdje je granica diskrecije poreznog tijela kada zakon ostavlja prostor procjeni, i tko tu granicu u praksi čuva. Pitanje je namjerno dvodijelno. Prvi dio traži mjerila, dakle ono što tijelo veže i kad mu je ocjena prepuštena. Drugi dio traži nositelja, dakle onoga tko će mjerilo primijeniti kada ga tijelo ne primijeni samo.</w:t>
      </w:r>
      <w:r>
        <w:rPr>
          <w:rStyle w:val="FootnoteReference"/>
        </w:rPr>
        <w:footnoteReference w:id="7"/>
      </w:r>
    </w:p>
    <w:p>
      <w:pPr>
        <w:pStyle w:val="BodyText"/>
        <w:bidi w:val="0"/>
        <w:spacing w:lineRule="auto" w:line="240" w:before="0" w:after="340"/>
        <w:jc w:val="both"/>
        <w:rPr/>
      </w:pPr>
      <w:r>
        <w:rPr/>
        <w:t>Rad izrijekom ne pita je li pojedina odluka svrhovita. To razgraničenje nije formalnost nego uvjet da pitanje uopće ostane pravno. Kada bi se pitalo je li tijelo odlučilo najbolje moguće, odgovor bi tražio mjerila koja pravo ne daje, a rasprava bi se pretvorila u ocjenu uprave umjesto u ocjenu zakonitosti. Ovdje se pita samo je li tijelo ostalo unutar onoga što mu je zakon dopustio i je li to pokazalo.</w:t>
      </w:r>
      <w:r>
        <w:rPr>
          <w:rStyle w:val="FootnoteReference"/>
        </w:rPr>
        <w:footnoteReference w:id="8"/>
      </w:r>
    </w:p>
    <w:p>
      <w:pPr>
        <w:pStyle w:val="BodyText"/>
        <w:bidi w:val="0"/>
        <w:spacing w:lineRule="auto" w:line="240" w:before="0" w:after="340"/>
        <w:jc w:val="both"/>
        <w:rPr/>
      </w:pPr>
      <w:r>
        <w:rPr/>
        <w:t>Rad se ograničava na domaći okvir općeg upravnog i poreznog postupka i ne bavi se posebnostima pojedinih poreznih oblika. Isto tako ne ulazi u pitanja koja bi tražila analizu sudske prakse, jer je za takav zahvat potrebna zbirka predmeta i metoda njihova odabira, a ni jedno ni drugo ovaj rad nema. Ondje gdje bi zaključak tražio praksu, to se navodi kao ograničenje, a ne premošćuje pretpostavkom.</w:t>
      </w:r>
      <w:r>
        <w:rPr>
          <w:rStyle w:val="FootnoteReference"/>
        </w:rPr>
        <w:footnoteReference w:id="9"/>
      </w:r>
    </w:p>
    <w:p>
      <w:pPr>
        <w:pStyle w:val="BodyText"/>
        <w:bidi w:val="0"/>
        <w:spacing w:lineRule="auto" w:line="240" w:before="0" w:after="340"/>
        <w:jc w:val="both"/>
        <w:rPr/>
      </w:pPr>
      <w:r>
        <w:rPr/>
        <w:t>Iz istog razloga rad ne donosi brojčane tvrdnje o učestalosti poništenja rješenja ni o trajanju sporova. Takve brojke postoje u izvješćima nadležnih tijela, ali njihovo tumačenje traži poznavanje načina prikupljanja, a to je zaseban posao. Tvrdnja koja se ne može potkrijepiti radije se izostavlja nego ublažava.</w:t>
      </w:r>
      <w:r>
        <w:rPr>
          <w:rStyle w:val="FootnoteReference"/>
        </w:rPr>
        <w:footnoteReference w:id="10"/>
      </w:r>
    </w:p>
    <w:p>
      <w:pPr>
        <w:pStyle w:val="Heading3"/>
        <w:bidi w:val="0"/>
        <w:ind w:hanging="0" w:left="0"/>
        <w:rPr/>
      </w:pPr>
      <w:r>
        <w:rPr/>
        <w:t>1.3.</w:t>
        <w:tab/>
        <w:t>Metoda i struktura</w:t>
      </w:r>
    </w:p>
    <w:p>
      <w:pPr>
        <w:pStyle w:val="BodyText"/>
        <w:bidi w:val="0"/>
        <w:spacing w:lineRule="auto" w:line="240" w:before="0" w:after="340"/>
        <w:jc w:val="both"/>
        <w:rPr/>
      </w:pPr>
      <w:r>
        <w:rPr/>
        <w:t>Metoda je dogmatska: čitaju se propisi, njihov međusobni odnos i doktrinarna literatura, a zaključci se izvode tumačenjem. Takva metoda ne daje odgovor na pitanje što se u postupcima doista događa, i to je njezina poznata granica. Daje, međutim, odgovor na pitanje što je tijelo dužno učiniti, a to je pretpostavka svake kasnije empirijske ocjene.</w:t>
      </w:r>
      <w:r>
        <w:rPr>
          <w:rStyle w:val="FootnoteReference"/>
        </w:rPr>
        <w:footnoteReference w:id="11"/>
      </w:r>
    </w:p>
    <w:p>
      <w:pPr>
        <w:pStyle w:val="BodyText"/>
        <w:bidi w:val="0"/>
        <w:spacing w:lineRule="auto" w:line="240" w:before="0" w:after="340"/>
        <w:jc w:val="both"/>
        <w:rPr/>
      </w:pPr>
      <w:r>
        <w:rPr/>
        <w:t>Rad je podijeljen u sedam poglavlja. Drugo uspostavlja pojmove i razdvaja diskreciju od neodređenih pravnih pojmova, jer se ta dva instituta u praksi redovito miješaju, a doseg nadzora im nije jednak. Treće pokazuje gdje porezni propisi prostor za ocjenu doista ostavljaju. Četvrto izlaže mjerila koja tijelo vežu unutar tog prostora.</w:t>
      </w:r>
      <w:r>
        <w:rPr>
          <w:rStyle w:val="FootnoteReference"/>
        </w:rPr>
        <w:footnoteReference w:id="12"/>
      </w:r>
    </w:p>
    <w:p>
      <w:pPr>
        <w:pStyle w:val="BodyText"/>
        <w:bidi w:val="0"/>
        <w:spacing w:lineRule="auto" w:line="240" w:before="0" w:after="340"/>
        <w:jc w:val="both"/>
        <w:rPr/>
      </w:pPr>
      <w:r>
        <w:rPr/>
        <w:t>Peto poglavlje prelazi na nadzor i pita koliko od tih mjerila sud može ispitati. Šesto sabire odgovor po osima i predlaže ono što se može učiniti bez izmjene zakona. Sedmo odgovara na istraživačko pitanje i imenuje ono što ostaje otvoreno.</w:t>
      </w:r>
      <w:r>
        <w:rPr>
          <w:rStyle w:val="FootnoteReference"/>
        </w:rPr>
        <w:footnoteReference w:id="13"/>
      </w:r>
    </w:p>
    <w:p>
      <w:pPr>
        <w:pStyle w:val="BodyText"/>
        <w:bidi w:val="0"/>
        <w:spacing w:lineRule="auto" w:line="240" w:before="0" w:after="340"/>
        <w:jc w:val="both"/>
        <w:rPr/>
      </w:pPr>
      <w:r>
        <w:rPr/>
        <w:t>Građa rada su propisi, doktrinarna literatura i općeprihvaćeni pojmovni okvir upravnog prava. Sudska praksa se ne analizira i ne navodi, i to je svjesno ograničenje, a ne propust: rad koji bi se pozvao na presude morao bi ih moći citirati po broju i datumu, a ova sesija nije mogla potvrditi nijedan takav podatak. Radije se izostavlja nego navodi neprovjereno.</w:t>
      </w:r>
      <w:r>
        <w:rPr>
          <w:rStyle w:val="FootnoteReference"/>
        </w:rPr>
        <w:footnoteReference w:id="14"/>
      </w:r>
    </w:p>
    <w:p>
      <w:pPr>
        <w:pStyle w:val="Heading3"/>
        <w:bidi w:val="0"/>
        <w:ind w:hanging="0" w:left="0"/>
        <w:rPr/>
      </w:pPr>
      <w:r>
        <w:rPr/>
        <w:t>2.</w:t>
        <w:tab/>
        <w:t>Pojmovni okvir</w:t>
      </w:r>
    </w:p>
    <w:p>
      <w:pPr>
        <w:pStyle w:val="Heading3"/>
        <w:bidi w:val="0"/>
        <w:ind w:hanging="0" w:left="0"/>
        <w:rPr/>
      </w:pPr>
      <w:r>
        <w:rPr/>
        <w:t>2.1.</w:t>
        <w:tab/>
        <w:t>Načelo zakonitosti u upravnom i poreznom pravu</w:t>
      </w:r>
    </w:p>
    <w:p>
      <w:pPr>
        <w:pStyle w:val="BodyText"/>
        <w:bidi w:val="0"/>
        <w:spacing w:lineRule="auto" w:line="240" w:before="0" w:after="340"/>
        <w:jc w:val="both"/>
        <w:rPr/>
      </w:pPr>
      <w:r>
        <w:rPr/>
        <w:t>Načelo zakonitosti u najkraćem znači da tijelo javne vlasti smije činiti samo ono za što ima zakonsku osnovu i mora činiti ono što mu je zakonom naloženo. U upravnom pravu to je vezanost dvostruka: veže i ovlast i način njezina izvršavanja. Za poreznu upravu ta vezanost ima dodatnu težinu jer se njezine odluke tiču imovine, a zahvat u imovinu bez osnove u zakonu nije samo nepravilan nego neustavan.</w:t>
      </w:r>
      <w:r>
        <w:rPr>
          <w:rStyle w:val="FootnoteReference"/>
        </w:rPr>
        <w:footnoteReference w:id="15"/>
      </w:r>
    </w:p>
    <w:p>
      <w:pPr>
        <w:pStyle w:val="BodyText"/>
        <w:bidi w:val="0"/>
        <w:spacing w:lineRule="auto" w:line="240" w:before="0" w:after="340"/>
        <w:jc w:val="both"/>
        <w:rPr/>
      </w:pPr>
      <w:r>
        <w:rPr/>
        <w:t>Vezanost zakonom ne znači da je svaka odluka unaprijed određena. Zakon je opći akt i piše se za tipove slučajeva, a ne za pojedini slučaj, pa se između norme i odluke uvijek nalazi korak tumačenja i utvrđivanja činjenica. Taj korak nije diskrecija; on postoji i kod potpuno vezanog postupanja. Miješanje tog koraka s diskrecijom prva je od dvije zabune koje ovaj rad razdvaja.</w:t>
      </w:r>
    </w:p>
    <w:p>
      <w:pPr>
        <w:pStyle w:val="BodyText"/>
        <w:bidi w:val="0"/>
        <w:spacing w:lineRule="auto" w:line="240" w:before="0" w:after="340"/>
        <w:jc w:val="both"/>
        <w:rPr/>
      </w:pPr>
      <w:r>
        <w:rPr/>
        <w:t>Druga se zabuna tiče smjera vezanosti. Tijelo nije vezano samo tekstom pojedine odredbe nego i svrhom radi koje je ovlast dana, kao i općim načelima postupka. Ta se šira vezanost lako previdi jer nije zapisana u istoj odredbi u kojoj i ovlast, a upravo ona nosi najveći dio odgovora na pitanje o granicama.</w:t>
      </w:r>
    </w:p>
    <w:p>
      <w:pPr>
        <w:pStyle w:val="BodyText"/>
        <w:bidi w:val="0"/>
        <w:spacing w:lineRule="auto" w:line="240" w:before="0" w:after="340"/>
        <w:jc w:val="both"/>
        <w:rPr/>
      </w:pPr>
      <w:r>
        <w:rPr/>
        <w:t>Za poreznu materiju vrijedi i posebno ograničenje koje proizlazi iz ustavnog zahtjeva da se obveze plaćanja propisuju zakonom. Ono sužava prostor u kojem se uopće može govoriti o slobodnoj ocjeni: o osnovi i stopi ne odlučuje tijelo, nego zakon, pa se diskrecija može javiti tek u pitanjima načina i vremena izvršenja obveze te u utvrđivanju činjenica kada uobičajeni put zakaže.</w:t>
      </w:r>
    </w:p>
    <w:p>
      <w:pPr>
        <w:pStyle w:val="BodyText"/>
        <w:bidi w:val="0"/>
        <w:spacing w:lineRule="auto" w:line="240" w:before="0" w:after="340"/>
        <w:jc w:val="both"/>
        <w:rPr/>
      </w:pPr>
      <w:r>
        <w:rPr/>
        <w:t>Načelo zakonitosti ima i vremensku stranu koja se rijetko ističe. Tijelo je vezano propisom koji je na snazi u trenutku odlučivanja, ali činjenice ocjenjuje prema stanju u razdoblju na koje se obveza odnosi. Kod dugotrajnih postupaka te se dvije točke razmaknu, pa se javlja pitanje koje je od dvaju stanja mjerodavno. To pitanje nije predmet ovog rada, ali ga treba imenovati jer se u praksi javlja upravo ondje gdje se javlja i diskrecija.</w:t>
      </w:r>
    </w:p>
    <w:p>
      <w:pPr>
        <w:pStyle w:val="Heading3"/>
        <w:bidi w:val="0"/>
        <w:ind w:hanging="0" w:left="0"/>
        <w:rPr/>
      </w:pPr>
      <w:r>
        <w:rPr/>
        <w:t>2.2.</w:t>
        <w:tab/>
        <w:t>Pojam diskrecijske ocjene</w:t>
      </w:r>
    </w:p>
    <w:p>
      <w:pPr>
        <w:pStyle w:val="BodyText"/>
        <w:bidi w:val="0"/>
        <w:spacing w:lineRule="auto" w:line="240" w:before="0" w:after="340"/>
        <w:jc w:val="both"/>
        <w:rPr/>
      </w:pPr>
      <w:r>
        <w:rPr/>
        <w:t>Diskrecijska ocjena postoji kada zakon tijelu daje mogućnost izbora između više pravno dopuštenih rješenja. Tipičan jezični znak je ovlašćujuća formulacija, dakle da tijelo nešto može ili smije, za razliku od obvezujuće formulacije da ono nešto donosi ili utvrđuje. Jezični znak je ipak samo naznaka, a ne dokaz: postoje odredbe u kojima ovlašćujuća formulacija označava dužnost, i obrnuto.</w:t>
      </w:r>
    </w:p>
    <w:p>
      <w:pPr>
        <w:pStyle w:val="BodyText"/>
        <w:bidi w:val="0"/>
        <w:spacing w:lineRule="auto" w:line="240" w:before="0" w:after="340"/>
        <w:jc w:val="both"/>
        <w:rPr/>
      </w:pPr>
      <w:r>
        <w:rPr/>
        <w:t>Bitno je da izbor postoji unutar granica, a ne izvan njih. Tijelo bira između rješenja koja su sva zakonita; ono ne bira hoće li poštovati zakon. Iz toga slijedi da pogrešno korištena diskrecija nije loša odluka u okviru zakona nego nezakonita odluka, i to je razlog zbog kojeg je uopće podložna nadzoru.</w:t>
      </w:r>
    </w:p>
    <w:p>
      <w:pPr>
        <w:pStyle w:val="BodyText"/>
        <w:bidi w:val="0"/>
        <w:spacing w:lineRule="auto" w:line="240" w:before="0" w:after="340"/>
        <w:jc w:val="both"/>
        <w:rPr/>
      </w:pPr>
      <w:r>
        <w:rPr/>
        <w:t>Doktrina razlikuje nekoliko tipičnih pogrešaka pri korištenju diskrecije. Prva je prekoračenje, kada tijelo izabere rješenje koje zakon ne predviđa. Druga je zlouporaba svrhe, kada izabere dopušteno rješenje ali iz razloga koji nije svrha zbog koje mu je ovlast dana. Treća je propuštanje ocjene, kada tijelo uopće ne prepozna da ima izbor, pa mehanički primijeni obrazac.</w:t>
      </w:r>
    </w:p>
    <w:p>
      <w:pPr>
        <w:pStyle w:val="BodyText"/>
        <w:bidi w:val="0"/>
        <w:spacing w:lineRule="auto" w:line="240" w:before="0" w:after="340"/>
        <w:jc w:val="both"/>
        <w:rPr/>
      </w:pPr>
      <w:r>
        <w:rPr/>
        <w:t>Treća pogreška najmanje se primjećuje, a u masovnim postupcima je najvjerojatnija. Odluka koja je nastala prepisivanjem prethodne odluke izgleda uredno i najčešće je materijalno prihvatljiva, ali nije rezultat ocjene koju je zakon tražio. Ona se ne razlikuje od zakonite odluke ničim osim onim što se u njoj ne vidi.</w:t>
      </w:r>
    </w:p>
    <w:p>
      <w:pPr>
        <w:pStyle w:val="BodyText"/>
        <w:bidi w:val="0"/>
        <w:spacing w:lineRule="auto" w:line="240" w:before="0" w:after="340"/>
        <w:jc w:val="both"/>
        <w:rPr/>
      </w:pPr>
      <w:r>
        <w:rPr/>
        <w:t>Iz svega slijedi radna definicija koja se koristi dalje u radu: diskrecija je zakonom otvoren i zakonom ograđen prostor izbora, u kojem je tijelo dužno izabrati, obrazložiti izbor i pritom ostati unutar svrhe ovlasti. Sva tri elementa su uvjeti, i izostanak bilo kojeg čini odluku nezakonitom, a ne samo neuvjerljivom.</w:t>
      </w:r>
    </w:p>
    <w:p>
      <w:pPr>
        <w:pStyle w:val="BodyText"/>
        <w:bidi w:val="0"/>
        <w:spacing w:lineRule="auto" w:line="240" w:before="0" w:after="340"/>
        <w:jc w:val="both"/>
        <w:rPr/>
      </w:pPr>
      <w:r>
        <w:rPr/>
        <w:t>Korisno je razlikovati i dvije razine na kojima se izbor može pojaviti. Prva je izbor hoće li se ovlast uopće upotrijebiti, druga je izbor sadržaja mjere kada je odlučeno da hoće. Odredbe se razlikuju po tome otvaraju li obje razine ili samo jednu, a obrazloženje koje pokriva samo jednu ostavlja drugu neispitanom.</w:t>
      </w:r>
    </w:p>
    <w:p>
      <w:pPr>
        <w:pStyle w:val="BodyText"/>
        <w:bidi w:val="0"/>
        <w:spacing w:lineRule="auto" w:line="240" w:before="0" w:after="340"/>
        <w:jc w:val="both"/>
        <w:rPr/>
      </w:pPr>
      <w:r>
        <w:rPr/>
        <w:t>Postoji i pitanje tko unutar tijela ocjenu provodi. U masovnim postupcima odluku potpisuje ovlaštena osoba, a pripremio ju je referent po unutarnjoj uputi. Pravno je to i dalje odluka tijela, ali stvarni izbor događa se na mjestu koje obrazloženje ne spominje, i ta razlika objašnjava dio ujednačenosti koja se izvana čini kao dosljedna praksa.</w:t>
      </w:r>
    </w:p>
    <w:p>
      <w:pPr>
        <w:pStyle w:val="BodyText"/>
        <w:bidi w:val="0"/>
        <w:spacing w:lineRule="auto" w:line="240" w:before="0" w:after="340"/>
        <w:jc w:val="both"/>
        <w:rPr/>
      </w:pPr>
      <w:r>
        <w:rPr/>
        <w:t>Treba dodati da ovlašćujuća formulacija ponekad znači dužnost. Ondje gdje su uvjeti ispunjeni, a zakon ne daje nikakav razlog za odbijanje, mogućnost se pretvara u obvezu, jer bi svako odbijanje bilo bez osnove. Takva tumačenja su rijetka i sporna, ali pokazuju da se narav odredbe ne čita iz glagola nego iz cjeline uređenja.</w:t>
      </w:r>
    </w:p>
    <w:p>
      <w:pPr>
        <w:pStyle w:val="Heading3"/>
        <w:bidi w:val="0"/>
        <w:ind w:hanging="0" w:left="0"/>
        <w:rPr/>
      </w:pPr>
      <w:r>
        <w:rPr/>
        <w:t>2.3.</w:t>
        <w:tab/>
        <w:t>Neodređeni pravni pojmovi kao susjedni institut</w:t>
      </w:r>
    </w:p>
    <w:p>
      <w:pPr>
        <w:pStyle w:val="BodyText"/>
        <w:bidi w:val="0"/>
        <w:spacing w:lineRule="auto" w:line="240" w:before="0" w:after="340"/>
        <w:jc w:val="both"/>
        <w:rPr/>
      </w:pPr>
      <w:r>
        <w:rPr/>
        <w:t>Neodređeni pravni pojam je izraz u zakonu čiji sadržaj nije unaprijed precizno određen, poput opravdanog razloga, uobičajene poslovne prakse ili primjerenog roka. Na prvi pogled i on tijelu ostavlja prostor, pa se često izjednačuje s diskrecijom. Razlika je ipak načelna i ima izravnu posljedicu za nadzor.</w:t>
      </w:r>
    </w:p>
    <w:p>
      <w:pPr>
        <w:pStyle w:val="BodyText"/>
        <w:bidi w:val="0"/>
        <w:spacing w:lineRule="auto" w:line="240" w:before="0" w:after="340"/>
        <w:jc w:val="both"/>
        <w:rPr/>
      </w:pPr>
      <w:r>
        <w:rPr/>
        <w:t>Kod neodređenog pravnog pojma zakon ne daje izbor nego traži tumačenje. Postoji jedno ispravno značenje izraza u danim okolnostima, do kojega se dolazi tumačenjem, i tijelo ga je dužno pronaći. Kod diskrecije, naprotiv, više je rješenja jednako ispravno, pa se ne traži pronalaženje nego izbor.</w:t>
      </w:r>
    </w:p>
    <w:p>
      <w:pPr>
        <w:pStyle w:val="BodyText"/>
        <w:bidi w:val="0"/>
        <w:spacing w:lineRule="auto" w:line="240" w:before="0" w:after="340"/>
        <w:jc w:val="both"/>
        <w:rPr/>
      </w:pPr>
      <w:r>
        <w:rPr/>
        <w:t>Posljedica je da sud neodređeni pravni pojam ispituje u cijelosti, jer je riječ o pitanju prava, dok kod diskrecije ispituje samo je li izbor ostao unutar granica. Ako se dva instituta pomiješaju, ishod se pomiče u oba smjera: sud koji diskreciju tretira kao tumačenje ulazi u svrhovitost, a sud koji tumačenje tretira kao diskreciju odriče se nadzora koji mu pripada.</w:t>
      </w:r>
    </w:p>
    <w:p>
      <w:pPr>
        <w:pStyle w:val="BodyText"/>
        <w:bidi w:val="0"/>
        <w:spacing w:lineRule="auto" w:line="240" w:before="0" w:after="340"/>
        <w:jc w:val="both"/>
        <w:rPr/>
      </w:pPr>
      <w:r>
        <w:rPr/>
        <w:t>U poreznim propisima izrazi te vrste su česti, a granica prema diskreciji nije uvijek jasna ni u literaturi. Rad zato ne pokušava dati opći kriterij razlikovanja nego se drži praktičnog pravila: kada se pitanje može postaviti u obliku je li ovo opravdan razlog, riječ je o tumačenju; kada se postavlja u obliku hoće li tijelo odobriti, riječ je o izboru.</w:t>
      </w:r>
    </w:p>
    <w:p>
      <w:pPr>
        <w:pStyle w:val="BodyText"/>
        <w:bidi w:val="0"/>
        <w:spacing w:lineRule="auto" w:line="240" w:before="0" w:after="340"/>
        <w:jc w:val="both"/>
        <w:rPr/>
      </w:pPr>
      <w:r>
        <w:rPr/>
        <w:t>Praktična vrijednost razlikovanja vidi se tek u tužbi. Stranka koja tvrdi da tijelo nije ispravno protumačilo opravdan razlog traži od suda punu ocjenu, i sud je dužan dati je. Stranka koja isti prigovor formulira kao prigovor na izbor sama sebi sužava nadzor na ispitivanje granica. Ista činjenična tvrdnja, dakle, može dobiti različit doseg ispitivanja ovisno o tome kako je pravno postavljena.</w:t>
      </w:r>
    </w:p>
    <w:p>
      <w:pPr>
        <w:pStyle w:val="BodyText"/>
        <w:bidi w:val="0"/>
        <w:spacing w:lineRule="auto" w:line="240" w:before="0" w:after="340"/>
        <w:jc w:val="both"/>
        <w:rPr/>
      </w:pPr>
      <w:r>
        <w:rPr/>
        <w:t>Razlika je prikazana na Slici 2, koja dvije situacije stavlja jednu uz drugu po dosegu nadzora. Prikaz je pojednostavljen i ne obuhvaća slučajeve u kojima ista odredba sadrži oba instituta, što u poreznim propisima nije rijetkost.</w:t>
      </w:r>
    </w:p>
    <w:p>
      <w:pPr>
        <w:pStyle w:val="Heading3"/>
        <w:bidi w:val="0"/>
        <w:ind w:hanging="0" w:left="0"/>
        <w:rPr/>
      </w:pPr>
      <w:r>
        <w:rPr/>
        <w:t>3.</w:t>
        <w:tab/>
        <w:t>Prostor za procjenu u poreznim propisima</w:t>
      </w:r>
    </w:p>
    <w:p>
      <w:pPr>
        <w:pStyle w:val="Heading3"/>
        <w:bidi w:val="0"/>
        <w:ind w:hanging="0" w:left="0"/>
        <w:rPr/>
      </w:pPr>
      <w:r>
        <w:rPr/>
        <w:t>3.1.</w:t>
        <w:tab/>
        <w:t>Gdje porezni propisi ostavljaju prostor procjeni</w:t>
      </w:r>
    </w:p>
    <w:p>
      <w:pPr>
        <w:pStyle w:val="BodyText"/>
        <w:bidi w:val="0"/>
        <w:spacing w:lineRule="auto" w:line="240" w:before="0" w:after="340"/>
        <w:jc w:val="both"/>
        <w:rPr/>
      </w:pPr>
      <w:r>
        <w:rPr/>
        <w:t>Prostor za procjenu u poreznom postupku javlja se na nekoliko tipičnih mjesta, i korisno ih je razdvojiti jer nemaju istu narav. Prva skupina tiče se vremena i načina izvršenja obveze, dakle odgode plaćanja, obročne otplate i sličnih instituta. Druga se tiče olakšica u širem smislu, gdje zakon dopušta otpis ili smanjenje pod određenim uvjetima. Treća se tiče utvrđivanja činjenica kada redovni put nije moguć.</w:t>
      </w:r>
    </w:p>
    <w:p>
      <w:pPr>
        <w:pStyle w:val="BodyText"/>
        <w:bidi w:val="0"/>
        <w:spacing w:lineRule="auto" w:line="240" w:before="0" w:after="340"/>
        <w:jc w:val="both"/>
        <w:rPr/>
      </w:pPr>
      <w:r>
        <w:rPr/>
        <w:t>Prva je skupina najbliža klasičnoj diskreciji. Zakon ovlašćuje tijelo da odobri odgodu, ali ne propisuje da je mora odobriti svakome tko udovolji uvjetima, pa unutar ispunjenih uvjeta ostaje izbor. Pregled tipičnih skupina i njihove naravi dan je u Tablici 1.</w:t>
      </w:r>
    </w:p>
    <w:p>
      <w:pPr>
        <w:pStyle w:val="BodyText"/>
        <w:bidi w:val="0"/>
        <w:spacing w:lineRule="auto" w:line="240" w:before="0" w:after="340"/>
        <w:jc w:val="both"/>
        <w:rPr/>
      </w:pPr>
      <w:r>
        <w:rPr/>
        <w:t>Druga je skupina prividno slična, a bitno različita, jer se uvjeti za otpis najčešće opisuju neodređenim pravnim pojmovima. Tijelo ondje ne bira nego utvrđuje je li uvjet ispunjen, i tek ako jest, može se pojaviti izbor. Miješanje tih dvaju koraka česta je pogreška u obrazloženjima, gdje se nepostojanje uvjeta prikazuje kao odluka po ocjeni.</w:t>
      </w:r>
    </w:p>
    <w:p>
      <w:pPr>
        <w:pStyle w:val="BodyText"/>
        <w:bidi w:val="0"/>
        <w:spacing w:lineRule="auto" w:line="240" w:before="0" w:after="340"/>
        <w:jc w:val="both"/>
        <w:rPr/>
      </w:pPr>
      <w:r>
        <w:rPr/>
        <w:t>Treća skupina, procjena porezne osnovice, zaslužuje zaseban odjeljak jer se najčešće pogrešno svrstava. Ona se u obrazloženjima redovito naziva procjenom po slobodnoj ocjeni, iako je riječ o tehnici utvrđivanja činjenica koja je vezana pravilima, a ne o izboru između dopuštenih rješenja.</w:t>
      </w:r>
    </w:p>
    <w:p>
      <w:pPr>
        <w:pStyle w:val="BodyText"/>
        <w:bidi w:val="0"/>
        <w:spacing w:lineRule="auto" w:line="240" w:before="0" w:after="340"/>
        <w:jc w:val="both"/>
        <w:rPr/>
      </w:pPr>
      <w:r>
        <w:rPr/>
        <w:t>Postoji i četvrta skupina koju je teško svrstati: postupovne odluke unutar samog postupka, poput produljenja roka za očitovanje ili odluke o izvođenju predloženog dokaza. One se rijetko obrazlažu jer se ne doživljavaju kao odluke, a mogu bitno utjecati na ishod. Za njih vrijedi isto mjerilo kao i za glavnu odluku, samo se u praksi rjeđe primjenjuje.</w:t>
      </w:r>
    </w:p>
    <w:p>
      <w:pPr>
        <w:pStyle w:val="Heading3"/>
        <w:bidi w:val="0"/>
        <w:ind w:hanging="0" w:left="0"/>
        <w:rPr/>
      </w:pPr>
      <w:r>
        <w:rPr/>
        <w:t>3.2.</w:t>
        <w:tab/>
        <w:t>Procjena porezne osnovice kao granični slučaj</w:t>
      </w:r>
    </w:p>
    <w:p>
      <w:pPr>
        <w:pStyle w:val="BodyText"/>
        <w:bidi w:val="0"/>
        <w:spacing w:lineRule="auto" w:line="240" w:before="0" w:after="340"/>
        <w:jc w:val="both"/>
        <w:rPr/>
      </w:pPr>
      <w:r>
        <w:rPr/>
        <w:t>Procjena se primjenjuje kada obveznik ne vodi propisane evidencije, kada ih ne stavi na raspolaganje ili kada su one očito neistinite. Zakon je predviđa kao izlaz iz činjenične praznine, a ne kao alternativu utvrđivanju. Već iz te svrhe slijedi prvo ograničenje: procjena se ne smije koristiti ondje gdje se činjenice mogu utvrditi redovnim putem, ma koliko taj put bio dulji.</w:t>
      </w:r>
    </w:p>
    <w:p>
      <w:pPr>
        <w:pStyle w:val="BodyText"/>
        <w:bidi w:val="0"/>
        <w:spacing w:lineRule="auto" w:line="240" w:before="0" w:after="340"/>
        <w:jc w:val="both"/>
        <w:rPr/>
      </w:pPr>
      <w:r>
        <w:rPr/>
        <w:t>Drugo ograničenje tiče se metode. Zakon i praksa poznaju nekoliko metoda procjene, a izbor metode nije slobodan nego mora odgovarati raspoloživim podacima i naravi djelatnosti. Tijelo koje izabere metodu bez obrazloženja zašto je baš ona prikladna nije izvršilo ocjenu nego ju je preskočilo.</w:t>
      </w:r>
    </w:p>
    <w:p>
      <w:pPr>
        <w:pStyle w:val="BodyText"/>
        <w:bidi w:val="0"/>
        <w:spacing w:lineRule="auto" w:line="240" w:before="0" w:after="340"/>
        <w:jc w:val="both"/>
        <w:rPr/>
      </w:pPr>
      <w:r>
        <w:rPr/>
        <w:t>Treće ograničenje je cilj: procjena treba dati iznos što bliži stvarnoj osnovici, a ne najviši obranjivi iznos. To razlikovanje je važno jer se u praksi javlja shvaćanje da je procjena vrsta sankcije za neurednog obveznika. Takvo shvaćanje nema uporište u zakonu i pretvara institut utvrđivanja u kaznenu mjeru bez postupka koji kazna traži.</w:t>
      </w:r>
    </w:p>
    <w:p>
      <w:pPr>
        <w:pStyle w:val="BodyText"/>
        <w:bidi w:val="0"/>
        <w:spacing w:lineRule="auto" w:line="240" w:before="0" w:after="340"/>
        <w:jc w:val="both"/>
        <w:rPr/>
      </w:pPr>
      <w:r>
        <w:rPr/>
        <w:t>Zbog svega toga procjena je granični slučaj, a ne primjer diskrecije. Tijelo ondje ima prostor u izboru metode i u zaključivanju iz nepotpunih podataka, ali taj prostor nije izbor između jednako dopuštenih ishoda nego napor da se dođe do jednog ispravnog. Za nadzor je razlika bitna: sud smije ispitati je li metoda prikladna, dok kod prave diskrecije ne bi smio ispitivati je li izbor najbolji.</w:t>
      </w:r>
    </w:p>
    <w:p>
      <w:pPr>
        <w:pStyle w:val="BodyText"/>
        <w:bidi w:val="0"/>
        <w:spacing w:lineRule="auto" w:line="240" w:before="0" w:after="340"/>
        <w:jc w:val="both"/>
        <w:rPr/>
      </w:pPr>
      <w:r>
        <w:rPr/>
        <w:t>Vrijedi dodati i pitanje tereta. Kod procjene se često tvrdi da teret dokazivanja prelazi na obveznika jer je sam prouzročio prazninu svojim propustom. Takvo shvaćanje ima praktičnu logiku, ali ga treba držati u granicama: propust u vođenju evidencija opravdava primjenu drugačije tehnike utvrđivanja, ne i odustajanje tijela od utvrđivanja činjenica u razumnoj mjeri.</w:t>
      </w:r>
    </w:p>
    <w:p>
      <w:pPr>
        <w:pStyle w:val="Heading3"/>
        <w:bidi w:val="0"/>
        <w:ind w:hanging="0" w:left="0"/>
        <w:rPr/>
      </w:pPr>
      <w:r>
        <w:rPr/>
        <w:t>3.3.</w:t>
        <w:tab/>
        <w:t>Granice koje zakon postavlja izrijekom</w:t>
      </w:r>
    </w:p>
    <w:p>
      <w:pPr>
        <w:pStyle w:val="BodyText"/>
        <w:bidi w:val="0"/>
        <w:spacing w:lineRule="auto" w:line="240" w:before="0" w:after="340"/>
        <w:jc w:val="both"/>
        <w:rPr/>
      </w:pPr>
      <w:r>
        <w:rPr/>
        <w:t>Uz ograničenja koja proizlaze iz naravi pojedinog instituta, opći propis o upravnom postupku postavlja i granice koje vrijede za svaku diskrecijsku odluku. Prva je svrha: ovlast se smije koristiti samo radi cilja zbog kojega je dana. Druga je opseg: izbor mora ostati unutar okvira koji zakon crta.</w:t>
      </w:r>
    </w:p>
    <w:p>
      <w:pPr>
        <w:pStyle w:val="BodyText"/>
        <w:bidi w:val="0"/>
        <w:spacing w:lineRule="auto" w:line="240" w:before="0" w:after="340"/>
        <w:jc w:val="both"/>
        <w:rPr/>
      </w:pPr>
      <w:r>
        <w:rPr/>
        <w:t>Treća granica je razmjernost, koja traži da zahvat u prava stranke ne bude teži nego što je potrebno za postizanje svrhe. U poreznom kontekstu ona se najčešće javlja kod mjera osiguranja i kod izbora između blažeg i strožeg instituta, gdje se pitanje ne svodi na dopuštenost nego na nužnost.</w:t>
      </w:r>
    </w:p>
    <w:p>
      <w:pPr>
        <w:pStyle w:val="BodyText"/>
        <w:bidi w:val="0"/>
        <w:spacing w:lineRule="auto" w:line="240" w:before="0" w:after="340"/>
        <w:jc w:val="both"/>
        <w:rPr/>
      </w:pPr>
      <w:r>
        <w:rPr/>
        <w:t>Četvrta granica, koja se rijetko navodi kao granica diskrecije a djeluje kao najjača, jest dužnost obrazloženja. Ona ne ograničava izbor sadržajno nego postupovno: tijelo smije izabrati, ali mora pokazati kako je izabralo. Bez tog pokazivanja ostale tri granice ostaju bez ikakvog učinka, jer se njihovo poštovanje ne može provjeriti.</w:t>
      </w:r>
    </w:p>
    <w:p>
      <w:pPr>
        <w:pStyle w:val="BodyText"/>
        <w:bidi w:val="0"/>
        <w:spacing w:lineRule="auto" w:line="240" w:before="0" w:after="340"/>
        <w:jc w:val="both"/>
        <w:rPr/>
      </w:pPr>
      <w:r>
        <w:rPr/>
        <w:t>Peta granica proizlazi iz odnosa prema strankinim pravima u postupku. Pravo na očitovanje nije ukras nego izvor okolnosti koje tijelo mora uzeti u obzir pri izboru; odluka donesena bez tog izvora nije samo postupovno manjkava nego se temelji na užem činjeničnom skupu nego što je zakon predvidio.</w:t>
      </w:r>
    </w:p>
    <w:p>
      <w:pPr>
        <w:pStyle w:val="BodyText"/>
        <w:bidi w:val="0"/>
        <w:spacing w:lineRule="auto" w:line="240" w:before="0" w:after="340"/>
        <w:jc w:val="both"/>
        <w:rPr/>
      </w:pPr>
      <w:r>
        <w:rPr/>
        <w:t>Granice se pritom ne primjenjuju odvojeno nego zajedno, a njihov je učinak najjači kada se preklope. Odluka koja je unutar opsega, ali čija svrha nije jasna i koja nije razmjerna, ne pada zbog jedne od tri stvari nego zbog toga što nijedna od njih nije pokazana.</w:t>
      </w:r>
    </w:p>
    <w:p>
      <w:pPr>
        <w:pStyle w:val="Heading3"/>
        <w:bidi w:val="0"/>
        <w:ind w:hanging="0" w:left="0"/>
        <w:rPr/>
      </w:pPr>
      <w:r>
        <w:rPr/>
        <w:t>4.</w:t>
        <w:tab/>
        <w:t>Mjerila koja vežu tijelo</w:t>
      </w:r>
    </w:p>
    <w:p>
      <w:pPr>
        <w:pStyle w:val="Heading3"/>
        <w:bidi w:val="0"/>
        <w:ind w:hanging="0" w:left="0"/>
        <w:rPr/>
      </w:pPr>
      <w:r>
        <w:rPr/>
        <w:t>4.1.</w:t>
        <w:tab/>
        <w:t>Obrazloženje kao mjesto na kojem se granica vidi</w:t>
      </w:r>
    </w:p>
    <w:p>
      <w:pPr>
        <w:pStyle w:val="BodyText"/>
        <w:bidi w:val="0"/>
        <w:spacing w:lineRule="auto" w:line="240" w:before="0" w:after="340"/>
        <w:jc w:val="both"/>
        <w:rPr/>
      </w:pPr>
      <w:r>
        <w:rPr/>
        <w:t>Obrazloženje diskrecijske odluke razlikuje se od obrazloženja vezane odluke po tome što mora sadržavati i razloge izbora, a ne samo utvrđene činjenice i primijenjeni propis. Kod vezane odluke dovoljno je pokazati da su uvjeti ispunjeni; kod diskrecijske treba pokazati zašto je od više dopuštenih rješenja izabrano baš ovo.</w:t>
      </w:r>
    </w:p>
    <w:p>
      <w:pPr>
        <w:pStyle w:val="BodyText"/>
        <w:bidi w:val="0"/>
        <w:spacing w:lineRule="auto" w:line="240" w:before="0" w:after="340"/>
        <w:jc w:val="both"/>
        <w:rPr/>
      </w:pPr>
      <w:r>
        <w:rPr/>
        <w:t>U praksi se ta razlika često gubi, pa obrazloženja diskrecijskih odluka izgledaju kao obrazloženja vezanih: navode se odredba i utvrđene činjenice, a zatim slijedi izreka, bez ijedne rečenice o izboru. Takvo obrazloženje nije kratko nego nepotpuno, jer izostavlja upravo onaj dio koji je predmet ocjene.</w:t>
      </w:r>
    </w:p>
    <w:p>
      <w:pPr>
        <w:pStyle w:val="BodyText"/>
        <w:bidi w:val="0"/>
        <w:spacing w:lineRule="auto" w:line="240" w:before="0" w:after="340"/>
        <w:jc w:val="both"/>
        <w:rPr/>
      </w:pPr>
      <w:r>
        <w:rPr/>
        <w:t>Zahtjev za obrazloženjem nije zahtjev za opširnošću. Nekoliko rečenica koje imenuju svrhu, navedu okolnosti uzete u obzir i objasne zašto su prevagnule u jednom smjeru čine više od stranice prepisanog zakonskog teksta. Mjerilo nije duljina nego mogućnost provjere.</w:t>
      </w:r>
    </w:p>
    <w:p>
      <w:pPr>
        <w:pStyle w:val="BodyText"/>
        <w:bidi w:val="0"/>
        <w:spacing w:lineRule="auto" w:line="240" w:before="0" w:after="340"/>
        <w:jc w:val="both"/>
        <w:rPr/>
      </w:pPr>
      <w:r>
        <w:rPr/>
        <w:t>Iz perspektive stranke obrazloženje ima i drugu ulogu, koja se u pravnoj raspravi rijetko spominje. Ono omogućuje da se odluka prihvati bez spora, jer stranka koja razumije zašto je odlučeno može ocijeniti ima li smisla ulagati pravni lijek. Obrazloženje koje se ne može pročitati proizvodi sporove i ondje gdje je odluka sadržajno ispravna.</w:t>
      </w:r>
    </w:p>
    <w:p>
      <w:pPr>
        <w:pStyle w:val="BodyText"/>
        <w:bidi w:val="0"/>
        <w:spacing w:lineRule="auto" w:line="240" w:before="0" w:after="340"/>
        <w:jc w:val="both"/>
        <w:rPr/>
      </w:pPr>
      <w:r>
        <w:rPr/>
        <w:t>Postoji prigovor da bi strogi standard obrazloženja opteretio tijelo koje donosi velik broj odluka. Prigovor je ozbiljan i ne odbacuje se lako, ali se dijelom rješava upravo obrascem: kada su mjerila unaprijed poznata, obrazloženje izbora svodi se na navođenje koje su okolnosti u konkretnom predmetu prevagnule, što je nekoliko rečenica, a ne nova analiza.</w:t>
      </w:r>
    </w:p>
    <w:p>
      <w:pPr>
        <w:pStyle w:val="BodyText"/>
        <w:bidi w:val="0"/>
        <w:spacing w:lineRule="auto" w:line="240" w:before="0" w:after="340"/>
        <w:jc w:val="both"/>
        <w:rPr/>
      </w:pPr>
      <w:r>
        <w:rPr/>
        <w:t>Vrijedi razlikovati i obrazloženje odluke od obrazloženja postupanja. Prvo je dio akta i mora biti u njemu; drugo može stajati u spisu, u zabilješkama i unutarnjim uputama. Sud ispituje prvo, pa ono što je ostalo u spisu ne popravlja nedostatak akta, koliko god sadržajno bilo temeljito.</w:t>
      </w:r>
    </w:p>
    <w:p>
      <w:pPr>
        <w:pStyle w:val="BodyText"/>
        <w:bidi w:val="0"/>
        <w:spacing w:lineRule="auto" w:line="240" w:before="0" w:after="340"/>
        <w:jc w:val="both"/>
        <w:rPr/>
      </w:pPr>
      <w:r>
        <w:rPr/>
        <w:t>Za kraj ovog odjeljka vrijedi imenovati i granicu samog zahtjeva. Obrazloženje pokazuje razloge koje je tijelo navelo, ne nužno one kojima se doista vodilo. Ono je najbolji dostupan trag, ali nije dokaz o unutarnjem postupku odlučivanja, i to ograničenje treba držati na umu pri svakoj tvrdnji koja se na obrazloženje oslanja.</w:t>
      </w:r>
    </w:p>
    <w:p>
      <w:pPr>
        <w:pStyle w:val="Heading3"/>
        <w:bidi w:val="0"/>
        <w:ind w:hanging="0" w:left="0"/>
        <w:rPr/>
      </w:pPr>
      <w:r>
        <w:rPr/>
        <w:t>4.2.</w:t>
        <w:tab/>
        <w:t>Razmjernost i zabrana zlouporabe svrhe</w:t>
      </w:r>
    </w:p>
    <w:p>
      <w:pPr>
        <w:pStyle w:val="BodyText"/>
        <w:bidi w:val="0"/>
        <w:spacing w:lineRule="auto" w:line="240" w:before="0" w:after="340"/>
        <w:jc w:val="both"/>
        <w:rPr/>
      </w:pPr>
      <w:r>
        <w:rPr/>
        <w:t>Razmjernost se u upravnom pravu ispituje u nekoliko koraka: je li mjera prikladna za postizanje cilja, je li nužna u smislu da blaža mjera ne bi bila dovoljna, i je li razmjerna u užem smislu, dakle je li teret za stranku u prihvatljivom odnosu prema koristi za javni interes. Ta se struktura može primijeniti i na porezne odluke, iako se u obrazloženjima rijetko vidi izrijekom.</w:t>
      </w:r>
    </w:p>
    <w:p>
      <w:pPr>
        <w:pStyle w:val="BodyText"/>
        <w:bidi w:val="0"/>
        <w:spacing w:lineRule="auto" w:line="240" w:before="0" w:after="340"/>
        <w:jc w:val="both"/>
        <w:rPr/>
      </w:pPr>
      <w:r>
        <w:rPr/>
        <w:t>Zabrana zlouporabe svrhe djeluje na drugoj razini. Ona ne pita je li mjera prestroga nego je li izabrana iz razloga koji je zakon imao na umu. Odluka koja je formalno unutar okvira, a donesena je da bi se stranku odvratilo od korištenja pravnog lijeka ili da bi se ispunio unutarnji cilj tijela, nezakonita je bez obzira na to što je sadržajno moguća.</w:t>
      </w:r>
    </w:p>
    <w:p>
      <w:pPr>
        <w:pStyle w:val="BodyText"/>
        <w:bidi w:val="0"/>
        <w:spacing w:lineRule="auto" w:line="240" w:before="0" w:after="340"/>
        <w:jc w:val="both"/>
        <w:rPr/>
      </w:pPr>
      <w:r>
        <w:rPr/>
        <w:t>Zlouporaba se u praksi teško dokazuje, jer razlozi koje tijelo navodi rijetko odaju stvarnu pobudu. Zbog toga se u literaturi predlaže neizravni put: ako obrazloženje ne sadrži razloge koji bi odluku objasnili, a ishod se sustavno ponavlja u istom smjeru, teret objašnjenja pomiče se prema tijelu. Taj prijedlog nije općeprihvaćen i ovdje se navodi kao stajalište, ne kao pravilo.</w:t>
      </w:r>
    </w:p>
    <w:p>
      <w:pPr>
        <w:pStyle w:val="BodyText"/>
        <w:bidi w:val="0"/>
        <w:spacing w:lineRule="auto" w:line="240" w:before="0" w:after="340"/>
        <w:jc w:val="both"/>
        <w:rPr/>
      </w:pPr>
      <w:r>
        <w:rPr/>
        <w:t>Za ovaj rad važnija je veza tih dvaju mjerila s obrazloženjem. Oba su primjenjiva samo ako postoje navedeni razlozi na koje se mogu primijeniti. Odluka bez razloga ne može biti nerazmjerna niti zlouporabna u smislu koji se može ispitati, jer nema ničega što bi se ispitalo, i upravo je to najjači argument za strogi standard obrazloženja.</w:t>
      </w:r>
    </w:p>
    <w:p>
      <w:pPr>
        <w:pStyle w:val="BodyText"/>
        <w:bidi w:val="0"/>
        <w:spacing w:lineRule="auto" w:line="240" w:before="0" w:after="340"/>
        <w:jc w:val="both"/>
        <w:rPr/>
      </w:pPr>
      <w:r>
        <w:rPr/>
        <w:t>Kod razmjernosti se u poreznim stvarima javlja i pitanje čije se koristi mjere. Javni interes u naplati nije jedini javni interes: postoji i interes da obveznik nastavi poslovati i ubuduće plaćati porez. Mjera koja naplati zatečeni dug, a onemogući daljnje poslovanje, može biti razmjerna u odnosu na prvi interes, a nerazmjerna u odnosu na oba zajedno.</w:t>
      </w:r>
    </w:p>
    <w:p>
      <w:pPr>
        <w:pStyle w:val="Heading3"/>
        <w:bidi w:val="0"/>
        <w:ind w:hanging="0" w:left="0"/>
        <w:rPr/>
      </w:pPr>
      <w:r>
        <w:rPr/>
        <w:t>4.3.</w:t>
        <w:tab/>
        <w:t>Jednako postupanje i legitimna očekivanja</w:t>
      </w:r>
    </w:p>
    <w:p>
      <w:pPr>
        <w:pStyle w:val="BodyText"/>
        <w:bidi w:val="0"/>
        <w:spacing w:lineRule="auto" w:line="240" w:before="0" w:after="340"/>
        <w:jc w:val="both"/>
        <w:rPr/>
      </w:pPr>
      <w:r>
        <w:rPr/>
        <w:t>Tijelo koje je u nizu istovrsnih predmeta postupalo na određeni način vezano je tom praksom u smislu da odstupanje mora obrazložiti. Vezanost nije apsolutna: praksa se smije mijenjati, i to je nužno ako je dotadašnja bila pogrešna. Ono što se ne smije jest mijenjati je nevidljivo, od predmeta do predmeta, bez ijedne riječi o promjeni.</w:t>
      </w:r>
    </w:p>
    <w:p>
      <w:pPr>
        <w:pStyle w:val="BodyText"/>
        <w:bidi w:val="0"/>
        <w:spacing w:lineRule="auto" w:line="240" w:before="0" w:after="340"/>
        <w:jc w:val="both"/>
        <w:rPr/>
      </w:pPr>
      <w:r>
        <w:rPr/>
        <w:t>Legitimna očekivanja idu korak dalje i štite stranku koja je svoje ponašanje uskladila s dotadašnjim postupanjem tijela. U poreznom kontekstu to je osjetljivo pitanje jer se plaćanje poreza planira unaprijed, pa naknadna promjena tumačenja može pogoditi razdoblja u kojima se stranka ponašala u dobroj vjeri.</w:t>
      </w:r>
    </w:p>
    <w:p>
      <w:pPr>
        <w:pStyle w:val="BodyText"/>
        <w:bidi w:val="0"/>
        <w:spacing w:lineRule="auto" w:line="240" w:before="0" w:after="340"/>
        <w:jc w:val="both"/>
        <w:rPr/>
      </w:pPr>
      <w:r>
        <w:rPr/>
        <w:t>Dva mjerila zajedno daju praktičan zaključak za rad tijela: ujednačenost je pravna obveza, a ne samo poželjna osobina uprave. Iz nje slijedi da su unutarnje upute i objavljena mišljenja korisni, ali samo dok se primjenjuju dosljedno; primijenjeni selektivno, oni pogoršavaju položaj stranke jer stvaraju očekivanje koje se ne ispunjava.</w:t>
      </w:r>
    </w:p>
    <w:p>
      <w:pPr>
        <w:pStyle w:val="BodyText"/>
        <w:bidi w:val="0"/>
        <w:spacing w:lineRule="auto" w:line="240" w:before="0" w:after="340"/>
        <w:jc w:val="both"/>
        <w:rPr/>
      </w:pPr>
      <w:r>
        <w:rPr/>
        <w:t>Ograničenje ovih mjerila jest da ih stranka teško dokazuje. Podatak o tome kako je tijelo postupilo u sličnim predmetima najčešće nije javan, pa se nejednako postupanje uočava tek slučajno. To je jedan od razloga zbog kojih objavljivanje mjerila unaprijed, o čemu je riječ u šestom poglavlju, mijenja više od bilo koje izmjene zakonskog teksta.</w:t>
      </w:r>
    </w:p>
    <w:p>
      <w:pPr>
        <w:pStyle w:val="BodyText"/>
        <w:bidi w:val="0"/>
        <w:spacing w:lineRule="auto" w:line="240" w:before="0" w:after="340"/>
        <w:jc w:val="both"/>
        <w:rPr/>
      </w:pPr>
      <w:r>
        <w:rPr/>
        <w:t>Vrijedi napomenuti da ujednačenost ne znači jednakost ishoda. Dva obveznika u različitim okolnostima smiju dobiti različite odluke, i to je upravo ono što diskrecija omogućuje. Ujednačenost traži da se u sličnim okolnostima primijene ista mjerila, a razlika u ishodu objasni razlikom u okolnostima, ne razlikom u pristupu.</w:t>
      </w:r>
    </w:p>
    <w:p>
      <w:pPr>
        <w:pStyle w:val="Heading3"/>
        <w:bidi w:val="0"/>
        <w:ind w:hanging="0" w:left="0"/>
        <w:rPr/>
      </w:pPr>
      <w:r>
        <w:rPr/>
        <w:t>5.</w:t>
        <w:tab/>
        <w:t>Sudski nadzor</w:t>
      </w:r>
    </w:p>
    <w:p>
      <w:pPr>
        <w:pStyle w:val="Heading3"/>
        <w:bidi w:val="0"/>
        <w:ind w:hanging="0" w:left="0"/>
        <w:rPr/>
      </w:pPr>
      <w:r>
        <w:rPr/>
        <w:t>5.1.</w:t>
        <w:tab/>
        <w:t>Doseg sudskog nadzora nad diskrecijom</w:t>
      </w:r>
    </w:p>
    <w:p>
      <w:pPr>
        <w:pStyle w:val="BodyText"/>
        <w:bidi w:val="0"/>
        <w:spacing w:lineRule="auto" w:line="240" w:before="0" w:after="340"/>
        <w:jc w:val="both"/>
        <w:rPr/>
      </w:pPr>
      <w:r>
        <w:rPr/>
        <w:t>Upravni sud ispituje zakonitost, a ne svrhovitost odluke, i ta rečenica nosi veći dio odgovora na pitanje o nositelju granice. Sud ne pita je li tijelo odlučilo najbolje nego je li smjelo tako odlučiti. Kod vezanih odluka razlika je mala jer je zakonitost gotovo istoznačna s ispravnošću; kod diskrecijskih je velika, jer više ishoda može biti zakonito.</w:t>
      </w:r>
    </w:p>
    <w:p>
      <w:pPr>
        <w:pStyle w:val="BodyText"/>
        <w:bidi w:val="0"/>
        <w:spacing w:lineRule="auto" w:line="240" w:before="0" w:after="340"/>
        <w:jc w:val="both"/>
        <w:rPr/>
      </w:pPr>
      <w:r>
        <w:rPr/>
        <w:t>Iz toga slijedi da se nadzor nad diskrecijom svodi na četiri pitanja. Je li tijelo uopće imalo ovlast, je li ostalo unutar njezinih granica, je li je koristilo radi svrhe zbog koje je dana, i je li pri tome poštovalo opća načela postupka. Peto pitanje, je li izbor bio dobar, sud ne postavlja.</w:t>
      </w:r>
    </w:p>
    <w:p>
      <w:pPr>
        <w:pStyle w:val="BodyText"/>
        <w:bidi w:val="0"/>
        <w:spacing w:lineRule="auto" w:line="240" w:before="0" w:after="340"/>
        <w:jc w:val="both"/>
        <w:rPr/>
      </w:pPr>
      <w:r>
        <w:rPr/>
        <w:t>Takvo ograničenje nije nedostatak nego posljedica diobe vlasti: ocjena svrhovitosti pripada upravi, koja za nju odgovara politički i unutarnjim nadzorom. Sud koji bi tu ocjenu preuzeo ne bi proširio zaštitu stranke nego bi preuzeo posao koji nije njegov, i to bez sredstava koja uprava ima.</w:t>
      </w:r>
    </w:p>
    <w:p>
      <w:pPr>
        <w:pStyle w:val="BodyText"/>
        <w:bidi w:val="0"/>
        <w:spacing w:lineRule="auto" w:line="240" w:before="0" w:after="340"/>
        <w:jc w:val="both"/>
        <w:rPr/>
      </w:pPr>
      <w:r>
        <w:rPr/>
        <w:t>Praktična posljedica za stranku jest da tužba koja tvrdi samo kako je odluka nepravedna gotovo sigurno neće uspjeti. Tužba koja tvrdi da obrazloženje ne pokazuje razloge izbora ima bitno bolji položaj, jer se time napada nešto što sud smije i mora ispitati.</w:t>
      </w:r>
    </w:p>
    <w:p>
      <w:pPr>
        <w:pStyle w:val="BodyText"/>
        <w:bidi w:val="0"/>
        <w:spacing w:lineRule="auto" w:line="240" w:before="0" w:after="340"/>
        <w:jc w:val="both"/>
        <w:rPr/>
      </w:pPr>
      <w:r>
        <w:rPr/>
        <w:t>Vrijedi dodati da ograničenje dosega ne znači i ograničenje ozbiljnosti. Ispitivanje granica i svrhe može biti vrlo temeljito, osobito kada je obrazloženje opširno, jer opširno obrazloženje daje više toga što se može provjeriti. Paradoksalno, tijelo koje obrazlaže bolje izlaže se strožem nadzoru, i to je jedan od tihih razloga zbog kojih se obrazloženja skraćuju.</w:t>
      </w:r>
    </w:p>
    <w:p>
      <w:pPr>
        <w:pStyle w:val="BodyText"/>
        <w:bidi w:val="0"/>
        <w:spacing w:lineRule="auto" w:line="240" w:before="0" w:after="340"/>
        <w:jc w:val="both"/>
        <w:rPr/>
      </w:pPr>
      <w:r>
        <w:rPr/>
        <w:t>Treba dodati da sud u pravilu ne odlučuje umjesto tijela nego predmet vraća. To je posljedica iste diobe: ako bi sud sam izabrao između dopuštenih rješenja, preuzeo bi ocjenu koja mu ne pripada. Iznimke postoje, ali su uske i vezane uz situacije u kojima je samo jedno rješenje zakonito, dakle u kojima izbora zapravo nema.</w:t>
      </w:r>
    </w:p>
    <w:p>
      <w:pPr>
        <w:pStyle w:val="BodyText"/>
        <w:bidi w:val="0"/>
        <w:spacing w:lineRule="auto" w:line="240" w:before="0" w:after="340"/>
        <w:jc w:val="both"/>
        <w:rPr/>
      </w:pPr>
      <w:r>
        <w:rPr/>
        <w:t>Vrijedi razlikovati i dvije vrste tužbenih navoda koje stranke miješaju. Navod da je odluka pogrešna napada sadržaj, a navod da se ne može ispitati napada oblik. Drugi je u sporu o diskrecijskoj odluci u pravilu jači, jer ne traži od suda da uđe u ocjenu nego da utvrdi da ocjene nije ni bilo prikazano.</w:t>
      </w:r>
    </w:p>
    <w:p>
      <w:pPr>
        <w:pStyle w:val="Heading3"/>
        <w:bidi w:val="0"/>
        <w:ind w:hanging="0" w:left="0"/>
        <w:rPr/>
      </w:pPr>
      <w:r>
        <w:rPr/>
        <w:t>5.2.</w:t>
        <w:tab/>
        <w:t>Što se događa kada obrazloženje izostane</w:t>
      </w:r>
    </w:p>
    <w:p>
      <w:pPr>
        <w:pStyle w:val="BodyText"/>
        <w:bidi w:val="0"/>
        <w:spacing w:lineRule="auto" w:line="240" w:before="0" w:after="340"/>
        <w:jc w:val="both"/>
        <w:rPr/>
      </w:pPr>
      <w:r>
        <w:rPr/>
        <w:t>Kada obrazloženje ne sadrži razloge izbora, sud se nalazi pred odlukom koju ne može ispitati u onom dijelu koji je jedini sporan. Formalno, takva odluka ima nedostatak koji sam po sebi vodi poništenju, jer je počinjena povreda pravila postupka koja je mogla utjecati na ishod. Sadržajno, spor se time ne rješava nego vraća na početak.</w:t>
      </w:r>
    </w:p>
    <w:p>
      <w:pPr>
        <w:pStyle w:val="BodyText"/>
        <w:bidi w:val="0"/>
        <w:spacing w:lineRule="auto" w:line="240" w:before="0" w:after="340"/>
        <w:jc w:val="both"/>
        <w:rPr/>
      </w:pPr>
      <w:r>
        <w:rPr/>
        <w:t>Ta posljedica objašnjava zašto je izostanak obrazloženja skup za sve strane. Stranka dobiva poništenje, ali ne i odgovor; tijelo dobiva predmet natrag i mora ponoviti postupak; sud je potrošio vrijeme na pitanje koje se moglo riješiti u prvom stupnju jednim odlomkom teksta. Nitko od troje nije dobio ono što je htio.</w:t>
      </w:r>
    </w:p>
    <w:p>
      <w:pPr>
        <w:pStyle w:val="BodyText"/>
        <w:bidi w:val="0"/>
        <w:spacing w:lineRule="auto" w:line="240" w:before="0" w:after="340"/>
        <w:jc w:val="both"/>
        <w:rPr/>
      </w:pPr>
      <w:r>
        <w:rPr/>
        <w:t>Postoji i teži ishod od poništenja, a to je situacija u kojoj sud nedostatak ne prepozna kao nedostatak. Ako se šturo obrazloženje prihvati kao dovoljno, granica diskrecije prestaje biti provjeriva, a načelo zakonitosti u tom dijelu postoji samo na papiru. Rad zato drži da je standard obrazloženja glavna poluga cijelog pitanja, važnija od svake izmjene materijalnih odredbi.</w:t>
      </w:r>
    </w:p>
    <w:p>
      <w:pPr>
        <w:pStyle w:val="BodyText"/>
        <w:bidi w:val="0"/>
        <w:spacing w:lineRule="auto" w:line="240" w:before="0" w:after="340"/>
        <w:jc w:val="both"/>
        <w:rPr/>
      </w:pPr>
      <w:r>
        <w:rPr/>
        <w:t>Odnos između tri koraka postupka prikazan je na Slici 1: ovlast koju daje zakon, izbor koji provodi tijelo, i trag tog izbora u obrazloženju, koji je jedino što sud vidi. Ako treći korak izostane, prva dva postoje, ali su izvan dosega nadzora.</w:t>
      </w:r>
    </w:p>
    <w:p>
      <w:pPr>
        <w:pStyle w:val="BodyText"/>
        <w:bidi w:val="0"/>
        <w:spacing w:lineRule="auto" w:line="240" w:before="0" w:after="340"/>
        <w:jc w:val="both"/>
        <w:rPr/>
      </w:pPr>
      <w:r>
        <w:rPr/>
        <w:t>Postoji i međupoložaj koji je u praksi najčešći: obrazloženje postoji i navodi razloge, ali su razlozi opći do te mjere da bi jednako pristajali svakom predmetu iste vrste. Takvo obrazloženje formalno zadovoljava, a sadržajno ne pokazuje ništa o konkretnom izboru. Ono je teže za nadzor od potpunog izostanka, jer se protiv njega ne može prigovoriti postojanje nedostatka koji se lako imenuje.</w:t>
      </w:r>
    </w:p>
    <w:p>
      <w:pPr>
        <w:pStyle w:val="Heading3"/>
        <w:bidi w:val="0"/>
        <w:ind w:hanging="0" w:left="0"/>
        <w:rPr/>
      </w:pPr>
      <w:r>
        <w:rPr/>
        <w:t>5.3.</w:t>
        <w:tab/>
        <w:t>Granice nadzora koje ne dolaze iz zakona</w:t>
      </w:r>
    </w:p>
    <w:p>
      <w:pPr>
        <w:pStyle w:val="BodyText"/>
        <w:bidi w:val="0"/>
        <w:spacing w:lineRule="auto" w:line="240" w:before="0" w:after="340"/>
        <w:jc w:val="both"/>
        <w:rPr/>
      </w:pPr>
      <w:r>
        <w:rPr/>
        <w:t>Uz pravne granice postoje i stvarne, koje zakon ne spominje a djeluju jednako snažno. Prva je vrijeme: spor traje, a porezna obveza u međuvremenu proizvodi posljedice, pa dio stranaka odustane prije nego što do odluke dođe. Druga je trošak, koji za manje iznose lako premaši sam iznos spora.</w:t>
      </w:r>
    </w:p>
    <w:p>
      <w:pPr>
        <w:pStyle w:val="BodyText"/>
        <w:bidi w:val="0"/>
        <w:spacing w:lineRule="auto" w:line="240" w:before="0" w:after="340"/>
        <w:jc w:val="both"/>
        <w:rPr/>
      </w:pPr>
      <w:r>
        <w:rPr/>
        <w:t>Treća je dokazna pozicija. Stranka koja tvrdi da je tijelo postupilo nejednako mora to pokazati, a podaci o postupanju u drugim predmetima nisu joj dostupni. Nadzor tako ostaje formalno otvoren, a praktično dostupan samo onima koji imaju sredstva i vrijeme.</w:t>
      </w:r>
    </w:p>
    <w:p>
      <w:pPr>
        <w:pStyle w:val="BodyText"/>
        <w:bidi w:val="0"/>
        <w:spacing w:lineRule="auto" w:line="240" w:before="0" w:after="340"/>
        <w:jc w:val="both"/>
        <w:rPr/>
      </w:pPr>
      <w:r>
        <w:rPr/>
        <w:t>Za pitanje ovog rada te granice su važne jer pokazuju da se odgovor na drugi dio istraživačkog pitanja, tko granicu čuva, ne iscrpljuje u sudu. Sud je posljednja instancija, ali do njega dolazi mali dio predmeta. U svakodnevici granicu čuva ili ne čuva samo tijelo, kroz vlastito obrazloženje i vlastitu ujednačenost.</w:t>
      </w:r>
    </w:p>
    <w:p>
      <w:pPr>
        <w:pStyle w:val="BodyText"/>
        <w:bidi w:val="0"/>
        <w:spacing w:lineRule="auto" w:line="240" w:before="0" w:after="340"/>
        <w:jc w:val="both"/>
        <w:rPr/>
      </w:pPr>
      <w:r>
        <w:rPr/>
        <w:t>Popis stvarnih prepreka i njihova djelovanja na dostupnost nadzora dan je u Tablici 2. Ni jedna od njih ne traži izmjenu propisa da bi se ublažila, i upravo je to razlog zbog kojeg su navedene odvojeno od pravnih granica.</w:t>
      </w:r>
    </w:p>
    <w:p>
      <w:pPr>
        <w:pStyle w:val="BodyText"/>
        <w:bidi w:val="0"/>
        <w:spacing w:lineRule="auto" w:line="240" w:before="0" w:after="340"/>
        <w:jc w:val="both"/>
        <w:rPr/>
      </w:pPr>
      <w:r>
        <w:rPr/>
        <w:t>Četvrta stvarna prepreka je znanje. Stranka bez pravne pomoći najčešće ne prepozna da je odluka diskrecijska, pa prigovor formulira kao nezadovoljstvo iznosom. Takva tužba nema izgleda, a razlog nije u tome da je odluka bila ispravna nego u tome da nije napadnuta ondje gdje je bila slaba.</w:t>
      </w:r>
    </w:p>
    <w:p>
      <w:pPr>
        <w:pStyle w:val="Heading3"/>
        <w:bidi w:val="0"/>
        <w:ind w:hanging="0" w:left="0"/>
        <w:rPr/>
      </w:pPr>
      <w:r>
        <w:rPr/>
        <w:t>6.</w:t>
        <w:tab/>
        <w:t>Rasprava</w:t>
      </w:r>
    </w:p>
    <w:p>
      <w:pPr>
        <w:pStyle w:val="Heading3"/>
        <w:bidi w:val="0"/>
        <w:ind w:hanging="0" w:left="0"/>
        <w:rPr/>
      </w:pPr>
      <w:r>
        <w:rPr/>
        <w:t>6.1.</w:t>
        <w:tab/>
        <w:t>Sažimanje odgovora po osima</w:t>
      </w:r>
    </w:p>
    <w:p>
      <w:pPr>
        <w:pStyle w:val="BodyText"/>
        <w:bidi w:val="0"/>
        <w:spacing w:lineRule="auto" w:line="240" w:before="0" w:after="340"/>
        <w:jc w:val="both"/>
        <w:rPr/>
      </w:pPr>
      <w:r>
        <w:rPr/>
        <w:t>Na pitanje gdje je granica, odgovor je da je zakon postavlja na tri mjesta: kod opsega ovlasti, kod svrhe zbog koje je dana, i kod općih načela koja vežu svako postupanje. Sva tri mjesta su jasna u tekstu i nesporna u literaturi.</w:t>
      </w:r>
    </w:p>
    <w:p>
      <w:pPr>
        <w:pStyle w:val="BodyText"/>
        <w:bidi w:val="0"/>
        <w:spacing w:lineRule="auto" w:line="240" w:before="0" w:after="340"/>
        <w:jc w:val="both"/>
        <w:rPr/>
      </w:pPr>
      <w:r>
        <w:rPr/>
        <w:t>Na pitanje tko je čuva, odgovor je složeniji. Formalno je čuva sud, ali samo u predmetima koji do njega dođu i samo u opsegu koji mu je dopušten. Praktično je čuva tijelo samo, jer je ono jedino prisutno u svakom predmetu, i jer je obrazloženje koje ono napiše ujedno i jedini materijal na kojem kasniji nadzor može raditi.</w:t>
      </w:r>
    </w:p>
    <w:p>
      <w:pPr>
        <w:pStyle w:val="BodyText"/>
        <w:bidi w:val="0"/>
        <w:spacing w:lineRule="auto" w:line="240" w:before="0" w:after="340"/>
        <w:jc w:val="both"/>
        <w:rPr/>
      </w:pPr>
      <w:r>
        <w:rPr/>
        <w:t>Spoj tih dvaju odgovora daje tezu rada: granica u praksi seže točno dokle seže obrazloženje. Ondje gdje ono pokazuje svrhu, okolnosti i razlog izbora, sve tri zakonske granice su primjenjive. Ondje gdje ga nema, one postoje kao tekst, ali nemaju na čemu djelovati.</w:t>
      </w:r>
    </w:p>
    <w:p>
      <w:pPr>
        <w:pStyle w:val="BodyText"/>
        <w:bidi w:val="0"/>
        <w:spacing w:lineRule="auto" w:line="240" w:before="0" w:after="340"/>
        <w:jc w:val="both"/>
        <w:rPr/>
      </w:pPr>
      <w:r>
        <w:rPr/>
        <w:t>Iz spoja odgovora slijedi i jedna posljedica za način na koji se o diskreciji uči i piše. Rasprava koja se zadrži na opsegu ovlasti promašuje mjesto na kojem se pitanje odlučuje, a to je nekoliko rečenica u obrazloženju pojedinog rješenja. Pomak pažnje s ovlasti na trag ovlasti jeftiniji je od svake izmjene propisa i ne traži ničiju suglasnost osim onoga tko odluku piše.</w:t>
      </w:r>
    </w:p>
    <w:p>
      <w:pPr>
        <w:pStyle w:val="Heading3"/>
        <w:bidi w:val="0"/>
        <w:ind w:hanging="0" w:left="0"/>
        <w:rPr/>
      </w:pPr>
      <w:r>
        <w:rPr/>
        <w:t>6.2.</w:t>
        <w:tab/>
        <w:t>Prijedlozi koji ne traže izmjenu zakona</w:t>
      </w:r>
    </w:p>
    <w:p>
      <w:pPr>
        <w:pStyle w:val="BodyText"/>
        <w:bidi w:val="0"/>
        <w:spacing w:lineRule="auto" w:line="240" w:before="0" w:after="340"/>
        <w:jc w:val="both"/>
        <w:rPr/>
      </w:pPr>
      <w:r>
        <w:rPr/>
        <w:t>Prvi prijedlog je objavljivanje mjerila unaprijed. Ako tijelo javno kaže koje okolnosti uzima u obzir pri odlučivanju o odgodi ili obročnoj otplati, stranka može planirati, a odstupanje od mjerila postaje vidljivo. Objava ne sužava diskreciju nego je čini provjerljivom, što nije isto.</w:t>
      </w:r>
    </w:p>
    <w:p>
      <w:pPr>
        <w:pStyle w:val="BodyText"/>
        <w:bidi w:val="0"/>
        <w:spacing w:lineRule="auto" w:line="240" w:before="0" w:after="340"/>
        <w:jc w:val="both"/>
        <w:rPr/>
      </w:pPr>
      <w:r>
        <w:rPr/>
        <w:t>Drugi je prijedlog obrazac obrazloženja za diskrecijske odluke, koji uz činjenice i propis traži i tri rečenice o izboru: koja je svrha, koje su okolnosti uzete u obzir i zašto su prevagnule. Obrazac ne jamči kvalitetu, ali uklanja najčešći nedostatak, a to je potpuni izostanak tog dijela.</w:t>
      </w:r>
    </w:p>
    <w:p>
      <w:pPr>
        <w:pStyle w:val="BodyText"/>
        <w:bidi w:val="0"/>
        <w:spacing w:lineRule="auto" w:line="240" w:before="0" w:after="340"/>
        <w:jc w:val="both"/>
        <w:rPr/>
      </w:pPr>
      <w:r>
        <w:rPr/>
        <w:t>Treći je prijedlog evidencija odstupanja od dotadašnje prakse, vođena unutar tijela. Ona ne mora biti javna da bi djelovala: već samo postojanje obveze da se odstupanje zabilježi i obrazloži smanjuje broj nenamjernih odstupanja, jer ih čini vidljivima onome tko odlučuje.</w:t>
      </w:r>
    </w:p>
    <w:p>
      <w:pPr>
        <w:pStyle w:val="BodyText"/>
        <w:bidi w:val="0"/>
        <w:spacing w:lineRule="auto" w:line="240" w:before="0" w:after="340"/>
        <w:jc w:val="both"/>
        <w:rPr/>
      </w:pPr>
      <w:r>
        <w:rPr/>
        <w:t>Sva tri prijedloga imaju istu logiku: ne diraju ovlast nego njezin trag. To je namjerno, jer je rad pokazao da problem nije u opsegu ovlasti nego u tome što se njezino korištenje ne može provjeriti. Prijedlozi koji bi sužavali ovlast rješavali bi drugi problem, a ovaj bi ostavili netaknutim.</w:t>
      </w:r>
    </w:p>
    <w:p>
      <w:pPr>
        <w:pStyle w:val="BodyText"/>
        <w:bidi w:val="0"/>
        <w:spacing w:lineRule="auto" w:line="240" w:before="0" w:after="340"/>
        <w:jc w:val="both"/>
        <w:rPr/>
      </w:pPr>
      <w:r>
        <w:rPr/>
        <w:t>Sva tri prijedloga imaju i zajedničku slabost, koju treba izgovoriti. Nijedan se ne može iznuditi izvana: objava mjerila, obrazac i evidencija ovise o odluci samog tijela. Pravno sredstvo koje bi ih nametnulo ne postoji, pa njihova provedba ostaje pitanje unutarnje politike, a ne obveze koju stranka može tražiti.</w:t>
      </w:r>
    </w:p>
    <w:p>
      <w:pPr>
        <w:pStyle w:val="Heading3"/>
        <w:bidi w:val="0"/>
        <w:ind w:hanging="0" w:left="0"/>
        <w:rPr/>
      </w:pPr>
      <w:r>
        <w:rPr/>
        <w:t>6.3.</w:t>
        <w:tab/>
        <w:t>Ograničenja ovog rada</w:t>
      </w:r>
    </w:p>
    <w:p>
      <w:pPr>
        <w:pStyle w:val="BodyText"/>
        <w:bidi w:val="0"/>
        <w:spacing w:lineRule="auto" w:line="240" w:before="0" w:after="340"/>
        <w:jc w:val="both"/>
        <w:rPr/>
      </w:pPr>
      <w:r>
        <w:rPr/>
        <w:t>Rad je dogmatski pregled i ne zna što se u postupcima doista događa. Tvrdnja da su obrazloženja često nepotpuna oslanja se na literaturu i na opis prakse u njoj, a ne na vlastito mjerenje. Ako bi se pokazalo da su obrazloženja u pravilu potpuna, glavna teza rada izgubila bi praktičnu težinu, iako bi ostala točna kao opis odnosa.</w:t>
      </w:r>
    </w:p>
    <w:p>
      <w:pPr>
        <w:pStyle w:val="BodyText"/>
        <w:bidi w:val="0"/>
        <w:spacing w:lineRule="auto" w:line="240" w:before="0" w:after="340"/>
        <w:jc w:val="both"/>
        <w:rPr/>
      </w:pPr>
      <w:r>
        <w:rPr/>
        <w:t>Drugo ograničenje je izbor izvora. Domaća literatura o diskreciji u poreznom postupku nije opsežna, pa se dio zaključaka oslanja na opće upravnopravne izvore i na stranu literaturu, čiji se institucionalni okvir razlikuje. Prijenos takvih zaključaka traži oprez koji je ovdje izgovoren, ali ne i posve otklonjen.</w:t>
      </w:r>
    </w:p>
    <w:p>
      <w:pPr>
        <w:pStyle w:val="BodyText"/>
        <w:bidi w:val="0"/>
        <w:spacing w:lineRule="auto" w:line="240" w:before="0" w:after="340"/>
        <w:jc w:val="both"/>
        <w:rPr/>
      </w:pPr>
      <w:r>
        <w:rPr/>
        <w:t>Treće ograničenje tiče se same teze. Tvrdnja da granica seže dokle i obrazloženje teško je oboriva u obliku u kojem je postavljena, jer se svaki protuprimjer može objasniti nedostatkom obrazloženja. Da bi bila provjerljiva, trebalo bi je iskazati mjerljivo, primjerice kroz udio poništenja zbog nedostatka razloga, a to traži pristup predmetima koji ovaj rad nema.</w:t>
      </w:r>
    </w:p>
    <w:p>
      <w:pPr>
        <w:pStyle w:val="BodyText"/>
        <w:bidi w:val="0"/>
        <w:spacing w:lineRule="auto" w:line="240" w:before="0" w:after="340"/>
        <w:jc w:val="both"/>
        <w:rPr/>
      </w:pPr>
      <w:r>
        <w:rPr/>
        <w:t>Četvrto ograničenje je jezično i tiče se same građe. Dio pojmova kojima se rad služi, poput razmjernosti i legitimnih očekivanja, u domaćoj literaturi nema posve ustaljen sadržaj, pa se isti izraz kod različitih autora koristi u nešto različitom opsegu. Rad se drži šireg značenja i to napominje, ali potpuna pojmovna ujednačenost ovdje nije postignuta.</w:t>
      </w:r>
    </w:p>
    <w:p>
      <w:pPr>
        <w:pStyle w:val="Heading3"/>
        <w:bidi w:val="0"/>
        <w:ind w:hanging="0" w:left="0"/>
        <w:rPr/>
      </w:pPr>
      <w:r>
        <w:rPr/>
        <w:t>7.</w:t>
        <w:tab/>
        <w:t>Zaključak</w:t>
      </w:r>
    </w:p>
    <w:p>
      <w:pPr>
        <w:pStyle w:val="BodyText"/>
        <w:bidi w:val="0"/>
        <w:spacing w:lineRule="auto" w:line="240" w:before="0" w:after="340"/>
        <w:jc w:val="both"/>
        <w:rPr/>
      </w:pPr>
      <w:r>
        <w:rPr/>
        <w:t>Odgovor na istraživačko pitanje glasi da granica diskrecije poreznog tijela nije ondje gdje prestaje zakon nego ondje gdje prestaje obrazloženje. Zakon granicu postavlja na tri mjesta, kod opsega ovlasti, kod svrhe i kod općih načela, i sva tri su nesporna. Ta mjesta ipak djeluju samo posredno, kroz materijal koji tijelo samo proizvede, jer se izbor ne može ispitati ako o njemu nema traga.</w:t>
      </w:r>
    </w:p>
    <w:p>
      <w:pPr>
        <w:pStyle w:val="BodyText"/>
        <w:bidi w:val="0"/>
        <w:spacing w:lineRule="auto" w:line="240" w:before="0" w:after="340"/>
        <w:jc w:val="both"/>
        <w:rPr/>
      </w:pPr>
      <w:r>
        <w:rPr/>
        <w:t>Iz toga ne slijedi da je diskrecija sporna. Slijedi da je obrazloženje njezin sastavni dio, a ne dodatak koji se ispunjava po potrebi. Odluka bez razloga nije kratka nego nepotpuna, i to na način koji sudu oduzima predmet nadzora, a stranci mogućnost da odluku uopće ocijeni.</w:t>
      </w:r>
    </w:p>
    <w:p>
      <w:pPr>
        <w:pStyle w:val="BodyText"/>
        <w:bidi w:val="0"/>
        <w:spacing w:lineRule="auto" w:line="240" w:before="0" w:after="340"/>
        <w:jc w:val="both"/>
        <w:rPr/>
      </w:pPr>
      <w:r>
        <w:rPr/>
        <w:t>Prijedlozi izneseni u šestom poglavlju ne traže izmjenu zakona i ne sužavaju ovlast: objava mjerila unaprijed, obrazac obrazloženja s tri obavezne rečenice o izboru, i evidencija odstupanja od prakse. Sva tri djeluju na trag, ne na ovlast, jer je rad pokazao da problem leži ondje.</w:t>
      </w:r>
    </w:p>
    <w:p>
      <w:pPr>
        <w:pStyle w:val="BodyText"/>
        <w:bidi w:val="0"/>
        <w:spacing w:lineRule="auto" w:line="240" w:before="0" w:after="340"/>
        <w:jc w:val="both"/>
        <w:rPr/>
      </w:pPr>
      <w:r>
        <w:rPr/>
        <w:t>Otvoreno ostaje pitanje koliko su obrazloženja diskrecijskih poreznih odluka u praksi doista nepotpuna i koliki udio poništenja otpada na taj nedostatak. Odgovor traži analizu predmeta, dakle rad druge vrste od ovoga, i tek bi on pokazao je li ono što je ovdje opisano kao rizik ujedno i uobičajeno stanje.</w:t>
      </w:r>
    </w:p>
    <w:p>
      <w:pPr>
        <w:pStyle w:val="BodyText"/>
        <w:bidi w:val="0"/>
        <w:spacing w:lineRule="auto" w:line="240" w:before="0" w:after="340"/>
        <w:jc w:val="both"/>
        <w:rPr/>
      </w:pPr>
      <w:r>
        <w:rPr/>
        <w:t>Vrijedi zaključiti napomenom o tonu rasprave. Diskrecija se u javnom govoru redovito prikazuje kao sumnjiva sama po sebi, a u stručnom kao tehnički neutralna. Oba su prikaza nepotpuna: ona je nužna jer zakon ne može predvidjeti sve, i rizična jer se njezino korištenje ne vidi izvana. Između te dvije istine stoji obrazloženje, i zato je ono predmet ovog rada, a ne opseg ovlasti.</w:t>
      </w:r>
    </w:p>
    <w:p>
      <w:pPr>
        <w:pStyle w:val="Natpis"/>
        <w:bidi w:val="0"/>
        <w:spacing w:before="113" w:after="227"/>
        <w:jc w:val="center"/>
        <w:rPr/>
      </w:pPr>
      <w:r>
        <w:rPr/>
        <w:t>Tablica 1. Tipične skupine odredbi koje ostavljaju prostor procjeni</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Skupina</w:t>
            </w:r>
          </w:p>
        </w:tc>
        <w:tc>
          <w:tcPr>
            <w:tcW w:w="3135" w:type="dxa"/>
            <w:tcBorders/>
          </w:tcPr>
          <w:p>
            <w:pPr>
              <w:pStyle w:val="Normal"/>
              <w:bidi w:val="0"/>
              <w:rPr/>
            </w:pPr>
            <w:r>
              <w:rPr/>
              <w:t>Primjer instituta</w:t>
            </w:r>
          </w:p>
        </w:tc>
        <w:tc>
          <w:tcPr>
            <w:tcW w:w="3136" w:type="dxa"/>
            <w:tcBorders/>
          </w:tcPr>
          <w:p>
            <w:pPr>
              <w:pStyle w:val="Normal"/>
              <w:bidi w:val="0"/>
              <w:rPr/>
            </w:pPr>
            <w:r>
              <w:rPr/>
              <w:t>Narav prostora</w:t>
            </w:r>
          </w:p>
        </w:tc>
      </w:tr>
      <w:tr>
        <w:trPr/>
        <w:tc>
          <w:tcPr>
            <w:tcW w:w="3135" w:type="dxa"/>
            <w:tcBorders/>
          </w:tcPr>
          <w:p>
            <w:pPr>
              <w:pStyle w:val="Normal"/>
              <w:bidi w:val="0"/>
              <w:rPr/>
            </w:pPr>
            <w:r>
              <w:rPr/>
              <w:t>vrijeme i način izvršenja</w:t>
            </w:r>
          </w:p>
        </w:tc>
        <w:tc>
          <w:tcPr>
            <w:tcW w:w="3135" w:type="dxa"/>
            <w:tcBorders/>
          </w:tcPr>
          <w:p>
            <w:pPr>
              <w:pStyle w:val="Normal"/>
              <w:bidi w:val="0"/>
              <w:rPr/>
            </w:pPr>
            <w:r>
              <w:rPr/>
              <w:t>odgoda i obročna otplata</w:t>
            </w:r>
          </w:p>
        </w:tc>
        <w:tc>
          <w:tcPr>
            <w:tcW w:w="3136" w:type="dxa"/>
            <w:tcBorders/>
          </w:tcPr>
          <w:p>
            <w:pPr>
              <w:pStyle w:val="Normal"/>
              <w:bidi w:val="0"/>
              <w:rPr/>
            </w:pPr>
            <w:r>
              <w:rPr/>
              <w:t>izbor između dopuštenih rješenja</w:t>
            </w:r>
          </w:p>
        </w:tc>
      </w:tr>
      <w:tr>
        <w:trPr/>
        <w:tc>
          <w:tcPr>
            <w:tcW w:w="3135" w:type="dxa"/>
            <w:tcBorders/>
          </w:tcPr>
          <w:p>
            <w:pPr>
              <w:pStyle w:val="Normal"/>
              <w:bidi w:val="0"/>
              <w:rPr/>
            </w:pPr>
            <w:r>
              <w:rPr/>
              <w:t>olakšice u širem smislu</w:t>
            </w:r>
          </w:p>
        </w:tc>
        <w:tc>
          <w:tcPr>
            <w:tcW w:w="3135" w:type="dxa"/>
            <w:tcBorders/>
          </w:tcPr>
          <w:p>
            <w:pPr>
              <w:pStyle w:val="Normal"/>
              <w:bidi w:val="0"/>
              <w:rPr/>
            </w:pPr>
            <w:r>
              <w:rPr/>
              <w:t>otpis i smanjenje</w:t>
            </w:r>
          </w:p>
        </w:tc>
        <w:tc>
          <w:tcPr>
            <w:tcW w:w="3136" w:type="dxa"/>
            <w:tcBorders/>
          </w:tcPr>
          <w:p>
            <w:pPr>
              <w:pStyle w:val="Normal"/>
              <w:bidi w:val="0"/>
              <w:rPr/>
            </w:pPr>
            <w:r>
              <w:rPr/>
              <w:t>uvjeti su neodređeni pojmovi, izbor tek nakon njih</w:t>
            </w:r>
          </w:p>
        </w:tc>
      </w:tr>
      <w:tr>
        <w:trPr/>
        <w:tc>
          <w:tcPr>
            <w:tcW w:w="3135" w:type="dxa"/>
            <w:tcBorders/>
          </w:tcPr>
          <w:p>
            <w:pPr>
              <w:pStyle w:val="Normal"/>
              <w:bidi w:val="0"/>
              <w:rPr/>
            </w:pPr>
            <w:r>
              <w:rPr/>
              <w:t>utvrđivanje činjenica</w:t>
            </w:r>
          </w:p>
        </w:tc>
        <w:tc>
          <w:tcPr>
            <w:tcW w:w="3135" w:type="dxa"/>
            <w:tcBorders/>
          </w:tcPr>
          <w:p>
            <w:pPr>
              <w:pStyle w:val="Normal"/>
              <w:bidi w:val="0"/>
              <w:rPr/>
            </w:pPr>
            <w:r>
              <w:rPr/>
              <w:t>procjena porezne osnovice</w:t>
            </w:r>
          </w:p>
        </w:tc>
        <w:tc>
          <w:tcPr>
            <w:tcW w:w="3136" w:type="dxa"/>
            <w:tcBorders/>
          </w:tcPr>
          <w:p>
            <w:pPr>
              <w:pStyle w:val="Normal"/>
              <w:bidi w:val="0"/>
              <w:rPr/>
            </w:pPr>
            <w:r>
              <w:rPr/>
              <w:t>vezana tehnika, ne slobodna ocjena</w:t>
            </w:r>
          </w:p>
        </w:tc>
      </w:tr>
    </w:tbl>
    <w:p>
      <w:pPr>
        <w:pStyle w:val="Natpis"/>
        <w:bidi w:val="0"/>
        <w:spacing w:before="113" w:after="227"/>
        <w:jc w:val="center"/>
        <w:rPr/>
      </w:pPr>
      <w:r>
        <w:rPr/>
        <w:t>Izvor: Izrada autora prema odredbama Općeg poreznog zakona.</w:t>
      </w:r>
    </w:p>
    <w:p>
      <w:pPr>
        <w:pStyle w:val="Natpis"/>
        <w:bidi w:val="0"/>
        <w:spacing w:before="113" w:after="227"/>
        <w:jc w:val="center"/>
        <w:rPr/>
      </w:pPr>
      <w:r>
        <w:rPr/>
        <w:t>Tablica 2. Stvarne prepreke dostupnosti sudskog nadzora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Prepreka</w:t>
            </w:r>
          </w:p>
        </w:tc>
        <w:tc>
          <w:tcPr>
            <w:tcW w:w="3135" w:type="dxa"/>
            <w:tcBorders/>
          </w:tcPr>
          <w:p>
            <w:pPr>
              <w:pStyle w:val="Normal"/>
              <w:bidi w:val="0"/>
              <w:rPr/>
            </w:pPr>
            <w:r>
              <w:rPr/>
              <w:t>Djeluje na</w:t>
            </w:r>
          </w:p>
        </w:tc>
        <w:tc>
          <w:tcPr>
            <w:tcW w:w="3136" w:type="dxa"/>
            <w:tcBorders/>
          </w:tcPr>
          <w:p>
            <w:pPr>
              <w:pStyle w:val="Normal"/>
              <w:bidi w:val="0"/>
              <w:rPr/>
            </w:pPr>
            <w:r>
              <w:rPr/>
              <w:t>Traži li izmjenu propisa</w:t>
            </w:r>
          </w:p>
        </w:tc>
      </w:tr>
      <w:tr>
        <w:trPr/>
        <w:tc>
          <w:tcPr>
            <w:tcW w:w="3135" w:type="dxa"/>
            <w:tcBorders/>
          </w:tcPr>
          <w:p>
            <w:pPr>
              <w:pStyle w:val="Normal"/>
              <w:bidi w:val="0"/>
              <w:rPr/>
            </w:pPr>
            <w:r>
              <w:rPr/>
              <w:t>trajanje spora</w:t>
            </w:r>
          </w:p>
        </w:tc>
        <w:tc>
          <w:tcPr>
            <w:tcW w:w="3135" w:type="dxa"/>
            <w:tcBorders/>
          </w:tcPr>
          <w:p>
            <w:pPr>
              <w:pStyle w:val="Normal"/>
              <w:bidi w:val="0"/>
              <w:rPr/>
            </w:pPr>
            <w:r>
              <w:rPr/>
              <w:t>odluku stranke hoće li tužiti</w:t>
            </w:r>
          </w:p>
        </w:tc>
        <w:tc>
          <w:tcPr>
            <w:tcW w:w="3136" w:type="dxa"/>
            <w:tcBorders/>
          </w:tcPr>
          <w:p>
            <w:pPr>
              <w:pStyle w:val="Normal"/>
              <w:bidi w:val="0"/>
              <w:rPr/>
            </w:pPr>
            <w:r>
              <w:rPr/>
              <w:t>ne</w:t>
            </w:r>
          </w:p>
        </w:tc>
      </w:tr>
      <w:tr>
        <w:trPr/>
        <w:tc>
          <w:tcPr>
            <w:tcW w:w="3135" w:type="dxa"/>
            <w:tcBorders/>
          </w:tcPr>
          <w:p>
            <w:pPr>
              <w:pStyle w:val="Normal"/>
              <w:bidi w:val="0"/>
              <w:rPr/>
            </w:pPr>
            <w:r>
              <w:rPr/>
              <w:t>trošak u odnosu na iznos</w:t>
            </w:r>
          </w:p>
        </w:tc>
        <w:tc>
          <w:tcPr>
            <w:tcW w:w="3135" w:type="dxa"/>
            <w:tcBorders/>
          </w:tcPr>
          <w:p>
            <w:pPr>
              <w:pStyle w:val="Normal"/>
              <w:bidi w:val="0"/>
              <w:rPr/>
            </w:pPr>
            <w:r>
              <w:rPr/>
              <w:t>male predmete</w:t>
            </w:r>
          </w:p>
        </w:tc>
        <w:tc>
          <w:tcPr>
            <w:tcW w:w="3136" w:type="dxa"/>
            <w:tcBorders/>
          </w:tcPr>
          <w:p>
            <w:pPr>
              <w:pStyle w:val="Normal"/>
              <w:bidi w:val="0"/>
              <w:rPr/>
            </w:pPr>
            <w:r>
              <w:rPr/>
              <w:t>ne</w:t>
            </w:r>
          </w:p>
        </w:tc>
      </w:tr>
      <w:tr>
        <w:trPr/>
        <w:tc>
          <w:tcPr>
            <w:tcW w:w="3135" w:type="dxa"/>
            <w:tcBorders/>
          </w:tcPr>
          <w:p>
            <w:pPr>
              <w:pStyle w:val="Normal"/>
              <w:bidi w:val="0"/>
              <w:rPr/>
            </w:pPr>
            <w:r>
              <w:rPr/>
              <w:t>nedostupnost podataka o drugim predmetima</w:t>
            </w:r>
          </w:p>
        </w:tc>
        <w:tc>
          <w:tcPr>
            <w:tcW w:w="3135" w:type="dxa"/>
            <w:tcBorders/>
          </w:tcPr>
          <w:p>
            <w:pPr>
              <w:pStyle w:val="Normal"/>
              <w:bidi w:val="0"/>
              <w:rPr/>
            </w:pPr>
            <w:r>
              <w:rPr/>
              <w:t>dokazivanje nejednakog postupanja</w:t>
            </w:r>
          </w:p>
        </w:tc>
        <w:tc>
          <w:tcPr>
            <w:tcW w:w="3136" w:type="dxa"/>
            <w:tcBorders/>
          </w:tcPr>
          <w:p>
            <w:pPr>
              <w:pStyle w:val="Normal"/>
              <w:bidi w:val="0"/>
              <w:rPr/>
            </w:pPr>
            <w:r>
              <w:rPr/>
              <w:t>ne</w:t>
            </w:r>
          </w:p>
        </w:tc>
      </w:tr>
    </w:tbl>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Ovlast, izbor i trag izbora: što sud doista vidi</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Razlikovanje diskrecije i neodređenog pravnog pojma po dosegu nadzora</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jc w:val="both"/>
        <w:rPr/>
      </w:pPr>
      <w:r>
        <w:rPr/>
        <w:t>Tablica 1. Tipične skupine odredbi koje ostavljaju prostor procjeni</w:t>
      </w:r>
    </w:p>
    <w:p>
      <w:pPr>
        <w:pStyle w:val="BodyText"/>
        <w:bidi w:val="0"/>
        <w:spacing w:lineRule="auto" w:line="240" w:before="0" w:after="340"/>
        <w:jc w:val="both"/>
        <w:rPr/>
      </w:pPr>
      <w:r>
        <w:rPr/>
        <w:t>Tablica 2. Stvarne prepreke dostupnosti sudskog nadzora</w:t>
      </w:r>
    </w:p>
    <w:p>
      <w:pPr>
        <w:pStyle w:val="Heading3"/>
        <w:bidi w:val="0"/>
        <w:ind w:hanging="0" w:left="0"/>
        <w:rPr/>
      </w:pPr>
      <w:r>
        <w:rPr/>
        <w:t>Popis slika</w:t>
      </w:r>
    </w:p>
    <w:p>
      <w:pPr>
        <w:pStyle w:val="BodyText"/>
        <w:bidi w:val="0"/>
        <w:spacing w:lineRule="auto" w:line="240" w:before="0" w:after="340"/>
        <w:jc w:val="both"/>
        <w:rPr/>
      </w:pPr>
      <w:r>
        <w:rPr/>
        <w:t>Slika 1. Ovlast, izbor i trag izbora: što sud doista vidi</w:t>
      </w:r>
    </w:p>
    <w:p>
      <w:pPr>
        <w:pStyle w:val="BodyText"/>
        <w:bidi w:val="0"/>
        <w:spacing w:lineRule="auto" w:line="240" w:before="0" w:after="340"/>
        <w:jc w:val="both"/>
        <w:rPr/>
      </w:pPr>
      <w:r>
        <w:rPr/>
        <w:t>Slika 2. Razlikovanje diskrecije i neodređenog pravnog pojma po dosegu nadzora</w:t>
      </w:r>
    </w:p>
    <w:p>
      <w:pPr>
        <w:pStyle w:val="Heading3"/>
        <w:bidi w:val="0"/>
        <w:ind w:hanging="0" w:left="0"/>
        <w:rPr/>
      </w:pPr>
      <w:r>
        <w:rPr/>
        <w:t>Literatura</w:t>
      </w:r>
    </w:p>
    <w:p>
      <w:pPr>
        <w:pStyle w:val="BodyText"/>
        <w:bidi w:val="0"/>
        <w:spacing w:lineRule="auto" w:line="240" w:before="0" w:after="340"/>
        <w:jc w:val="both"/>
        <w:rPr/>
      </w:pPr>
      <w:r>
        <w:rPr/>
        <w:t>1. Cogan, D. (2011). Tax, Discretion and the Rule of Law. U: The Delicate Balance: Tax, Discretion and the Rule of Law. Amsterdam: IBFD. https://doi.org/10.59403/e81zxe001</w:t>
      </w:r>
    </w:p>
    <w:p>
      <w:pPr>
        <w:pStyle w:val="BodyText"/>
        <w:bidi w:val="0"/>
        <w:spacing w:lineRule="auto" w:line="240" w:before="0" w:after="340"/>
        <w:jc w:val="both"/>
        <w:rPr/>
      </w:pPr>
      <w:r>
        <w:rPr/>
        <w:t>2. Quackelbeen, L. (2026). Judicial Discretion in the Interpretation of International Crimes. Oxford: Hart Publishing. https://doi.org/10.5040/9781509985203</w:t>
      </w:r>
    </w:p>
    <w:p>
      <w:pPr>
        <w:pStyle w:val="BodyText"/>
        <w:bidi w:val="0"/>
        <w:spacing w:lineRule="auto" w:line="240" w:before="0" w:after="340"/>
        <w:jc w:val="both"/>
        <w:rPr/>
      </w:pPr>
      <w:r>
        <w:rPr/>
        <w:t>3. Marić, T. (2023). Diskrecijska ocjena u poreznom postupku. Zbornik Pravnog fakulteta, 73(2), 137-162. https://doi.org/10.3935/zpf.2023.732</w:t>
      </w:r>
    </w:p>
    <w:p>
      <w:pPr>
        <w:pStyle w:val="BodyText"/>
        <w:bidi w:val="0"/>
        <w:spacing w:lineRule="auto" w:line="240" w:before="0" w:after="340"/>
        <w:jc w:val="both"/>
        <w:rPr/>
      </w:pPr>
      <w:r>
        <w:rPr/>
        <w:t>4. Novosel, D. (2022). Obrazloženje upravnog akta kao pretpostavka sudskog nadzora. Hrvatska pravna revija, 22(6), 28-41. https://doi.org/10.5559/hpr.2022.226</w:t>
      </w:r>
    </w:p>
    <w:p>
      <w:pPr>
        <w:pStyle w:val="BodyText"/>
        <w:bidi w:val="0"/>
        <w:spacing w:lineRule="auto" w:line="240" w:before="0" w:after="340"/>
        <w:jc w:val="both"/>
        <w:rPr/>
      </w:pPr>
      <w:r>
        <w:rPr/>
        <w:t>5. Ustav Republike Hrvatske, Narodne novine, pročišćeni tekst.</w:t>
      </w:r>
    </w:p>
    <w:p>
      <w:pPr>
        <w:pStyle w:val="BodyText"/>
        <w:bidi w:val="0"/>
        <w:spacing w:lineRule="auto" w:line="240" w:before="0" w:after="340"/>
        <w:jc w:val="both"/>
        <w:rPr/>
      </w:pPr>
      <w:r>
        <w:rPr/>
        <w:t>6. Zakon o općem upravnom postupku, Narodne novine.</w:t>
      </w:r>
    </w:p>
    <w:p>
      <w:pPr>
        <w:pStyle w:val="BodyText"/>
        <w:bidi w:val="0"/>
        <w:spacing w:lineRule="auto" w:line="240" w:before="0" w:after="340"/>
        <w:jc w:val="both"/>
        <w:rPr/>
      </w:pPr>
      <w:r>
        <w:rPr/>
        <w:t>7. Opći porezni zakon, Narodne novine.</w:t>
      </w:r>
    </w:p>
    <w:p>
      <w:pPr>
        <w:pStyle w:val="BodyText"/>
        <w:bidi w:val="0"/>
        <w:spacing w:lineRule="auto" w:line="240" w:before="0" w:after="340"/>
        <w:jc w:val="both"/>
        <w:rPr/>
      </w:pPr>
      <w:r>
        <w:rPr/>
        <w:t>8. Zakon o upravnim sporovima, Narodne novine.</w:t>
      </w:r>
    </w:p>
    <w:p>
      <w:pPr>
        <w:pStyle w:val="BodyText"/>
        <w:bidi w:val="0"/>
        <w:spacing w:lineRule="auto" w:line="240" w:before="0" w:after="340"/>
        <w:jc w:val="both"/>
        <w:rPr/>
      </w:pPr>
      <w:r>
        <w:rPr/>
        <w:t>9. Borković, I. (2002). Upravno pravo. Zagreb: Narodne novine.</w:t>
      </w:r>
    </w:p>
    <w:p>
      <w:pPr>
        <w:pStyle w:val="BodyText"/>
        <w:bidi w:val="0"/>
        <w:spacing w:lineRule="auto" w:line="240" w:before="0" w:after="340"/>
        <w:jc w:val="both"/>
        <w:rPr/>
      </w:pPr>
      <w:r>
        <w:rPr/>
        <w:t>10. Đerđa, D. (2010). Opći upravni postupak u Republici Hrvatskoj. Zagreb: Inženjerski biro.</w:t>
      </w:r>
    </w:p>
    <w:p>
      <w:pPr>
        <w:pStyle w:val="BodyText"/>
        <w:bidi w:val="0"/>
        <w:spacing w:lineRule="auto" w:line="240" w:before="0" w:after="340"/>
        <w:jc w:val="both"/>
        <w:rPr/>
      </w:pPr>
      <w:r>
        <w:rPr/>
        <w:t>11. Aviani, D. (2008). Diskrecijska ocjena u upravnom pravu. Split: Pravni fakultet.</w:t>
      </w:r>
    </w:p>
    <w:p>
      <w:pPr>
        <w:pStyle w:val="BodyText"/>
        <w:bidi w:val="0"/>
        <w:spacing w:lineRule="auto" w:line="240" w:before="0" w:after="340"/>
        <w:jc w:val="both"/>
        <w:rPr/>
      </w:pPr>
      <w:r>
        <w:rPr/>
        <w:t>12. Perić, A. (2021). Legitimna očekivanja poreznog obveznika. Pravni vjesnik, 37(3), 79-102.</w:t>
      </w:r>
    </w:p>
    <w:p>
      <w:pPr>
        <w:pStyle w:val="BodyText"/>
        <w:bidi w:val="0"/>
        <w:spacing w:lineRule="auto" w:line="240" w:before="0" w:after="340"/>
        <w:jc w:val="both"/>
        <w:rPr/>
      </w:pPr>
      <w:r>
        <w:rPr/>
        <w:t>13. Jurić, I. (2020). Neodređeni pravni pojmovi i granice sudskog nadzora. Zbornik radova Pravnog fakulteta u Splitu, 57(1), 55-78.</w:t>
      </w:r>
    </w:p>
    <w:p>
      <w:pPr>
        <w:pStyle w:val="BodyText"/>
        <w:bidi w:val="0"/>
        <w:spacing w:lineRule="auto" w:line="240" w:before="0" w:after="340"/>
        <w:jc w:val="both"/>
        <w:rPr/>
      </w:pPr>
      <w:r>
        <w:rPr/>
        <w:t>14. Šimunović, M. (2019). Razmjernost kao mjerilo u upravnom postupanju. Hrvatska i komparativna javna uprava, 19(4), 601-624.</w:t>
      </w:r>
    </w:p>
    <w:p>
      <w:pPr>
        <w:pStyle w:val="BodyText"/>
        <w:bidi w:val="0"/>
        <w:spacing w:lineRule="auto" w:line="240" w:before="0" w:after="340"/>
        <w:jc w:val="both"/>
        <w:rPr/>
      </w:pPr>
      <w:r>
        <w:rPr/>
        <w:t>15. Babić, L. (2018). Procjena porezne osnovice: pravna narav i granice. Porezni vjesnik, 27(9), 12-27.</w:t>
      </w:r>
    </w:p>
    <w:p>
      <w:pPr>
        <w:pStyle w:val="BodyText"/>
        <w:bidi w:val="0"/>
        <w:spacing w:lineRule="auto" w:line="240" w:before="0" w:after="340"/>
        <w:jc w:val="both"/>
        <w:rPr/>
      </w:pPr>
      <w:r>
        <w:rPr/>
        <w:t>16. Horvat, V. (2024). Ujednačenost upravne prakse i pravna sigurnost. Zagreb: Pravni fakultet.</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4"/>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26</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jc w:val="both"/>
        <w:rPr/>
      </w:pPr>
      <w:r>
        <w:rPr>
          <w:rStyle w:val="FootnoteCharacters"/>
        </w:rPr>
        <w:footnoteRef/>
      </w:r>
      <w:r>
        <w:rPr/>
        <w:t>Ustav Republike Hrvatske, čl. 51. st. 1., o dužnosti sudjelovanja u podmirenju javnih troškova razmjerno mogućnostima.</w:t>
      </w:r>
    </w:p>
  </w:footnote>
  <w:footnote w:id="3">
    <w:p>
      <w:pPr>
        <w:pStyle w:val="BodyText"/>
        <w:bidi w:val="0"/>
        <w:spacing w:lineRule="auto" w:line="240" w:before="0" w:after="340"/>
        <w:jc w:val="both"/>
        <w:rPr/>
      </w:pPr>
      <w:r>
        <w:rPr>
          <w:rStyle w:val="FootnoteCharacters"/>
        </w:rPr>
        <w:footnoteRef/>
      </w:r>
      <w:r>
        <w:rPr/>
        <w:t>Zakon o općem upravnom postupku, čl. 5., o načelu zakonitosti u postupanju javnopravnih tijela.</w:t>
      </w:r>
    </w:p>
  </w:footnote>
  <w:footnote w:id="4">
    <w:p>
      <w:pPr>
        <w:pStyle w:val="BodyText"/>
        <w:bidi w:val="0"/>
        <w:spacing w:lineRule="auto" w:line="240" w:before="0" w:after="340"/>
        <w:jc w:val="both"/>
        <w:rPr/>
      </w:pPr>
      <w:r>
        <w:rPr>
          <w:rStyle w:val="FootnoteCharacters"/>
        </w:rPr>
        <w:footnoteRef/>
      </w:r>
      <w:r>
        <w:rPr/>
        <w:t>Isto, čl. 6., o načelu razmjernosti u zaštiti prava stranaka i javnog interesa.</w:t>
      </w:r>
    </w:p>
  </w:footnote>
  <w:footnote w:id="5">
    <w:p>
      <w:pPr>
        <w:pStyle w:val="BodyText"/>
        <w:bidi w:val="0"/>
        <w:spacing w:lineRule="auto" w:line="240" w:before="0" w:after="340"/>
        <w:jc w:val="both"/>
        <w:rPr/>
      </w:pPr>
      <w:r>
        <w:rPr>
          <w:rStyle w:val="FootnoteCharacters"/>
        </w:rPr>
        <w:footnoteRef/>
      </w:r>
      <w:r>
        <w:rPr/>
        <w:t>Opći porezni zakon, odredbe o odgodi plaćanja i obročnoj otplati poreznog duga; ovlašćujuća formulacija upućuje na izbor unutar ispunjenih uvjeta.</w:t>
      </w:r>
    </w:p>
  </w:footnote>
  <w:footnote w:id="6">
    <w:p>
      <w:pPr>
        <w:pStyle w:val="BodyText"/>
        <w:bidi w:val="0"/>
        <w:spacing w:lineRule="auto" w:line="240" w:before="0" w:after="340"/>
        <w:jc w:val="both"/>
        <w:rPr/>
      </w:pPr>
      <w:r>
        <w:rPr>
          <w:rStyle w:val="FootnoteCharacters"/>
        </w:rPr>
        <w:footnoteRef/>
      </w:r>
      <w:r>
        <w:rPr/>
        <w:t>Opći porezni zakon, odredbe o procjeni porezne osnovice; procjena je predviđena kao izlaz iz činjenične praznine, ne kao alternativa utvrđivanju.</w:t>
      </w:r>
    </w:p>
  </w:footnote>
  <w:footnote w:id="7">
    <w:p>
      <w:pPr>
        <w:pStyle w:val="BodyText"/>
        <w:bidi w:val="0"/>
        <w:spacing w:lineRule="auto" w:line="240" w:before="0" w:after="340"/>
        <w:jc w:val="both"/>
        <w:rPr/>
      </w:pPr>
      <w:r>
        <w:rPr>
          <w:rStyle w:val="FootnoteCharacters"/>
        </w:rPr>
        <w:footnoteRef/>
      </w:r>
      <w:r>
        <w:rPr/>
        <w:t>Zakon o općem upravnom postupku, čl. 98., o sadržaju obrazloženja rješenja.</w:t>
      </w:r>
    </w:p>
  </w:footnote>
  <w:footnote w:id="8">
    <w:p>
      <w:pPr>
        <w:pStyle w:val="BodyText"/>
        <w:bidi w:val="0"/>
        <w:spacing w:lineRule="auto" w:line="240" w:before="0" w:after="340"/>
        <w:jc w:val="both"/>
        <w:rPr/>
      </w:pPr>
      <w:r>
        <w:rPr>
          <w:rStyle w:val="FootnoteCharacters"/>
        </w:rPr>
        <w:footnoteRef/>
      </w:r>
      <w:r>
        <w:rPr/>
        <w:t>Isto; kod odluka donesenih po slobodnoj ocjeni obrazloženje mora sadržavati i razloge kojima se tijelo vodilo pri izboru.</w:t>
      </w:r>
    </w:p>
  </w:footnote>
  <w:footnote w:id="9">
    <w:p>
      <w:pPr>
        <w:pStyle w:val="BodyText"/>
        <w:bidi w:val="0"/>
        <w:spacing w:lineRule="auto" w:line="240" w:before="0" w:after="340"/>
        <w:jc w:val="both"/>
        <w:rPr/>
      </w:pPr>
      <w:r>
        <w:rPr>
          <w:rStyle w:val="FootnoteCharacters"/>
        </w:rPr>
        <w:footnoteRef/>
      </w:r>
      <w:r>
        <w:rPr/>
        <w:t>Zakon o upravnim sporovima, o predmetu upravnog spora i ispitivanju zakonitosti pojedinačne odluke.</w:t>
      </w:r>
    </w:p>
  </w:footnote>
  <w:footnote w:id="10">
    <w:p>
      <w:pPr>
        <w:pStyle w:val="BodyText"/>
        <w:bidi w:val="0"/>
        <w:spacing w:lineRule="auto" w:line="240" w:before="0" w:after="340"/>
        <w:jc w:val="both"/>
        <w:rPr/>
      </w:pPr>
      <w:r>
        <w:rPr>
          <w:rStyle w:val="FootnoteCharacters"/>
        </w:rPr>
        <w:footnoteRef/>
      </w:r>
      <w:r>
        <w:rPr/>
        <w:t>Isto; povreda pravila postupka koja je mogla utjecati na ishod razlog je za poništenje.</w:t>
      </w:r>
    </w:p>
  </w:footnote>
  <w:footnote w:id="11">
    <w:p>
      <w:pPr>
        <w:pStyle w:val="BodyText"/>
        <w:bidi w:val="0"/>
        <w:spacing w:lineRule="auto" w:line="240" w:before="0" w:after="340"/>
        <w:jc w:val="both"/>
        <w:rPr/>
      </w:pPr>
      <w:r>
        <w:rPr>
          <w:rStyle w:val="FootnoteCharacters"/>
        </w:rPr>
        <w:footnoteRef/>
      </w:r>
      <w:r>
        <w:rPr/>
        <w:t>Cogan, D., Tax, Discretion and the Rule of Law, u: The Delicate Balance, IBFD, 2011., o odnosu diskrecije i vladavine prava u poreznoj upravi.</w:t>
      </w:r>
    </w:p>
  </w:footnote>
  <w:footnote w:id="12">
    <w:p>
      <w:pPr>
        <w:pStyle w:val="BodyText"/>
        <w:bidi w:val="0"/>
        <w:spacing w:lineRule="auto" w:line="240" w:before="0" w:after="340"/>
        <w:jc w:val="both"/>
        <w:rPr/>
      </w:pPr>
      <w:r>
        <w:rPr>
          <w:rStyle w:val="FootnoteCharacters"/>
        </w:rPr>
        <w:footnoteRef/>
      </w:r>
      <w:r>
        <w:rPr/>
        <w:t>Marić, T., Diskrecijska ocjena u poreznom postupku, Zbornik Pravnog fakulteta, 2023., str. 141. i dalje.</w:t>
      </w:r>
    </w:p>
  </w:footnote>
  <w:footnote w:id="13">
    <w:p>
      <w:pPr>
        <w:pStyle w:val="BodyText"/>
        <w:bidi w:val="0"/>
        <w:spacing w:lineRule="auto" w:line="240" w:before="0" w:after="340"/>
        <w:jc w:val="both"/>
        <w:rPr/>
      </w:pPr>
      <w:r>
        <w:rPr>
          <w:rStyle w:val="FootnoteCharacters"/>
        </w:rPr>
        <w:footnoteRef/>
      </w:r>
      <w:r>
        <w:rPr/>
        <w:t>Isto, str. 149., o teretu objašnjenja kod sustavno ponovljenog ishoda.</w:t>
      </w:r>
    </w:p>
  </w:footnote>
  <w:footnote w:id="14">
    <w:p>
      <w:pPr>
        <w:pStyle w:val="BodyText"/>
        <w:bidi w:val="0"/>
        <w:spacing w:lineRule="auto" w:line="240" w:before="0" w:after="340"/>
        <w:jc w:val="both"/>
        <w:rPr/>
      </w:pPr>
      <w:r>
        <w:rPr>
          <w:rStyle w:val="FootnoteCharacters"/>
        </w:rPr>
        <w:footnoteRef/>
      </w:r>
      <w:r>
        <w:rPr/>
        <w:t>Novosel, D., Obrazloženje upravnog akta kao pretpostavka sudskog nadzora, Hrvatska pravna revija, 2022., str. 33.</w:t>
      </w:r>
    </w:p>
  </w:footnote>
  <w:footnote w:id="15">
    <w:p>
      <w:pPr>
        <w:pStyle w:val="BodyText"/>
        <w:bidi w:val="0"/>
        <w:spacing w:lineRule="auto" w:line="240" w:before="0" w:after="340"/>
        <w:jc w:val="both"/>
        <w:rPr/>
      </w:pPr>
      <w:r>
        <w:rPr>
          <w:rStyle w:val="FootnoteCharacters"/>
        </w:rPr>
        <w:footnoteRef/>
      </w:r>
      <w:r>
        <w:rPr/>
        <w:t>O legitimnim očekivanjima u poreznim stvarima vidi Perić, A., Legitimna očekivanja poreznog obveznika, Pravni vjesnik, 2021., str. 88.</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