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480" w:before="0" w:after="340"/>
        <w:rPr/>
      </w:pPr>
      <w:r>
        <w:rPr/>
        <w:commentReference w:id="0"/>
      </w:r>
      <w:r>
        <w:rPr>
          <w:rFonts w:cs="Arial"/>
          <w:szCs w:val="24"/>
        </w:rPr>
        <w:t>3. Zakljucak</w:t>
      </w:r>
      <w:r>
        <w:rPr/>
        <w:tab/>
        <w:t>21</w:t>
      </w:r>
    </w:p>
    <w:p>
      <w:pPr>
        <w:pStyle w:val="BodyText"/>
        <w:bidi w:val="0"/>
        <w:spacing w:lineRule="auto" w:line="480" w:before="0" w:after="340"/>
        <w:rPr/>
      </w:pPr>
      <w:r>
        <w:rPr/>
        <w:commentReference w:id="1"/>
      </w:r>
      <w:r>
        <w:rPr>
          <w:rFonts w:cs="Arial"/>
          <w:szCs w:val="24"/>
        </w:rPr>
        <w:t>Literatura</w:t>
      </w:r>
      <w:r>
        <w:rPr/>
        <w:tab/>
        <w:t>23</w:t>
      </w:r>
    </w:p>
    <w:p>
      <w:pPr>
        <w:pStyle w:val="Naslovnica"/>
        <w:bidi w:val="0"/>
        <w:spacing w:lineRule="auto" w:line="360" w:before="113" w:after="113"/>
        <w:jc w:val="center"/>
        <w:rPr/>
      </w:pPr>
      <w:r>
        <w:rPr/>
        <w:t>Fakultet dentalne medicine Rijeka</w:t>
      </w:r>
    </w:p>
    <w:p>
      <w:pPr>
        <w:pStyle w:val="Naslovnica"/>
        <w:bidi w:val="0"/>
        <w:spacing w:lineRule="auto" w:line="360" w:before="113" w:after="113"/>
        <w:jc w:val="center"/>
        <w:rPr/>
      </w:pPr>
      <w:r>
        <w:rPr/>
        <w:t>Prijediplomski/integrirani studij (zavrsni rad), Fakultet dentalne medicine Rijeka</w:t>
      </w:r>
    </w:p>
    <w:p>
      <w:pPr>
        <w:pStyle w:val="Naslovnica"/>
        <w:bidi w:val="0"/>
        <w:spacing w:lineRule="auto" w:line="360" w:before="113" w:after="113"/>
        <w:jc w:val="center"/>
        <w:rPr/>
      </w:pPr>
      <w:r>
        <w:rPr/>
      </w:r>
    </w:p>
    <w:p>
      <w:pPr>
        <w:pStyle w:val="Naslovnica"/>
        <w:bidi w:val="0"/>
        <w:spacing w:lineRule="auto" w:line="360" w:before="113" w:after="113"/>
        <w:jc w:val="center"/>
        <w:rPr/>
      </w:pPr>
      <w:r>
        <w:rPr/>
        <w:t>Lucija Peršić</w:t>
      </w:r>
    </w:p>
    <w:p>
      <w:pPr>
        <w:pStyle w:val="Naslovnica"/>
        <w:bidi w:val="0"/>
        <w:spacing w:lineRule="auto" w:line="360" w:before="113" w:after="113"/>
        <w:jc w:val="center"/>
        <w:rPr/>
      </w:pPr>
      <w:r>
        <w:rPr/>
      </w:r>
    </w:p>
    <w:p>
      <w:pPr>
        <w:pStyle w:val="Naslovnica"/>
        <w:bidi w:val="0"/>
        <w:spacing w:lineRule="auto" w:line="360" w:before="113" w:after="113"/>
        <w:jc w:val="center"/>
        <w:rPr/>
      </w:pPr>
      <w:r>
        <w:rPr/>
        <w:t>Parodontitis i sistemske bolesti: što opservacijski nalazi mogu, a što ne mogu pokazati</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doc. dr. sc. Vesna Barac</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PrijelomStranice"/>
        <w:bidi w:val="0"/>
        <w:rPr/>
      </w:pPr>
      <w:r>
        <w:rPr/>
      </w:r>
      <w:r>
        <w:br w:type="page"/>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Heading3"/>
        <w:bidi w:val="0"/>
        <w:ind w:hanging="0" w:left="0"/>
        <w:rPr/>
      </w:pPr>
      <w:r>
        <w:rPr/>
        <w:t>Sažetak</w:t>
      </w:r>
    </w:p>
    <w:p>
      <w:pPr>
        <w:pStyle w:val="BodyText"/>
        <w:bidi w:val="0"/>
        <w:spacing w:lineRule="auto" w:line="480" w:before="0" w:after="340"/>
        <w:rPr/>
      </w:pPr>
      <w:r>
        <w:rPr>
          <w:rFonts w:cs="Arial"/>
          <w:szCs w:val="24"/>
        </w:rPr>
        <w:t>Rad razmatra odnos parodontitisa i sistemskih bolesti i pita koliki opseg zaklju</w:t>
      </w:r>
      <w:r>
        <w:rPr/>
        <w:t>čka dopuštaju nalazi na kojima se taj odnos gradi. Polazi se od parodontitisa kao kronične upalne bolesti potpornog aparata zuba i od dvaju putova kojima se objašnjava njegov mogući sustavni učinak, izravnoga upalnog i posrednoga, preko zajedničkih čimbenika rizika. Prikazuju se definicije slučaja i mjerila parodontalnog statusa te se pokazuje da promjena praga mijenja izmjerenu prevalenciju, a time i veličinu izmjerene povezanosti. Središnji dio rada razlaže tri metodološka ograničenja opservacijskih nalaza: zbunjujuće čimbenike i mogućnost zajedničkog uzroka, zahtjev vremenskog slijeda koji presječni nacrt ne može ispuniti, te granicu intervencijskih studija koje mjere posrednike, a ne tvrde ishode. Iz toga slijedi da je povezanost parodontitisa sa šećernom bolešću, kardiovaskularnim bolestima i nepovoljnim ishodima trudnoće dobro dokumentirana kao pravilnost, ali da se opseg zaključka ne izvodi iz njezine jačine nego iz nacrta u kojem je dobivena. Rad je pregled literature bez vlastita istraživanja; ne donosi preporuke o postupanju, ne opisuje praksu nijedne ustanove i ne zamjenjuje kliničku prosudbu.</w:t>
      </w:r>
    </w:p>
    <w:p>
      <w:pPr>
        <w:pStyle w:val="BodyText"/>
        <w:bidi w:val="0"/>
        <w:spacing w:lineRule="auto" w:line="480" w:before="0" w:after="340"/>
        <w:rPr/>
      </w:pPr>
      <w:r>
        <w:rPr>
          <w:rFonts w:cs="Arial"/>
          <w:szCs w:val="24"/>
        </w:rPr>
        <w:t>Ključne riječi: parodontitis, sistemske bolesti, zbunjujući čimbenici, nacrt ist</w:t>
      </w:r>
      <w:r>
        <w:rPr/>
        <w:t>raživanja, dentalna higijena</w:t>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Heading3"/>
        <w:bidi w:val="0"/>
        <w:ind w:hanging="0" w:left="0"/>
        <w:rPr/>
      </w:pPr>
      <w:r>
        <w:rPr/>
        <w:t>Abstract</w:t>
      </w:r>
    </w:p>
    <w:p>
      <w:pPr>
        <w:pStyle w:val="BodyText"/>
        <w:bidi w:val="0"/>
        <w:spacing w:lineRule="auto" w:line="480" w:before="0" w:after="340"/>
        <w:rPr/>
      </w:pPr>
      <w:r>
        <w:rPr/>
        <w:t>This thesis examines the relation between periodontitis and systemic diseases and asks how far the findings on which that relation rests actually allow one to conclude. It starts from periodontitis as a chronic inflammatory disease of the tooth supporting apparatus and from the two pathways proposed for its possible systemic effect, the direct inflammatory one and the indirect one running through shared risk factors. Case definitions and measures of periodontal status are presented, and it is shown that changing a threshold changes the measured prevalence and thereby the size of the measured association. The central part sets out three methodological limits of observational findings: confounding and the possibility of a common cause, the requirement of temporal order that a cross sectional design cannot meet, and the limit of intervention studies which measure surrogate markers rather than hard outcomes. It follows that the association of periodontitis with diabetes, cardiovascular disease and adverse pregnancy outcomes is well documented as a regularity, but that the scope of the conclusion does not follow from the strength of that association, only from the design in which it was obtained. The thesis is a literature review without original research; it offers no recommendations for practice, describes no institution and does not replace clinical judgement.</w:t>
      </w:r>
    </w:p>
    <w:p>
      <w:pPr>
        <w:pStyle w:val="BodyText"/>
        <w:bidi w:val="0"/>
        <w:spacing w:lineRule="auto" w:line="480" w:before="0" w:after="340"/>
        <w:rPr/>
      </w:pPr>
      <w:r>
        <w:rPr/>
        <w:t>Keywords: periodontitis, systemic diseases, confounding, study design, dental hygiene</w:t>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Heading3"/>
        <w:bidi w:val="0"/>
        <w:ind w:hanging="0" w:left="0"/>
        <w:rPr/>
      </w:pPr>
      <w:r>
        <w:rPr/>
        <w:t>1.</w:t>
        <w:tab/>
        <w:t>Uvod</w:t>
      </w:r>
    </w:p>
    <w:p>
      <w:pPr>
        <w:pStyle w:val="BodyText"/>
        <w:bidi w:val="0"/>
        <w:spacing w:lineRule="auto" w:line="480" w:before="0" w:after="340"/>
        <w:rPr/>
      </w:pPr>
      <w:r>
        <w:rPr/>
        <w:t>Parodontitis je kronična upalna bolest potpornih tkiva zuba koja bez liječenja vodi do nepovratnoga gubitka kliničkog pričvrstka i alveolarne kosti, a u uznapredovalim oblicima i do gubitka zuba (1). Za razliku od gingivitisa, koji je upalni odgovor ograničen na meko tkivo i u načelu povratan, parodontitis podrazumijeva razgradnju struktura koje zub drže u čeljusti. Bolest je raširena, dugotrajna i u ranim stadijima uglavnom bezbolna, pa se otkriva kasno i često slučajno, pri pregledu obavljenom iz posve drugog razloga. Upravo ta tri svojstva, trajanje, prikrivenost i razgradnja tkiva, čine je zanimljivom izvan usne šupljine: riječ je o dugotrajnom upalnom žarištu koje traje godinama i koje nositelj najčešće ne doživljava kao bolest.</w:t>
      </w:r>
    </w:p>
    <w:p>
      <w:pPr>
        <w:pStyle w:val="BodyText"/>
        <w:bidi w:val="0"/>
        <w:spacing w:lineRule="auto" w:line="480" w:before="0" w:after="340"/>
        <w:rPr/>
      </w:pPr>
      <w:r>
        <w:rPr/>
        <w:t>Pitanje o odnosu parodontitisa i općeg zdravlja nije novo, ali je u posljednja tri desetljeća dobilo drukčiji oblik. Umjesto ranijih pretpostavki o žarišnoj infekciji, koje su počivale na slaboj dokaznoj osnovi, novije rasprave polaze od mjerljivih pojava: povišenih vrijednosti sustavnih upalnih biljega u osoba s uznapredovalim parodontitisom, prolazne bakterijemije nakon žvakanja i četkanja, te preklapanja čimbenika rizika s nizom kroničnih bolesti (2). Time se pitanje preselilo iz područja pretpostavke u područje mjerenja, ali se nije pojednostavnilo. Mjerljiva pojava i uzročna veza nisu isto, a razlika između njih nije stvar opreza nego nacrta istraživanja u kojem je pojava zabilježena.</w:t>
      </w:r>
    </w:p>
    <w:p>
      <w:pPr>
        <w:pStyle w:val="BodyText"/>
        <w:bidi w:val="0"/>
        <w:spacing w:lineRule="auto" w:line="480" w:before="0" w:after="340"/>
        <w:rPr/>
      </w:pPr>
      <w:r>
        <w:rPr/>
        <w:t>Problem koji ovaj rad razmatra može se izreći jednostavno. Povezanost parodontitisa sa šećernom bolešću, kardiovaskularnim bolestima i nepovoljnim ishodima trudnoće ponovljeno je zabilježena i rijetko se osporava kao statistička pravilnost (3). Osporava se ono što iz nje slijedi. Jedni je čitaju kao dokaz da parodontitis sam pridonosi razvoju tih bolesti, drugi kao posljedicu zajedničkih uzroka koji djeluju na oboje, treći kao djelomičan učinak neujednačenih definicija bolesti. Teza je ovoga rada da se izbor među tim čitanjima ne donosi na temelju jačine povezanosti, nego na temelju nacrta u kojem je povezanost dobivena, i da se granica dopuštenoga zaključka može odrediti prilično točno.</w:t>
      </w:r>
    </w:p>
    <w:p>
      <w:pPr>
        <w:pStyle w:val="BodyText"/>
        <w:bidi w:val="0"/>
        <w:spacing w:lineRule="auto" w:line="480" w:before="0" w:after="340"/>
        <w:rPr/>
      </w:pPr>
      <w:r>
        <w:rPr/>
        <w:t>Povod za bavljenje tom temom nije samo teorijski. Stanovništvo stari, udio osoba s barem jednom kroničnom bolešću raste, a dentalni higijeničar u svakodnevnom radu sve češće susreće pacijente koji uz parodontalnu bolest imaju i šećernu bolest, povišeni krvni tlak ili terapiju koja utječe na stanje gingive. Kako se o toj vezi govori u ordinaciji nije stvar ukusa: pretjerana tvrdnja stvara očekivanje koje liječenje ne može ispuniti, a prešućivanje veze propušta priliku za upućivanje. Zbog toga je važno točno znati što dostupni nalazi podupiru, a što ne.</w:t>
      </w:r>
    </w:p>
    <w:p>
      <w:pPr>
        <w:pStyle w:val="BodyText"/>
        <w:bidi w:val="0"/>
        <w:spacing w:lineRule="auto" w:line="480" w:before="0" w:after="340"/>
        <w:rPr/>
      </w:pPr>
      <w:r>
        <w:rPr/>
        <w:t>Rad je pojmovno i metodološki usmjeren pregled literature. Nakon izricanja svrhe i granica slijedi pregled literature u tri koraka: patofiziološka osnova bolesti, mjerila kojima se parodontalni status utvrđuje i sažetak nalaza o pojedinim skupinama sistemskih bolesti. Četvrto poglavlje razlaže tri ograničenja koja vrijede za sve te nalaze, a peto ih primjenjuje na tri suprotstavljene interpretacije i izvodi što iz svega slijedi za rad dentalnog higijeničara. Zaključci sažimaju odgovor na postavljeno pitanje. Rad ne sadrži vlastito istraživanje ni vlastite podatke, pa ni jedna tvrdnja u njemu nije provjera nalaza koje navodi, nego njihovo čitanje.</w:t>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Heading3"/>
        <w:bidi w:val="0"/>
        <w:ind w:hanging="0" w:left="0"/>
        <w:rPr/>
      </w:pPr>
      <w:r>
        <w:rPr/>
        <w:t>2.</w:t>
        <w:tab/>
        <w:t>Svrha rada</w:t>
      </w:r>
    </w:p>
    <w:p>
      <w:pPr>
        <w:pStyle w:val="BodyText"/>
        <w:bidi w:val="0"/>
        <w:spacing w:lineRule="auto" w:line="480" w:before="0" w:after="340"/>
        <w:rPr/>
      </w:pPr>
      <w:r>
        <w:rPr/>
        <w:t>Svrha je ovoga rada utvrditi koliki opseg zaključka dopuštaju nalazi o povezanosti parodontitisa i sistemskih bolesti. Istraživačko pitanje glasi: pod kojim uvjetima opservacijski nalaz o toj povezanosti podupire tvrdnju o učinku, a pod kojima podupire samo tvrdnju o supojavljivanju? Pitanje je postavljeno tako da se na njega može odgovoriti bez novih podataka, jer se odgovor ne traži u veličini izmjerenog rizika nego u svojstvima nacrta koji su te procjene proizveli. Time rad ne pokušava presuditi je li parodontitis uzrok ijedne sistemske bolesti, nego odrediti što bi za takvu presudu trebalo, i koliko je toga u dostupnim nalazima stvarno ispunjeno.</w:t>
      </w:r>
    </w:p>
    <w:p>
      <w:pPr>
        <w:pStyle w:val="BodyText"/>
        <w:bidi w:val="0"/>
        <w:spacing w:lineRule="auto" w:line="480" w:before="0" w:after="340"/>
        <w:rPr/>
      </w:pPr>
      <w:r>
        <w:rPr/>
        <w:t>Granice rada izriču se unaprijed, jer određuju kako ga treba čitati. Rad je pregled objavljene literature bez vlastita istraživanja, bez prikupljanja podataka i bez statističke obrade. Ne donosi preporuke o postupanju s pojedinim bolesnikom, ne opisuje praksu nijedne ustanove i ne zamjenjuje kliničku prosudbu. Ne bavi se ni troškovnom stranom parodontološke skrbi ni organizacijom zdravstvene službe, premda su oba pitanja povezana s temom. Ondje gdje literatura daje raspon procjena umjesto jedne vrijednosti, u radu se navodi raspon, a ne njegova sredina, jer je širina raspona sama po sebi podatak o pouzdanosti procjene.</w:t>
      </w:r>
    </w:p>
    <w:p>
      <w:pPr>
        <w:pStyle w:val="BodyText"/>
        <w:bidi w:val="0"/>
        <w:spacing w:lineRule="auto" w:line="480" w:before="0" w:after="340"/>
        <w:rPr/>
      </w:pPr>
      <w:r>
        <w:rPr/>
        <w:t>Građa je odabrana tako da nosi dvije vrste izvora. Prvu čine konsenzusna izvješća i klasifikacijski dokumenti strukovnih društava, koji daju usuglašene definicije i pokazuju gdje usuglašenosti nema. Drugu čine pregledni radovi i prikazi pojedinačnih istraživanja koji ilustriraju raspon dobivenih procjena. Pretraga nije provedena po protokolu sustavnoga pregleda, pa se popis literature ne smije čitati kao iscrpan; odabir je usmjeren temom rada i ograničen na radove dostupne na hrvatskom i engleskom jeziku. Ta je odluka zabilježena ovdje, a njezine posljedice razmatraju se među ograničenjima rada, jer usmjeren odabir literature može naglasiti jedno čitanje nauštrb drugoga.</w:t>
      </w:r>
    </w:p>
    <w:p>
      <w:pPr>
        <w:pStyle w:val="BodyText"/>
        <w:bidi w:val="0"/>
        <w:spacing w:lineRule="auto" w:line="480" w:before="0" w:after="340"/>
        <w:rPr/>
      </w:pPr>
      <w:r>
        <w:rPr/>
        <w:t>Odgovor na postavljeno pitanje ovdje se ne traži u obliku jedne presude nego u obliku popisa uvjeta. Za svaku vrstu nacrta istraživanja rad utvrđuje koje pretpostavke ona ispunjava, a koje ostavlja otvorenima, pa se opseg zaključka izvodi iz tog popisa, a ne iz dojma o uvjerljivosti pojedinog rada. Takav je pristup provjerljiv: čitatelj koji se ne slaže sa zaključkom može pokazati koji je uvjet u nekom nalazu ipak ispunjen. Rasprava time prelazi s pitanja tko je u pravu na pitanje što je izmjereno.</w:t>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BodyText"/>
        <w:bidi w:val="0"/>
        <w:spacing w:lineRule="auto" w:line="480" w:before="0" w:after="340"/>
        <w:rPr/>
      </w:pPr>
      <w:r>
        <w:rPr/>
      </w:r>
    </w:p>
    <w:p>
      <w:pPr>
        <w:pStyle w:val="Heading3"/>
        <w:bidi w:val="0"/>
        <w:ind w:hanging="0" w:left="0"/>
        <w:rPr/>
      </w:pPr>
      <w:r>
        <w:rPr/>
        <w:t>3.</w:t>
        <w:tab/>
        <w:t>Pregled literature</w:t>
      </w:r>
    </w:p>
    <w:p>
      <w:pPr>
        <w:pStyle w:val="Heading3"/>
        <w:bidi w:val="0"/>
        <w:ind w:hanging="0" w:left="0"/>
        <w:rPr/>
      </w:pPr>
      <w:r>
        <w:rPr/>
        <w:t>3.1.</w:t>
        <w:tab/>
        <w:t>Parodontitis kao kronična upalna bolest</w:t>
      </w:r>
    </w:p>
    <w:p>
      <w:pPr>
        <w:pStyle w:val="BodyText"/>
        <w:bidi w:val="0"/>
        <w:spacing w:lineRule="auto" w:line="480" w:before="0" w:after="340"/>
        <w:rPr/>
      </w:pPr>
      <w:r>
        <w:rPr/>
        <w:t>Nastanak parodontitisa danas se opisuje kao razmjerno stabilan slijed. Na tvrdim zubnim tkivima uz rub gingive nakuplja se mikrobni biofilm, koji s vremenom mijenja sastav u korist vrsta prilagođenih okolišu siromašnom kisikom. Domaćinov imunosni odgovor na taj biofilm je nužan, ali je i sam izvor štete: posredovanjem upalnih medijatora i enzima razgrađuje se vezivno tkivo, a osteoklastna aktivnost dovodi do gubitka alveolarne kosti (1). Ključno je da šteta ne nastaje izravnim djelovanjem mikroorganizama nego neravnotežom odgovora na njih, pa se bolest urednije opisuje kao poremećaj regulacije upale nego kao infekcija u užem smislu.</w:t>
      </w:r>
    </w:p>
    <w:p>
      <w:pPr>
        <w:pStyle w:val="BodyText"/>
        <w:bidi w:val="0"/>
        <w:spacing w:lineRule="auto" w:line="480" w:before="0" w:after="340"/>
        <w:rPr/>
      </w:pPr>
      <w:r>
        <w:rPr/>
        <w:t>Promjena sastava biofilma ne opisuje se više kao prijelaz s neškodljivih na štetne vrste, nego kao poremećaj ravnoteže zajednice mikroorganizama koja u zdravlju supostoji s domaćinom. Taj pomak u opisu nije samo terminološki: on objašnjava zašto se bolest ne javlja u svakoga tko ima naslage i zašto uklanjanje naslaga u nekih osoba zaustavi napredovanje, a u drugih ne. Iz iste postavke slijedi i razlog zbog kojeg se u parodontologiji naglasak s uništavanja mikroorganizama pomaknuo na obnavljanje uvjeta u kojima je upalni odgovor podnošljiv.</w:t>
      </w:r>
    </w:p>
    <w:p>
      <w:pPr>
        <w:pStyle w:val="BodyText"/>
        <w:bidi w:val="0"/>
        <w:spacing w:lineRule="auto" w:line="480" w:before="0" w:after="340"/>
        <w:rPr/>
      </w:pPr>
      <w:r>
        <w:rPr/>
        <w:t>Iz takva opisa slijedi zašto se parodontitis uopće dovodi u vezu s ostatkom organizma. Upalno žarište koje traje godinama nije zatvoreno: upalni medijatori prelaze u cirkulaciju, a ulcerirani epitel parodontnoga džepa predstavlja površinu preko koje mikroorganizmi povremeno ulaze u krvotok. Zbroj tih površina u uznapredovaloj bolesti nije zanemariv, što se u literaturi često navodi kao razlog zbog kojega se lokalna bolest usne šupljine razmatra kao sustavno opterećenje (2). Ta je tvrdnja biološki uvjerljiva, ali sama po sebi ne govori koliko taj doprinos iznosi u odnosu na druge, mnogo veće izvore kronične upale u istom organizmu.</w:t>
      </w:r>
    </w:p>
    <w:p>
      <w:pPr>
        <w:pStyle w:val="BodyText"/>
        <w:bidi w:val="0"/>
        <w:spacing w:lineRule="auto" w:line="480" w:before="0" w:after="340"/>
        <w:rPr/>
      </w:pPr>
      <w:r>
        <w:rPr/>
        <w:t>Uz izravni put, literatura redovito navodi i posredni. Pušenje, loše reguliranu šećernu bolest, pretilost i stariju dob smatra se čimbenicima rizika i za parodontitis i za niz sistemskih bolesti (3). Ti čimbenici djeluju na oba ishoda neovisno jedan o drugome, pa mogu proizvesti povezanost između njih i onda kada izravnog učinka nema. Postojanje dvaju putova nije teorijska tančina nego okvir za čitanje svakoga pojedinog nalaza, jer isti izmjereni odnos ima posve različit smisao ovisno o tome kojim je od dvaju putova nastao. Odnos dvaju objašnjenja prikazan je na Slici 1.</w:t>
      </w:r>
    </w:p>
    <w:p>
      <w:pPr>
        <w:pStyle w:val="BodyText"/>
        <w:bidi w:val="0"/>
        <w:spacing w:lineRule="auto" w:line="480" w:before="0" w:after="340"/>
        <w:rPr/>
      </w:pPr>
      <w:r>
        <w:rPr/>
        <w:t>Valja razlikovati i jačinu bolesti od njezine raširenosti. Blagi oblici parodontitisa česti su i u općoj populaciji, a uznapredovali zahvaćaju znatno manji udio ljudi. Kada se u istraživanju sve razine bolesti zbroje u jednu kategoriju, prosječno upalno opterećenje uzorka snižava se na vrijednost koja ne opisuje ni jednu stvarnu podskupinu. Zbog toga se u novijim radovima naglašava da povezanost sa sistemskim bolestima, ako postoji, treba očekivati ponajprije u uznapredovalim oblicima, a ne u bolesti kao takvoj. To je ujedno prvi razlog zbog kojega definicija slučaja, tema sljedećega odjeljka, izravno utječe na dobiveni rezultat.</w:t>
      </w:r>
    </w:p>
    <w:p>
      <w:pPr>
        <w:pStyle w:val="BodyText"/>
        <w:bidi w:val="0"/>
        <w:spacing w:lineRule="auto" w:line="480" w:before="0" w:after="340"/>
        <w:rPr/>
      </w:pPr>
      <w:r>
        <w:rPr/>
        <w:t>Razlike među pojedincima pritom su velike i djelomično nasljedne. Pri usporedivoj količini naslaga jedna osoba razvije uznapredovali oblik bolesti u nekoliko godina, a druga ostane godinama u blagom stadiju, što se pripisuje razlikama u jačini upalnog odgovora i u brzini obnove tkiva. Ta ista sklonost pojačanom upalnom odgovoru navodi se i među objašnjenjima povezanosti sa sistemskim bolestima, ali tada više ne djeluje kao svojstvo koje bolest objašnjava nego kao veličina koja objašnjava obje pojave odjednom. Na tu se dvojakost rad vraća u četvrtom poglavlju.</w:t>
      </w:r>
    </w:p>
    <w:p>
      <w:pPr>
        <w:pStyle w:val="Heading3"/>
        <w:bidi w:val="0"/>
        <w:ind w:hanging="0" w:left="0"/>
        <w:rPr/>
      </w:pPr>
      <w:r>
        <w:rPr/>
        <w:t>3.2.</w:t>
        <w:tab/>
        <w:t>Definicije slučaja i mjerila parodontalnog statusa</w:t>
      </w:r>
    </w:p>
    <w:p>
      <w:pPr>
        <w:pStyle w:val="BodyText"/>
        <w:bidi w:val="0"/>
        <w:spacing w:lineRule="auto" w:line="480" w:before="0" w:after="340"/>
        <w:rPr/>
      </w:pPr>
      <w:r>
        <w:rPr/>
        <w:t>Parodontalni se status utvrđuje mjerenjem, a ne dojmom. Dubina sondiranja mjeri udaljenost od ruba gingive do dna džepa, klinički gubitak pričvrstka mjeri udaljenost od caklinsko cementnog spojišta do istoga dna, a krvarenje na sondiranje označava prisutnost upale u tom trenutku. Rendgenska snimka pokazuje razinu alveolarne kosti. Od tih mjera klinički gubitak pričvrstka najbolje opisuje nakupljenu štetu, jer se ne mijenja povlačenjem otekline, dok dubina sondiranja bolje opisuje trenutačno stanje (1). Zaključak o bolesti gradi se iz njihova spoja, a ne iz jedne vrijednosti, i upravo zato pravilo spajanja postaje sadržajna odluka.</w:t>
      </w:r>
    </w:p>
    <w:p>
      <w:pPr>
        <w:pStyle w:val="BodyText"/>
        <w:bidi w:val="0"/>
        <w:spacing w:lineRule="auto" w:line="480" w:before="0" w:after="340"/>
        <w:rPr/>
      </w:pPr>
      <w:r>
        <w:rPr/>
        <w:t>Sva navedena mjerila nisu jednako pouzdana pri ponovljenom mjerenju. Dubina sondiranja ovisi o sili kojom se sonda primjenjuje, o upalnom stanju tkiva i o iskustvu ispitivača, pa razlike od jednog milimetra između dvaju mjerenja iste osobe nisu rijetkost. Krvarenje na sondiranje osjetljivo je na pušenje, koje ga potiskuje, pa u pušača može lažno umiriti sliku. Ta svojstva mjerila ne dovode u pitanje njihovu upotrebu u ordinaciji, ali u istraživanju znače da dio izmjerene razlike među skupinama potječe iz samog postupka mjerenja.</w:t>
      </w:r>
    </w:p>
    <w:p>
      <w:pPr>
        <w:pStyle w:val="BodyText"/>
        <w:bidi w:val="0"/>
        <w:spacing w:lineRule="auto" w:line="480" w:before="0" w:after="340"/>
        <w:rPr/>
      </w:pPr>
      <w:r>
        <w:rPr/>
        <w:t>Klasifikacija usuglašena 2018. godine uvela je razlikovanje stadija i stupnja (4). Stadij opisuje koliko je štete nastalo i koliko je liječenje složeno, a određuje se prema gubitku pričvrstka, gubitku zuba i dodatnim otegotnim okolnostima. Stupanj opisuje očekivanu brzinu napredovanja i uzima u obzir dosadašnji tijek bolesti, pušenje i regulaciju šećerne bolesti. Razlikovanje je uvedeno zato što dva bolesnika s jednakim zatečenim nalazom mogu imati posve različit ishod ovisno o brzini kojom su do njega došli. Stadiji su prikazani u Tablici 1, s rasponima koji ih razdvajaju.</w:t>
      </w:r>
    </w:p>
    <w:p>
      <w:pPr>
        <w:pStyle w:val="BodyText"/>
        <w:bidi w:val="0"/>
        <w:spacing w:lineRule="auto" w:line="480" w:before="0" w:after="340"/>
        <w:rPr/>
      </w:pPr>
      <w:r>
        <w:rPr/>
        <w:t>Za čitanje istraživačkih nalaza važnije je od same klasifikacije to što definicija slučaja nije jedinstvena. Studije se razlikuju po pragu gubitka pričvrstka, po broju zahvaćenih mjesta koji se traži i po tome mjeri li se cijelo zubalo ili samo odabrani zubi. Mjerenje na dijelu zubala sustavno podcjenjuje raširenost bolesti jer promašuje zahvaćena mjesta izvan uzorka. Posljedica je da izmjerena prevalencija parodontitisa u usporedivim populacijama može odstupati nekoliko puta, a da se pritom nije promijenilo ništa osim pravila mjerenja (5). Usporedba dviju studija koje su primijenile različite pragove zato nije usporedba dviju populacija.</w:t>
      </w:r>
    </w:p>
    <w:p>
      <w:pPr>
        <w:pStyle w:val="BodyText"/>
        <w:bidi w:val="0"/>
        <w:spacing w:lineRule="auto" w:line="480" w:before="0" w:after="340"/>
        <w:rPr/>
      </w:pPr>
      <w:r>
        <w:rPr/>
        <w:t>Ta razlika ima izravan učinak na procjenu povezanosti. Ako se u kategoriju bolesnih uvrste i blagi oblici, skupina postaje brojnija i prosječno manje opterećena, pa se razlika prema zdravima smanjuje i procjena rizika pada prema jedinici. Ako se prag podigne, skupina postaje manja i teže bolesna, razlika raste, ali raste i nesigurnost procjene zbog manjeg broja ispitanika. Nijedan izbor nije pogrešan sam po sebi, ali oba pomiču rezultat u predvidljivom smjeru. Zbog toga se razlike među objavljenim procjenama ne mogu čitati samo kao razlike među populacijama, nego prije svega kao razlike među mjerilima.</w:t>
      </w:r>
    </w:p>
    <w:p>
      <w:pPr>
        <w:pStyle w:val="BodyText"/>
        <w:bidi w:val="0"/>
        <w:spacing w:lineRule="auto" w:line="480" w:before="0" w:after="340"/>
        <w:rPr/>
      </w:pPr>
      <w:r>
        <w:rPr/>
        <w:t>Rendgenska procjena razine kosti ima drukčiji sklop prednosti i nedostataka. Ona bilježi nakupljenu štetu neovisno o trenutačnom upalnom stanju i omogućuje usporedbu kroz vrijeme, ali ne razlikuje mirnu bolest od one koja napreduje i podcjenjuje gubitak kosti između zuba kada snimka nije načinjena u odgovarajućem položaju. Studije koje se oslanjaju samo na snimke i one koje se oslanjaju samo na klinički pregled zato ne mjere posve istu pojavu, premda obje govore o parodontitisu i obje svoje rezultate izvještavaju istim nazivom.</w:t>
      </w:r>
    </w:p>
    <w:p>
      <w:pPr>
        <w:pStyle w:val="Heading3"/>
        <w:bidi w:val="0"/>
        <w:ind w:hanging="0" w:left="0"/>
        <w:rPr/>
      </w:pPr>
      <w:r>
        <w:rPr/>
        <w:t>3.3.</w:t>
        <w:tab/>
        <w:t>Nalazi o šećernoj bolesti</w:t>
      </w:r>
    </w:p>
    <w:p>
      <w:pPr>
        <w:pStyle w:val="BodyText"/>
        <w:bidi w:val="0"/>
        <w:spacing w:lineRule="auto" w:line="480" w:before="0" w:after="340"/>
        <w:rPr/>
      </w:pPr>
      <w:r>
        <w:rPr/>
        <w:t>Odnos parodontitisa i šećerne bolesti tipa 2 najbolje je istražen dio ove teme i obično se opisuje kao dvosmjeran (6). U jednom smjeru, loše regulirana šećerna bolest mijenja imunosni odgovor i cijeljenje, a povišena razina glukoze pogoduje nastanku produkata uznapredovale glikacije koji pojačavaju upalni odgovor u parodontnom tkivu. Taj je smjer manje sporan, jer je mehanizam razmjerno izravan, a povezanost se zapaža i u kliničkom radu. Osobe s dugotrajno lošom regulacijom u prosjeku imaju teže oblike parodontitisa i slabiji odgovor na jednaku terapiju, što se rijetko osporava.</w:t>
      </w:r>
    </w:p>
    <w:p>
      <w:pPr>
        <w:pStyle w:val="BodyText"/>
        <w:bidi w:val="0"/>
        <w:spacing w:lineRule="auto" w:line="480" w:before="0" w:after="340"/>
        <w:rPr/>
      </w:pPr>
      <w:r>
        <w:rPr/>
        <w:t>Razlog zbog kojega je taj odnos istražen bolje od ostalih je praktičan: obje su bolesti česte, obje se prate brojkama koje se rutinski mjere, a skupine bolesnika lako se pronalaze u redovitoj skrbi. Zbog toga se na ovom paru najjasnije vidi i što pojedini nacrt može dati, pa ga ovaj rad uzima kao ogledni slučaj, a ne kao najvažniju od razmotrenih povezanosti.</w:t>
      </w:r>
    </w:p>
    <w:p>
      <w:pPr>
        <w:pStyle w:val="BodyText"/>
        <w:bidi w:val="0"/>
        <w:spacing w:lineRule="auto" w:line="480" w:before="0" w:after="340"/>
        <w:rPr/>
      </w:pPr>
      <w:r>
        <w:rPr/>
        <w:t>Drugi je smjer sporniji i upravo je on predmet rasprave. Pretpostavka je da kronično upalno opterećenje parodontnoga podrijetla pridonosi inzulinskoj rezistenciji i time pogoršava regulaciju glikemije. Provjera te pretpostavke odvija se mjerenjem promjene udjela glikiranoga hemoglobina nakon nekirurške parodontološke terapije. Objavljene procjene smanjenja kreću se u rasponu od nekoliko desetinki postotnoga boda do vrijednosti bliskih nuli, ovisno o trajanju praćenja, početnoj regulaciji i sastavu uzorka (7). Raspon je dovoljno širok da podupire i tvrdnju o postojanju učinka i tvrdnju da učinak nije klinički znatan.</w:t>
      </w:r>
    </w:p>
    <w:p>
      <w:pPr>
        <w:pStyle w:val="BodyText"/>
        <w:bidi w:val="0"/>
        <w:spacing w:lineRule="auto" w:line="480" w:before="0" w:after="340"/>
        <w:rPr/>
      </w:pPr>
      <w:r>
        <w:rPr/>
        <w:t>Pri čitanju tih brojki važno je što se zapravo mjeri. Glikirani hemoglobin je posredna mjera, prihvaćena jer opisuje prosječnu glikemiju u prethodnim tjednima, ali ishod koji bolesnika stvarno pogađa nije ta brojka nego pojava komplikacija bolesti. Promjena posredne mjere podupire tvrdnju o učinku na regulaciju, ali ne i tvrdnju o učinku na tijek šećerne bolesti, jer bi za nju trebalo dugotrajno praćenje tvrdih ishoda. Takvih je studija malo, uzorci su im ograničeni, a trajanje praćenja kraće od vremena u kojem se komplikacije razvijaju. Na tu se razliku vraća odjeljak o intervencijskim studijama.</w:t>
      </w:r>
    </w:p>
    <w:p>
      <w:pPr>
        <w:pStyle w:val="BodyText"/>
        <w:bidi w:val="0"/>
        <w:spacing w:lineRule="auto" w:line="480" w:before="0" w:after="340"/>
        <w:rPr/>
      </w:pPr>
      <w:r>
        <w:rPr/>
        <w:t>Postoji i treće objašnjenje koje se rjeđe izriče. Osobe koje redovito dolaze na parodontološku terapiju u prosjeku se razlikuju od onih koje ne dolaze po nizu obilježja koja nemaju veze s ustima: po redovitosti uzimanja lijekova, po prehrani i po pristupu zdravstvenoj službi. Ako se ta obilježja ne izjednače, poboljšanje regulacije nakon terapije može dijelom odražavati njih, a ne zahvat. Randomizacija taj problem uklanja unutar studije, ali ga ne uklanja u opservacijskim nalazima na kojima počiva veći dio literature o ovoj temi.</w:t>
      </w:r>
    </w:p>
    <w:p>
      <w:pPr>
        <w:pStyle w:val="BodyText"/>
        <w:bidi w:val="0"/>
        <w:spacing w:lineRule="auto" w:line="480" w:before="0" w:after="340"/>
        <w:rPr/>
      </w:pPr>
      <w:r>
        <w:rPr/>
        <w:t>Predloženi mehanizam drugoga smjera oslanja se na djelovanje upalnih citokina na osjetljivost tkiva na inzulin. Objašnjenje je razložno, ali traži da doprinos parodontnoga žarišta ukupnom upalnom opterećenju bude dovoljno velik da se u toj ravnoteži uopće primijeti. U osobe s pretilošću i drugim izvorima kronične upale taj je udio vjerojatno malen, što bi objasnilo zašto se učinak terapije pokazuje neujednačenim i zašto je izraženiji u osoba s lošijom početnom regulacijom. Ta pretpostavka zasad nije izravno izmjerena, nego se izvodi iz razlika među podskupinama.</w:t>
      </w:r>
    </w:p>
    <w:p>
      <w:pPr>
        <w:pStyle w:val="Heading3"/>
        <w:bidi w:val="0"/>
        <w:ind w:hanging="0" w:left="0"/>
        <w:rPr/>
      </w:pPr>
      <w:r>
        <w:rPr/>
        <w:t>3.4.</w:t>
        <w:tab/>
        <w:t>Nalazi o kardiovaskularnim bolestima i ishodima trudnoće</w:t>
      </w:r>
    </w:p>
    <w:p>
      <w:pPr>
        <w:pStyle w:val="BodyText"/>
        <w:bidi w:val="0"/>
        <w:spacing w:lineRule="auto" w:line="480" w:before="0" w:after="340"/>
        <w:rPr/>
      </w:pPr>
      <w:r>
        <w:rPr/>
        <w:t>Za kardiovaskularne bolesti povezanost je zabilježena u velikim kohortnim studijama i obično se izražava umjerenim porastom relativnoga rizika u osoba s uznapredovalim parodontitisom (8). Predloženi mehanizam vodi preko sustavne upale i njezina doprinosa razvoju aterosklerotskog plaka, a potkrepljuje se nalazom bakterijskih sastavnica u uzorcima plaka. Konsenzusna izvješća, međutim, izričito razlikuju povezanost od dokaza o uzročnosti i upozoravaju da zajednički čimbenici rizika, ponajprije pušenje, objašnjavaju znatan dio zabilježenog odnosa. Ta je ograda dio samoga izvješća, a ne naknadni prigovor čitatelja, što je u raspravi o ovoj temi lako previdjeti.</w:t>
      </w:r>
    </w:p>
    <w:p>
      <w:pPr>
        <w:pStyle w:val="BodyText"/>
        <w:bidi w:val="0"/>
        <w:spacing w:lineRule="auto" w:line="480" w:before="0" w:after="340"/>
        <w:rPr/>
      </w:pPr>
      <w:r>
        <w:rPr/>
        <w:t>Veličina zabilježene povezanosti zaslužuje poseban oprez pri prenošenju. Umjeren porast relativnog rizika u populaciji s niskim osnovnim rizikom znači vrlo mali porast apsolutnoga rizika, a upravo se apsolutna vrijednost tiče pojedinca koji o njoj sluša. Izvještaji koji navode samo relativnu mjeru nisu netočni, ali ostavljaju dojam veći od onoga koji podaci nose. Kada se ista procjena preračuna u broj događaja na tisuću osoba kroz deset godina, rasprava o praktičnom značenju povezanosti izgleda bitno drukčije nego u obliku omjera.</w:t>
      </w:r>
    </w:p>
    <w:p>
      <w:pPr>
        <w:pStyle w:val="BodyText"/>
        <w:bidi w:val="0"/>
        <w:spacing w:lineRule="auto" w:line="480" w:before="0" w:after="340"/>
        <w:rPr/>
      </w:pPr>
      <w:r>
        <w:rPr/>
        <w:t>Za ishode trudnoće slika je sličnija po obliku, a nesigurnija po sadržaju. Opservacijska istraživanja opetovano nalaze povezanost parodontitisa s prijevremenim porodom i niskom porođajnom težinom, a pretpostavljeni put vodi preko upalnih medijatora i njihova učinka na tijek trudnoće (9). Intervencijska istraživanja koja su provodila parodontološku terapiju tijekom trudnoće uglavnom nisu pokazala smanjenje učestalosti tih ishoda, iako su pokazala poboljšanje parodontalnoga stanja. Taj razmak između zabilježene povezanosti i izostanka učinka intervencije jedan je od jasnijih primjera u kojima se dva tipa nalaza ne slažu.</w:t>
      </w:r>
    </w:p>
    <w:p>
      <w:pPr>
        <w:pStyle w:val="BodyText"/>
        <w:bidi w:val="0"/>
        <w:spacing w:lineRule="auto" w:line="480" w:before="0" w:after="340"/>
        <w:rPr/>
      </w:pPr>
      <w:r>
        <w:rPr/>
        <w:t>Povezanost nije jednaka u svim podskupinama, što se u sažecima često gubi. U mlađih osoba procjene su u nekim kohortama izraženije nego u starijih, što se tumači time da je u starijoj dobi udio drugih čimbenika toliko velik da doprinos parodontitisa postaje teško razlučiv. Suprotno tumačenje kaže da je riječ o posljedici manjeg broja događaja u mlađoj skupini i time nestabilnijoj procjeni. Obje su mogućnosti u skladu s objavljenim podacima, pa razlika među podskupinama zasad ne služi kao dokaz ni jednom čitanju.</w:t>
      </w:r>
    </w:p>
    <w:p>
      <w:pPr>
        <w:pStyle w:val="BodyText"/>
        <w:bidi w:val="0"/>
        <w:spacing w:lineRule="auto" w:line="480" w:before="0" w:after="340"/>
        <w:rPr/>
      </w:pPr>
      <w:r>
        <w:rPr/>
        <w:t>Nesuglasje se može čitati na dva načina i oba su u literaturi zastupljena. Prvo čitanje kaže da izostanak učinka govori protiv uzročne uloge parodontitisa, jer bi uklanjanje uzroka trebalo promijeniti ishod. Drugo kaže da je terapija u trudnoći uvedena prekasno, nakon što je upalni proces već djelovao, pa nulti nalaz ne opovrgava uzročnost nego samo tu vremenski postavljenu intervenciju. Razlika između tih čitanja nije retorička: prvo se provjerava novim opservacijskim podacima, drugo samo studijom s ranijim zahvatom, koje zasad nema u dovoljnom broju.</w:t>
      </w:r>
    </w:p>
    <w:p>
      <w:pPr>
        <w:pStyle w:val="Heading3"/>
        <w:bidi w:val="0"/>
        <w:ind w:hanging="0" w:left="0"/>
        <w:rPr/>
      </w:pPr>
      <w:r>
        <w:rPr/>
        <w:t>4.</w:t>
        <w:tab/>
        <w:t>Metodološka ograničenja opservacijskih nalaza</w:t>
      </w:r>
    </w:p>
    <w:p>
      <w:pPr>
        <w:pStyle w:val="Heading3"/>
        <w:bidi w:val="0"/>
        <w:ind w:hanging="0" w:left="0"/>
        <w:rPr/>
      </w:pPr>
      <w:r>
        <w:rPr/>
        <w:t>4.1.</w:t>
        <w:tab/>
        <w:t>Zbunjujući čimbenici i zajednički uzrok</w:t>
      </w:r>
    </w:p>
    <w:p>
      <w:pPr>
        <w:pStyle w:val="BodyText"/>
        <w:bidi w:val="0"/>
        <w:spacing w:lineRule="auto" w:line="480" w:before="0" w:after="340"/>
        <w:rPr/>
      </w:pPr>
      <w:r>
        <w:rPr/>
        <w:t>Zbunjujući je čimbenik ona veličina koja utječe i na promatranu izloženost i na promatrani ishod, a nije posljedica izloženosti. Pušenje je u ovoj temi njegov najjasniji primjer: povećava rizik od parodontitisa i neovisno o njemu povećava rizik od kardiovaskularnih bolesti. Ako se u analizi ne izjednači, dio razlike između pušača i nepušača pripisat će se parodontitisu. Isto vrijedi za dob, socioekonomski status i pretilost, koji djeluju u istom smjeru. Zbog toga se u ovom području gotovo ne objavljuju sirove procjene, nego procjene prilagođene za niz takvih čimbenika.</w:t>
      </w:r>
    </w:p>
    <w:p>
      <w:pPr>
        <w:pStyle w:val="BodyText"/>
        <w:bidi w:val="0"/>
        <w:spacing w:lineRule="auto" w:line="480" w:before="0" w:after="340"/>
        <w:rPr/>
      </w:pPr>
      <w:r>
        <w:rPr/>
        <w:t>Prilagodba, međutim, nije rješenje nego ublažavanje. Ona može ukloniti samo onaj dio učinka koji je izmjeren, i to onoliko točno koliko je mjera bila precizna. Pušenje se u većini studija bilježi kao trostruka podjela na nepušače, bivše i sadašnje pušače, a tri kategorije ne razlikuju osobu koja je pušila dvije godine od osobe koja je pušila trideset. Ostatak razlike, koji ostaje nakon prilagodbe, pripisuje se izloženosti iako pripada neizmjerenoj razlici u izloženosti pušenju. Ta se pojava naziva zaostalim zbunjivanjem i sustavno pomiče procjenu u istom smjeru, prema precjenjivanju učinka.</w:t>
      </w:r>
    </w:p>
    <w:p>
      <w:pPr>
        <w:pStyle w:val="BodyText"/>
        <w:bidi w:val="0"/>
        <w:spacing w:lineRule="auto" w:line="480" w:before="0" w:after="340"/>
        <w:rPr/>
      </w:pPr>
      <w:r>
        <w:rPr/>
        <w:t>Isti problem vrijedi i za ostale zabilježene čimbenike. Socioekonomski status obično se svodi na stupanj obrazovanja ili dohodovni razred, premda obuhvaća uvjete stanovanja, prehranu i pristup skrbi kroz cijeli život, a prehrana se u velikim kohortama bilježi upitnikom koji ispitanik ispunjava po sjećanju. Svaka takva gruba mjera ostavlja dio razlike neizjednačen. Kada se to zbroji kroz nekoliko čimbenika odjednom, ostatak može biti usporediv s veličinom učinka koji se traži, a mjeri ga se istim brojem koji se pripisuje parodontitisu.</w:t>
      </w:r>
    </w:p>
    <w:p>
      <w:pPr>
        <w:pStyle w:val="BodyText"/>
        <w:bidi w:val="0"/>
        <w:spacing w:lineRule="auto" w:line="480" w:before="0" w:after="340"/>
        <w:rPr/>
      </w:pPr>
      <w:r>
        <w:rPr/>
        <w:t>Drugi je oblik istoga problema zajednički uzrok koji u studiji uopće nije zabilježen. Sklonost kroničnom upalnom odgovoru, nasljedne osobine imunosnoga sustava i dugotrajno nepovoljni životni uvjeti mogu istodobno povećati rizik od parodontitisa i od nekoliko sistemskih bolesti. Studija koja tu veličinu ne mjeri ne može je ni izjednačiti, pa će zabilježiti povezanost dvaju ishoda koji imaju zajednički korijen. Nijedna statistička obrada taj nedostatak ne može popraviti naknadno, jer se ne radi o obradi podataka nego o podacima kojih nema.</w:t>
      </w:r>
    </w:p>
    <w:p>
      <w:pPr>
        <w:pStyle w:val="BodyText"/>
        <w:bidi w:val="0"/>
        <w:spacing w:lineRule="auto" w:line="480" w:before="0" w:after="340"/>
        <w:rPr/>
      </w:pPr>
      <w:r>
        <w:rPr/>
        <w:t>Razlika između dvaju objašnjenja prikazana je na Slici 1: u prvome parodontitis leži na putu prema sistemskoj bolesti, u drugome oba stanja proizlaze iz zajedničkoga korijena, a veza među njima je prividna. Nacrt koji mjeri samo dva krajnja člana ne može razlikovati te dvije strukture, jer obje daju jednak izmjereni odnos. Razlikovanje traži ili mjerenje same zajedničke veličine, ili nacrt u kojem se izloženost mijenja neovisno o njoj. Time zbunjivanje prestaje biti tehnička primjedba i postaje granica onoga što se iz opservacijskih podataka uopće može zaključiti.</w:t>
      </w:r>
    </w:p>
    <w:p>
      <w:pPr>
        <w:pStyle w:val="BodyText"/>
        <w:bidi w:val="0"/>
        <w:spacing w:lineRule="auto" w:line="480" w:before="0" w:after="340"/>
        <w:rPr/>
      </w:pPr>
      <w:r>
        <w:rPr/>
        <w:t>Prilagodba ima i suprotnu zamku, koja se u praksi rjeđe spominje. Ako se u model uvrsti veličina koja leži na putu između izloženosti i ishoda, primjerice razina sustavnog upalnog biljega, iz procjene se uklanja upravo onaj dio učinka koji se htio izmjeriti, pa rezultat izgleda kao izostanak povezanosti. Odluka o tome koje veličine ulaze u model zato nije tehnička nego proizlazi iz pretpostavljenog mehanizma. Dvije analize istih podataka s različitim popisom prilagodbi mogu dati suprotne zaključke, a da nijedna nije pogrešno izvedena.</w:t>
      </w:r>
    </w:p>
    <w:p>
      <w:pPr>
        <w:pStyle w:val="Heading3"/>
        <w:bidi w:val="0"/>
        <w:ind w:hanging="0" w:left="0"/>
        <w:rPr/>
      </w:pPr>
      <w:r>
        <w:rPr/>
        <w:t>4.2.</w:t>
        <w:tab/>
        <w:t>Vremenski slijed i smjer povezanosti</w:t>
      </w:r>
    </w:p>
    <w:p>
      <w:pPr>
        <w:pStyle w:val="BodyText"/>
        <w:bidi w:val="0"/>
        <w:spacing w:lineRule="auto" w:line="480" w:before="0" w:after="340"/>
        <w:rPr/>
      </w:pPr>
      <w:r>
        <w:rPr/>
        <w:t>Drugo ograničenje tiče se vremena. Da bi se jedna pojava smatrala uzrokom druge, mora joj prethoditi, a presječni nacrt mjeri obje u istom trenutku i o njihovu redoslijedu ne govori ništa. Velik dio objavljenih podataka o parodontitisu i sistemskim bolestima dolazi upravo iz presječnih istraživanja, jer su jeftinija i izvediva na velikim uzorcima. Takav nalaz ostaje valjan kao opis supojavljivanja, ali se ne može čitati kao dokaz smjera. Odnos dvaju nacrta prema vremenu prikazan je na Slici 2.</w:t>
      </w:r>
    </w:p>
    <w:p>
      <w:pPr>
        <w:pStyle w:val="BodyText"/>
        <w:bidi w:val="0"/>
        <w:spacing w:lineRule="auto" w:line="480" w:before="0" w:after="340"/>
        <w:rPr/>
      </w:pPr>
      <w:r>
        <w:rPr/>
        <w:t>Primjer obrnutoga smjera najjasniji je kod šećerne bolesti. Loše regulirana glikemija pogoršava parodontalno stanje putem koji je razmjerno dobro opisan, pa presječni nalaz da osobe sa šećernom bolešću imaju teži parodontitis podupire taj smjer barem jednako koliko i suprotan. Isti podatak u dvama radovima time može poslužiti kao potkrepa dviju suprotnih tvrdnji, ovisno o tome koja se od njih unaprijed pretpostavlja. Presječni nalaz sam po sebi ne sadrži ništa što bi među njima presudilo, koliko god skupina ispitanika bila velika.</w:t>
      </w:r>
    </w:p>
    <w:p>
      <w:pPr>
        <w:pStyle w:val="BodyText"/>
        <w:bidi w:val="0"/>
        <w:spacing w:lineRule="auto" w:line="480" w:before="0" w:after="340"/>
        <w:rPr/>
      </w:pPr>
      <w:r>
        <w:rPr/>
        <w:t>Obrnuti smjer u ovoj temi nije puka mogućnost nego razložna pretpostavka. Kardiovaskularna bolest mijenja pokretljivost, terapiju i redovitost dolazaka stomatologu, a neki lijekovi utječu na stanje gingive. Slabija skrb o usnoj šupljini u osoba s teškom kroničnom bolešću može dakle proizvesti dio zabilježene povezanosti tako da bolest prethodi parodontitisu, a ne obrnuto. U presječnom nalazu te se dvije priče ne razlikuju, jer daju isti raspored podataka u tablici. Kohortni nacrt taj problem ublažava time što izloženost mjeri prije ishoda, ali ne uklanja ga ako je bolest već bila prisutna u nemjerljivom obliku.</w:t>
      </w:r>
    </w:p>
    <w:p>
      <w:pPr>
        <w:pStyle w:val="BodyText"/>
        <w:bidi w:val="0"/>
        <w:spacing w:lineRule="auto" w:line="480" w:before="0" w:after="340"/>
        <w:rPr/>
      </w:pPr>
      <w:r>
        <w:rPr/>
        <w:t>Vrijeme ulazi u analizu i na treći način, preko trajanja izloženosti. Parodontitis koji traje dvadeset godina i onaj koji traje dvije upisuju se u većinu studija jednako, kao prisutnost bolesti u trenutku mjerenja. Ako je mehanizam upalno opterećenje koje se zbraja, trajanje je ključna veličina, a njezino izostavljanje sve ispitanike izjednačuje na način koji mehanizam poriče. Studija koja trajanje ne bilježi zato ne može provjeriti odnos doze i odgovora, a upravo je taj odnos jedan od jačih argumenata za uzročnost kada se pronađe.</w:t>
      </w:r>
    </w:p>
    <w:p>
      <w:pPr>
        <w:pStyle w:val="BodyText"/>
        <w:bidi w:val="0"/>
        <w:spacing w:lineRule="auto" w:line="480" w:before="0" w:after="340"/>
        <w:rPr/>
      </w:pPr>
      <w:r>
        <w:rPr/>
        <w:t>Dugotrajno praćenje donosi vlastitu teškoću. Ispitanici koji ispadnu iz kohorte tijekom godina obično se razlikuju od onih koji ostanu: češće su lošijeg zdravlja, nižeg dohotka i rjeđe dolaze na preglede. Ako je ispadanje povezano i s izloženošću i s ishodom, ono samo postaje izvor pristranosti, a ne samo gubitak podataka. Studije to obično opisuju udjelom praćenih do kraja, no sam udio ne kaže jesu li izgubljeni ispitanici bili drukčiji. Zbog toga dugo praćenje rješava jedan problem i uvodi drugi.</w:t>
      </w:r>
    </w:p>
    <w:p>
      <w:pPr>
        <w:pStyle w:val="Heading3"/>
        <w:bidi w:val="0"/>
        <w:ind w:hanging="0" w:left="0"/>
        <w:rPr/>
      </w:pPr>
      <w:r>
        <w:rPr/>
        <w:t>4.3.</w:t>
        <w:tab/>
        <w:t>Intervencijske studije i njihova granica</w:t>
      </w:r>
    </w:p>
    <w:p>
      <w:pPr>
        <w:pStyle w:val="BodyText"/>
        <w:bidi w:val="0"/>
        <w:spacing w:lineRule="auto" w:line="480" w:before="0" w:after="340"/>
        <w:rPr/>
      </w:pPr>
      <w:r>
        <w:rPr/>
        <w:t>Randomizirana intervencijska studija rješava problem zbunjivanja na izvoru: dodjela zahvata slučajem izjednačuje skupine i po onim veličinama koje nitko nije izmjerio. Zbog toga se u ovoj temi upravo od nje očekuje presuda. Očekivanje je razumno, ali se mora ograničiti na ono što studija stvarno mjeri. Većina provedenih studija uspoređuje nekiruršku parodontološku terapiju s odgodom ili s manje intenzivnom skrbi, prati ispitanike nekoliko mjeseci i kao ishod uzima posrednu mjeru, najčešće glikirani hemoglobin ili biljeg sustavne upale.</w:t>
      </w:r>
    </w:p>
    <w:p>
      <w:pPr>
        <w:pStyle w:val="BodyText"/>
        <w:bidi w:val="0"/>
        <w:spacing w:lineRule="auto" w:line="480" w:before="0" w:after="340"/>
        <w:rPr/>
      </w:pPr>
      <w:r>
        <w:rPr/>
        <w:t>Postoji i ograničenje koje se ne može ukloniti nacrtom. Parodontološku terapiju nije moguće provesti tako da ispitanik ne zna prima li je, jer je zahvat osjetan i vidljiv. Skupina koja prima terapiju istodobno dobiva i više pažnje, upute o održavanju i češće dolaske, pa promjena u njezinu ponašanju nije odvojiva od samoga zahvata. Ta dvostrukost ne poništava rezultat, ali znači da studija mjeri učinak cijeloga programa skrbi, a ne učinak uklanjanja biofilma kao izdvojenog postupka.</w:t>
      </w:r>
    </w:p>
    <w:p>
      <w:pPr>
        <w:pStyle w:val="BodyText"/>
        <w:bidi w:val="0"/>
        <w:spacing w:lineRule="auto" w:line="480" w:before="0" w:after="340"/>
        <w:rPr/>
      </w:pPr>
      <w:r>
        <w:rPr/>
        <w:t>Iz takva nacrta slijedi ograničenje koje se lako previdi. Studija koja mjeri posrednu mjeru daje odgovor o posrednoj mjeri, a prijenos na tvrdi ishod je zaključak, ne nalaz. Povijest medicine poznaje niz slučajeva u kojima je zahvat pomaknuo biljeg u povoljnom smjeru, a ishod se nije promijenio ili se pogoršao. Trajanje praćenja dodatno sužava doseg: nekoliko mjeseci nije razdoblje u kojem nastaju kardiovaskularni događaji, pa nulti nalaz takve studije ne govori protiv učinka nego govori da ga ona nije mogla ni zabilježiti.</w:t>
      </w:r>
    </w:p>
    <w:p>
      <w:pPr>
        <w:pStyle w:val="BodyText"/>
        <w:bidi w:val="0"/>
        <w:spacing w:lineRule="auto" w:line="480" w:before="0" w:after="340"/>
        <w:rPr/>
      </w:pPr>
      <w:r>
        <w:rPr/>
        <w:t>Postoji i ograničenje koje nije metodološko nego etičko, i ono objašnjava zašto boljih studija nema. Skupini kojoj se uskraćuje parodontološka terapija ne može se uskratiti neograničeno dugo, jer se radi o liječenju s dokazanom korišću za usnu šupljinu. Kontrolna skupina zato u pravilu prima odgođenu ili blažu terapiju, čime se razlika među skupinama smanjuje, a s njom i sposobnost studije da razliku u ishodu uopće otkrije. Razina dokaza koju pojedini nacrt može dosegnuti sažeta je u Tablici 2, zajedno s opsegom zaključka koji svaki od njih dopušta.</w:t>
      </w:r>
    </w:p>
    <w:p>
      <w:pPr>
        <w:pStyle w:val="BodyText"/>
        <w:bidi w:val="0"/>
        <w:spacing w:lineRule="auto" w:line="480" w:before="0" w:after="340"/>
        <w:rPr/>
      </w:pPr>
      <w:r>
        <w:rPr/>
        <w:t>Napokon, nulti nalaz treba čitati zajedno s brojem ispitanika. Studija s malim uzorkom i rijetkim ishodom ne može otkriti umjerenu razliku ni kada ona postoji, pa njezin nalaz o izostanku razlike nije nalaz o izostanku učinka. Razlika između tih dviju tvrdnji vidi se iz širine intervala pouzdanosti, koji u takvim radovima obuhvaća i znatno smanjenje i znatan porast rizika. Izvještaj koji zaključuje da učinka nema, a ne navodi tu širinu, prelazi granicu onoga što je izmjerio.</w:t>
      </w:r>
    </w:p>
    <w:p>
      <w:pPr>
        <w:pStyle w:val="Heading3"/>
        <w:bidi w:val="0"/>
        <w:ind w:hanging="0" w:left="0"/>
        <w:rPr/>
      </w:pPr>
      <w:r>
        <w:rPr/>
        <w:t>5.</w:t>
        <w:tab/>
        <w:t>Rasprava</w:t>
      </w:r>
    </w:p>
    <w:p>
      <w:pPr>
        <w:pStyle w:val="Heading3"/>
        <w:bidi w:val="0"/>
        <w:ind w:hanging="0" w:left="0"/>
        <w:rPr/>
      </w:pPr>
      <w:r>
        <w:rPr/>
        <w:t>5.1.</w:t>
        <w:tab/>
        <w:t>Što nalazi podupiru, a što ne podupiru</w:t>
      </w:r>
    </w:p>
    <w:p>
      <w:pPr>
        <w:pStyle w:val="BodyText"/>
        <w:bidi w:val="0"/>
        <w:spacing w:lineRule="auto" w:line="480" w:before="0" w:after="340"/>
        <w:rPr/>
      </w:pPr>
      <w:r>
        <w:rPr/>
        <w:t>Tri čitanja iznesena u uvodu mogu se sada usporediti. Uzročno čitanje ima na svojoj strani biološki uvjerljiv mehanizam, dosljednost povezanosti kroz različite populacije i, u slučaju šećerne bolesti, promjenu posredne mjere nakon zahvata. Nema, međutim, ono što bi ga učvrstilo: pokazan odnos doze i odgovora u kojem bi trajanje i težina bolesti nosili veći rizik, i intervencijsku studiju s tvrdim ishodom i dovoljnim trajanjem praćenja. Zbroj tih činjenica opisuje hipotezu koja je razložna i djelomično potkrijepljena, ali nije utvrđena.</w:t>
      </w:r>
    </w:p>
    <w:p>
      <w:pPr>
        <w:pStyle w:val="BodyText"/>
        <w:bidi w:val="0"/>
        <w:spacing w:lineRule="auto" w:line="480" w:before="0" w:after="340"/>
        <w:rPr/>
      </w:pPr>
      <w:r>
        <w:rPr/>
        <w:t>Čitanje preko zajedničkoga uzroka ima na svojoj strani snažne i dobro dokumentirane zajedničke čimbenike rizika te činjenicu da se procjene povezanosti smanjuju nakon prilagodbe za njih (8). Slabost mu je što ne objašnjava sve: povezanost u većini studija ostaje i nakon prilagodbe, pa bi potpuno objašnjenje tražilo neizmjerenu zajedničku veličinu čije bi djelovanje bilo znatno. Takva veličina je moguća i imenovana je u prethodnom poglavlju, ali dok se ne izmjeri, ona je pretpostavka jednako kao i uzročni mehanizam. Dva objašnjenja time stoje u ravnoteži koju dostupni podaci ne razrješavaju.</w:t>
      </w:r>
    </w:p>
    <w:p>
      <w:pPr>
        <w:pStyle w:val="BodyText"/>
        <w:bidi w:val="0"/>
        <w:spacing w:lineRule="auto" w:line="480" w:before="0" w:after="340"/>
        <w:rPr/>
      </w:pPr>
      <w:r>
        <w:rPr/>
        <w:t>Čitanje preko mjernoga artefakta najuže je od trojice i najlakše se pogrešno shvaća. Ono ne tvrdi da je povezanost izmišljena, nego da je njezina veličina osjetljiva na definiciju slučaja i način mjerenja, što je pokazano u odjeljku o mjerilima. Takvo čitanje objašnjava zašto se objavljene procjene razlikuju više nego što bi se očekivalo, ali ne objašnjava zašto se povezanost pojavljuje dosljedno u istom smjeru. Njegov je doprinos time ograničen na tumačenje raspona procjena, a ne na tumačenje same pojave, i tako ga treba i navoditi.</w:t>
      </w:r>
    </w:p>
    <w:p>
      <w:pPr>
        <w:pStyle w:val="BodyText"/>
        <w:bidi w:val="0"/>
        <w:spacing w:lineRule="auto" w:line="480" w:before="0" w:after="340"/>
        <w:rPr/>
      </w:pPr>
      <w:r>
        <w:rPr/>
        <w:t>Dosljednost povezanosti kroz različite populacije često se navodi kao argument za uzročnost, ali njezina je težina manja nego što se čini. Argument vrijedi kada se populacije razlikuju po čimbenicima koji bi mogli proizvesti prividnu vezu; ako su pušenje, dob i socioekonomske razlike prisutni u svim ispitanim populacijama, ponavljanje nalaza ponavlja i isti mogući izvor pogreške. Dosljednost u tom slučaju govori da je odnos stabilan, a ne da je uzročan, i tako ga treba i navoditi u raspravi.</w:t>
      </w:r>
    </w:p>
    <w:p>
      <w:pPr>
        <w:pStyle w:val="BodyText"/>
        <w:bidi w:val="0"/>
        <w:spacing w:lineRule="auto" w:line="480" w:before="0" w:after="340"/>
        <w:rPr/>
      </w:pPr>
      <w:r>
        <w:rPr/>
        <w:t>Iz usporedbe slijedi odgovor na postavljeno pitanje. Opservacijski nalaz podupire tvrdnju o učinku samo kada su ispunjena tri uvjeta: izloženost je izmjerena prije ishoda, zajednički su čimbenici izmjereni dovoljno precizno da prilagodba nešto znači, i pokazan je odnos u kojem veća izloženost nosi veći rizik. Kada ijedan od njih izostane, isti nalaz i dalje valjano opisuje supojavljivanje, ali ništa više od toga. Ta granica nije stroža od uobičajene, nego je samo izrečena, što u ovoj temi nije česta praksa.</w:t>
      </w:r>
    </w:p>
    <w:p>
      <w:pPr>
        <w:pStyle w:val="Heading3"/>
        <w:bidi w:val="0"/>
        <w:ind w:hanging="0" w:left="0"/>
        <w:rPr/>
      </w:pPr>
      <w:r>
        <w:rPr/>
        <w:t>5.2.</w:t>
        <w:tab/>
        <w:t>Posljedice za rad dentalnog higijeničara</w:t>
      </w:r>
    </w:p>
    <w:p>
      <w:pPr>
        <w:pStyle w:val="BodyText"/>
        <w:bidi w:val="0"/>
        <w:spacing w:lineRule="auto" w:line="480" w:before="0" w:after="340"/>
        <w:rPr/>
      </w:pPr>
      <w:r>
        <w:rPr/>
        <w:t>Za svakodnevni rad iz svega toga ne slijedi nesigurnost nego jasnija podjela tvrdnji. Parodontološka terapija ima dokazanu korist za usnu šupljinu i ta korist ne ovisi ni o jednom nalazu razmotrenom u ovome radu. Preporuka redovitoga održavanja i uklanjanja biofilma stoji na vlastitim temeljima, pa je ne treba potkrepljivati obećanjem učinka na sistemsku bolest. Time se izbjegava tvrdnja koja nadilazi dokaze, a čija bi cijena, ako se poslije pokaže neodrživom, pala na povjerenje u cijelu struku.</w:t>
      </w:r>
    </w:p>
    <w:p>
      <w:pPr>
        <w:pStyle w:val="BodyText"/>
        <w:bidi w:val="0"/>
        <w:spacing w:lineRule="auto" w:line="480" w:before="0" w:after="340"/>
        <w:rPr/>
      </w:pPr>
      <w:r>
        <w:rPr/>
        <w:t>Drugo, prepoznavanje uznapredovaloga parodontitisa u osobe s poznatom šećernom bolešću ima praktičnu vrijednost neovisno o smjeru uzročnosti. Poznato je da loša regulacija otežava cijeljenje i odgovor na terapiju, što mijenja očekivanja od zahvata i raspored kontrola. Isto vrijedi i obrnuto: nalaz teškoga parodontitisa u osobe koja o svojoj glikemiji ne zna mnogo razlog je za razgovor i upućivanje liječniku obiteljske medicine. Upućivanje nije dijagnoza, ne prelazi granicu ovlasti i ne traži nikakvu tvrdnju o uzroku.</w:t>
      </w:r>
    </w:p>
    <w:p>
      <w:pPr>
        <w:pStyle w:val="BodyText"/>
        <w:bidi w:val="0"/>
        <w:spacing w:lineRule="auto" w:line="480" w:before="0" w:after="340"/>
        <w:rPr/>
      </w:pPr>
      <w:r>
        <w:rPr/>
        <w:t>Iz istoga slijedi i vrijednost urednog bilježenja nalaza. Zapisana dubina sondiranja, krvarenje i stanje pri prethodnim dolascima omogućuju da se pri sljedećem pregledu vidi napreduje li bolest ili miruje, što je podatak koji nijedan pojedinačni pregled ne daje. Isti zapis čini smislenom i razmjenu obavijesti s liječnikom koji vodi kroničnu bolest, jer opisuje tijek, a ne samo trenutak. Time se dio nesigurnosti o kojoj govori ovaj rad nadoknađuje na razini pojedinog pacijenta, praćenjem kroz vrijeme.</w:t>
      </w:r>
    </w:p>
    <w:p>
      <w:pPr>
        <w:pStyle w:val="BodyText"/>
        <w:bidi w:val="0"/>
        <w:spacing w:lineRule="auto" w:line="480" w:before="0" w:after="340"/>
        <w:rPr/>
      </w:pPr>
      <w:r>
        <w:rPr/>
        <w:t>Treće, način na koji se o ovoj temi govori s pacijentom dio je stručnog postupka, a ne njegov ukras. Rečenica da parodontitis šteti srcu i rečenica da su parodontitis i bolesti srca povezani, dijelom i preko istih čimbenika rizika, ne prenose istu obavijest i ne ostavljaju isti prostor kasnijem ispravku. Druga je točnija i jednako razumljiva, a njezina je prednost što ostaje istinita i ako se sadašnji nalazi promijene. Preciznost u izricanju nesigurnosti ovdje nije opreznost nego dio istoga posla koji obuhvaća i mjerenje.</w:t>
      </w:r>
    </w:p>
    <w:p>
      <w:pPr>
        <w:pStyle w:val="Heading3"/>
        <w:bidi w:val="0"/>
        <w:ind w:hanging="0" w:left="0"/>
        <w:rPr/>
      </w:pPr>
      <w:r>
        <w:rPr/>
        <w:t>5.3.</w:t>
        <w:tab/>
        <w:t>Ograničenja ovoga rada</w:t>
      </w:r>
    </w:p>
    <w:p>
      <w:pPr>
        <w:pStyle w:val="BodyText"/>
        <w:bidi w:val="0"/>
        <w:spacing w:lineRule="auto" w:line="480" w:before="0" w:after="340"/>
        <w:rPr/>
      </w:pPr>
      <w:r>
        <w:rPr/>
        <w:t>Rad ima tri ograničenja koja treba izreći. Pretraga literature nije provedena po protokolu sustavnoga pregleda, pa odabir izvora nije zaštićen od pristranosti odabira; moguće je da su radovi koji izvještavaju o jasnoj povezanosti dostupniji i češće citirani od onih s nultim nalazom. Drugo, rad se u velikoj mjeri oslanja na konsenzusna izvješća, koja sažimaju tuđe podatke i time uvode još jedan sloj tumačenja između podatka i ovoga teksta. Ta dva ograničenja djeluju u istom smjeru, prema većoj uvjerljivosti nego što je podacima opravdano.</w:t>
      </w:r>
    </w:p>
    <w:p>
      <w:pPr>
        <w:pStyle w:val="BodyText"/>
        <w:bidi w:val="0"/>
        <w:spacing w:lineRule="auto" w:line="480" w:before="0" w:after="340"/>
        <w:rPr/>
      </w:pPr>
      <w:r>
        <w:rPr/>
        <w:t>Treće ograničenje je opseg. Rad razmatra tri skupine sistemskih bolesti, a literatura navodi i druge, među njima kroničnu bubrežnu bolest i respiratorne infekcije, koje bi mogle promijeniti ukupnu sliku. Osim toga, rad ne razmatra troškovnu stranu pitanja ni organizaciju skrbi, premda o njima ovisi izvedivost svakoga zaključka u praksi. Nijedno od tih ograničenja ne mijenja metodološku jezgru izloženu u četvrtome poglavlju, jer ona vrijedi za svaku povezanost dobivenu opservacijskim putem, ali sužava doseg zaključaka na skupine bolesti koje su ovdje stvarno razmotrene.</w:t>
      </w:r>
    </w:p>
    <w:p>
      <w:pPr>
        <w:pStyle w:val="BodyText"/>
        <w:bidi w:val="0"/>
        <w:spacing w:lineRule="auto" w:line="480" w:before="0" w:after="340"/>
        <w:rPr/>
      </w:pPr>
      <w:r>
        <w:rPr/>
        <w:t>Uz to, rad je ograničen na literaturu na hrvatskom i engleskom jeziku, pa istraživanja objavljena na drugim jezicima u njega nisu ušla. Podaci o raširenosti parodontitisa u hrvatskoj populaciji u ovom su pregledu oskudni, pa se procjene preuzimaju iz populacija koje se po sastavu i navikama mogu razlikovati. Zaključci o metodološkim uvjetima time ostaju prenosivi, jer ne ovise o populaciji, dok zaključci o veličini povezanosti to nisu i ne bi ih trebalo prenositi na domaće prilike bez vlastitih podataka.</w:t>
      </w:r>
    </w:p>
    <w:p>
      <w:pPr>
        <w:pStyle w:val="Heading3"/>
        <w:bidi w:val="0"/>
        <w:ind w:hanging="0" w:left="0"/>
        <w:rPr/>
      </w:pPr>
      <w:r>
        <w:rPr/>
        <w:t>6.</w:t>
        <w:tab/>
        <w:t>Zaključci</w:t>
      </w:r>
    </w:p>
    <w:p>
      <w:pPr>
        <w:pStyle w:val="BodyText"/>
        <w:bidi w:val="0"/>
        <w:spacing w:lineRule="auto" w:line="480" w:before="0" w:after="340"/>
        <w:rPr/>
      </w:pPr>
      <w:r>
        <w:rPr/>
        <w:t>Povezanost parodontitisa sa šećernom bolešću, kardiovaskularnim bolestima i nepovoljnim ishodima trudnoće dobro je dokumentirana i ponavlja se u različitim populacijama. Ta činjenica nije sporna i ovaj je rad ne dovodi u pitanje. Sporno je što iz nje slijedi, a odgovor na to pitanje ne daje veličina izmjerenoga rizika nego nacrt u kojem je dobiven. Tri uvjeta pod kojima opservacijski nalaz podupire tvrdnju o učinku, vremenski slijed, precizno izmjereni zajednički čimbenici i odnos doze i odgovora, u dostupnoj su literaturi ispunjena samo djelomično.</w:t>
      </w:r>
    </w:p>
    <w:p>
      <w:pPr>
        <w:pStyle w:val="BodyText"/>
        <w:bidi w:val="0"/>
        <w:spacing w:lineRule="auto" w:line="480" w:before="0" w:after="340"/>
        <w:rPr/>
      </w:pPr>
      <w:r>
        <w:rPr/>
        <w:t>Iz toga slijedi da je uzročna uloga parodontitisa u razvoju razmotrenih sistemskih bolesti razložna i djelomično potkrijepljena hipoteza, a ne utvrđena činjenica, te da je objašnjenje preko zajedničkih čimbenika rizika jednako dosljedno s dostupnim podacima. Razlika između dvaju objašnjenja nije stvar opreza u izražavanju nego stvar nacrta koji bi ih mogao razdvojiti, a takvih je studija zasad premalo. Dok ih ne bude, obje tvrdnje treba iznositi s jednakom ogradom, a ne birati onu koja bolje zvuči.</w:t>
      </w:r>
    </w:p>
    <w:p>
      <w:pPr>
        <w:pStyle w:val="BodyText"/>
        <w:bidi w:val="0"/>
        <w:spacing w:lineRule="auto" w:line="480" w:before="0" w:after="340"/>
        <w:rPr/>
      </w:pPr>
      <w:r>
        <w:rPr/>
        <w:t>Pitanje postavljeno na početku time je dobilo odgovor u obliku uvjeta, a ne presude. To nije izbjegavanje zaključka nego njegov najtočniji dostupan oblik: popis uvjeta ostaje provjerljiv i kada se pojave novi podaci, dok bi presuda donesena na sadašnjoj osnovi morala biti povučena čim se pojavi prva studija s dužim praćenjem.</w:t>
      </w:r>
    </w:p>
    <w:p>
      <w:pPr>
        <w:pStyle w:val="BodyText"/>
        <w:bidi w:val="0"/>
        <w:spacing w:lineRule="auto" w:line="480" w:before="0" w:after="340"/>
        <w:rPr/>
      </w:pPr>
      <w:r>
        <w:rPr/>
        <w:t>Za praksu dentalne higijene zaključak je mirniji nego što rasprava sugerira. Korist parodontološke terapije za usnu šupljinu ne ovisi o ishodu ove rasprave, prepoznavanje uznapredovale bolesti u osoba s kroničnim bolestima ima vrijednost neovisno o smjeru uzročnosti, a razlika između povezanosti i učinka može se pacijentu objasniti bez gubitka razumljivosti. Buduća bi istraživanja trebala mjeriti trajanje izloženosti i tvrde ishode uz dovoljno dugo praćenje, jer upravo ta dva podatka nedostaju da bi se sadašnja pravilnost mogla pretvoriti u tvrdnju o učinku.</w:t>
      </w:r>
    </w:p>
    <w:p>
      <w:pPr>
        <w:pStyle w:val="Heading3"/>
        <w:bidi w:val="0"/>
        <w:ind w:hanging="0" w:left="0"/>
        <w:rPr/>
      </w:pPr>
      <w:r>
        <w:rPr/>
        <w:t>7.</w:t>
        <w:tab/>
        <w:t>Životopis</w:t>
      </w:r>
    </w:p>
    <w:p>
      <w:pPr>
        <w:pStyle w:val="BodyText"/>
        <w:bidi w:val="0"/>
        <w:spacing w:lineRule="auto" w:line="480" w:before="0" w:after="340"/>
        <w:rPr/>
      </w:pPr>
      <w:r>
        <w:rPr/>
        <w:t>Lucija Peršić rođena je 1999. godine u Rijeci, gdje je završila osnovnu školu i opću gimnaziju. Prijediplomski stručni studij Dentalna higijena upisala je 2019. godine. Tijekom studija sudjelovala je u studentskim radionicama o prevenciji karijesa u predškolskoj dobi i u organizaciji preventivnih pregleda u sklopu obilježavanja Svjetskoga dana oralnoga zdravlja. Stručnu je praksu obavila u dentalnoj poliklinici, gdje se dodatno zanimala za rad s bolesnicima s kroničnim bolestima. Aktivno se služi engleskim jezikom, a pasivno talijanskim. Nakon završetka studija namjerava se usmjeriti na preventivnu skrb i edukaciju pacijenata.</w:t>
      </w:r>
    </w:p>
    <w:p>
      <w:pPr>
        <w:pStyle w:val="Natpis"/>
        <w:bidi w:val="0"/>
        <w:spacing w:before="113" w:after="227"/>
        <w:jc w:val="center"/>
        <w:rPr/>
      </w:pPr>
      <w:r>
        <w:rPr/>
        <w:t>Tablica 1. Stadiji parodontitisa prema opsegu gubitka kliničkog pričvrstka</w:t>
      </w:r>
    </w:p>
    <w:tbl>
      <w:tblPr>
        <w:tblW w:w="5000" w:type="pct"/>
        <w:jc w:val="left"/>
        <w:tblInd w:w="0" w:type="dxa"/>
        <w:tblLayout w:type="fixed"/>
        <w:tblCellMar>
          <w:top w:w="0" w:type="dxa"/>
          <w:left w:w="0" w:type="dxa"/>
          <w:bottom w:w="0" w:type="dxa"/>
          <w:right w:w="0" w:type="dxa"/>
        </w:tblCellMar>
      </w:tblPr>
      <w:tblGrid>
        <w:gridCol w:w="2351"/>
        <w:gridCol w:w="2351"/>
        <w:gridCol w:w="2352"/>
        <w:gridCol w:w="2352"/>
      </w:tblGrid>
      <w:tr>
        <w:trPr/>
        <w:tc>
          <w:tcPr>
            <w:tcW w:w="2351" w:type="dxa"/>
            <w:tcBorders/>
          </w:tcPr>
          <w:p>
            <w:pPr>
              <w:pStyle w:val="Normal"/>
              <w:bidi w:val="0"/>
              <w:rPr/>
            </w:pPr>
            <w:r>
              <w:rPr/>
              <w:t>Stadij</w:t>
            </w:r>
          </w:p>
        </w:tc>
        <w:tc>
          <w:tcPr>
            <w:tcW w:w="2351" w:type="dxa"/>
            <w:tcBorders/>
          </w:tcPr>
          <w:p>
            <w:pPr>
              <w:pStyle w:val="Normal"/>
              <w:bidi w:val="0"/>
              <w:rPr/>
            </w:pPr>
            <w:r>
              <w:rPr/>
              <w:t>Gubitak pričvrstka (mm)</w:t>
            </w:r>
          </w:p>
        </w:tc>
        <w:tc>
          <w:tcPr>
            <w:tcW w:w="2352" w:type="dxa"/>
            <w:tcBorders/>
          </w:tcPr>
          <w:p>
            <w:pPr>
              <w:pStyle w:val="Normal"/>
              <w:bidi w:val="0"/>
              <w:rPr/>
            </w:pPr>
            <w:r>
              <w:rPr/>
              <w:t>Gubitak zuba zbog parodontitisa</w:t>
            </w:r>
          </w:p>
        </w:tc>
        <w:tc>
          <w:tcPr>
            <w:tcW w:w="2352" w:type="dxa"/>
            <w:tcBorders/>
          </w:tcPr>
          <w:p>
            <w:pPr>
              <w:pStyle w:val="Normal"/>
              <w:bidi w:val="0"/>
              <w:rPr/>
            </w:pPr>
            <w:r>
              <w:rPr/>
              <w:t>Složenost liječenja</w:t>
            </w:r>
          </w:p>
        </w:tc>
      </w:tr>
      <w:tr>
        <w:trPr/>
        <w:tc>
          <w:tcPr>
            <w:tcW w:w="2351" w:type="dxa"/>
            <w:tcBorders/>
          </w:tcPr>
          <w:p>
            <w:pPr>
              <w:pStyle w:val="Normal"/>
              <w:bidi w:val="0"/>
              <w:rPr/>
            </w:pPr>
            <w:r>
              <w:rPr/>
              <w:t>I</w:t>
            </w:r>
          </w:p>
        </w:tc>
        <w:tc>
          <w:tcPr>
            <w:tcW w:w="2351" w:type="dxa"/>
            <w:tcBorders/>
          </w:tcPr>
          <w:p>
            <w:pPr>
              <w:pStyle w:val="Normal"/>
              <w:bidi w:val="0"/>
              <w:rPr/>
            </w:pPr>
            <w:r>
              <w:rPr/>
              <w:t>1 do 2</w:t>
            </w:r>
          </w:p>
        </w:tc>
        <w:tc>
          <w:tcPr>
            <w:tcW w:w="2352" w:type="dxa"/>
            <w:tcBorders/>
          </w:tcPr>
          <w:p>
            <w:pPr>
              <w:pStyle w:val="Normal"/>
              <w:bidi w:val="0"/>
              <w:rPr/>
            </w:pPr>
            <w:r>
              <w:rPr/>
              <w:t>nema</w:t>
            </w:r>
          </w:p>
        </w:tc>
        <w:tc>
          <w:tcPr>
            <w:tcW w:w="2352" w:type="dxa"/>
            <w:tcBorders/>
          </w:tcPr>
          <w:p>
            <w:pPr>
              <w:pStyle w:val="Normal"/>
              <w:bidi w:val="0"/>
              <w:rPr/>
            </w:pPr>
            <w:r>
              <w:rPr/>
              <w:t>uklanjanje biofilma i kamenca</w:t>
            </w:r>
          </w:p>
        </w:tc>
      </w:tr>
      <w:tr>
        <w:trPr/>
        <w:tc>
          <w:tcPr>
            <w:tcW w:w="2351" w:type="dxa"/>
            <w:tcBorders/>
          </w:tcPr>
          <w:p>
            <w:pPr>
              <w:pStyle w:val="Normal"/>
              <w:bidi w:val="0"/>
              <w:rPr/>
            </w:pPr>
            <w:r>
              <w:rPr/>
              <w:t>II</w:t>
            </w:r>
          </w:p>
        </w:tc>
        <w:tc>
          <w:tcPr>
            <w:tcW w:w="2351" w:type="dxa"/>
            <w:tcBorders/>
          </w:tcPr>
          <w:p>
            <w:pPr>
              <w:pStyle w:val="Normal"/>
              <w:bidi w:val="0"/>
              <w:rPr/>
            </w:pPr>
            <w:r>
              <w:rPr/>
              <w:t>3 do 4</w:t>
            </w:r>
          </w:p>
        </w:tc>
        <w:tc>
          <w:tcPr>
            <w:tcW w:w="2352" w:type="dxa"/>
            <w:tcBorders/>
          </w:tcPr>
          <w:p>
            <w:pPr>
              <w:pStyle w:val="Normal"/>
              <w:bidi w:val="0"/>
              <w:rPr/>
            </w:pPr>
            <w:r>
              <w:rPr/>
              <w:t>nema</w:t>
            </w:r>
          </w:p>
        </w:tc>
        <w:tc>
          <w:tcPr>
            <w:tcW w:w="2352" w:type="dxa"/>
            <w:tcBorders/>
          </w:tcPr>
          <w:p>
            <w:pPr>
              <w:pStyle w:val="Normal"/>
              <w:bidi w:val="0"/>
              <w:rPr/>
            </w:pPr>
            <w:r>
              <w:rPr/>
              <w:t>nekirurška terapija</w:t>
            </w:r>
          </w:p>
        </w:tc>
      </w:tr>
      <w:tr>
        <w:trPr/>
        <w:tc>
          <w:tcPr>
            <w:tcW w:w="2351" w:type="dxa"/>
            <w:tcBorders/>
          </w:tcPr>
          <w:p>
            <w:pPr>
              <w:pStyle w:val="Normal"/>
              <w:bidi w:val="0"/>
              <w:rPr/>
            </w:pPr>
            <w:r>
              <w:rPr/>
              <w:t>III</w:t>
            </w:r>
          </w:p>
        </w:tc>
        <w:tc>
          <w:tcPr>
            <w:tcW w:w="2351" w:type="dxa"/>
            <w:tcBorders/>
          </w:tcPr>
          <w:p>
            <w:pPr>
              <w:pStyle w:val="Normal"/>
              <w:bidi w:val="0"/>
              <w:rPr/>
            </w:pPr>
            <w:r>
              <w:rPr/>
              <w:t>5 i više</w:t>
            </w:r>
          </w:p>
        </w:tc>
        <w:tc>
          <w:tcPr>
            <w:tcW w:w="2352" w:type="dxa"/>
            <w:tcBorders/>
          </w:tcPr>
          <w:p>
            <w:pPr>
              <w:pStyle w:val="Normal"/>
              <w:bidi w:val="0"/>
              <w:rPr/>
            </w:pPr>
            <w:r>
              <w:rPr/>
              <w:t>do četiri zuba</w:t>
            </w:r>
          </w:p>
        </w:tc>
        <w:tc>
          <w:tcPr>
            <w:tcW w:w="2352" w:type="dxa"/>
            <w:tcBorders/>
          </w:tcPr>
          <w:p>
            <w:pPr>
              <w:pStyle w:val="Normal"/>
              <w:bidi w:val="0"/>
              <w:rPr/>
            </w:pPr>
            <w:r>
              <w:rPr/>
              <w:t>moguća kirurška terapija</w:t>
            </w:r>
          </w:p>
        </w:tc>
      </w:tr>
      <w:tr>
        <w:trPr/>
        <w:tc>
          <w:tcPr>
            <w:tcW w:w="2351" w:type="dxa"/>
            <w:tcBorders/>
          </w:tcPr>
          <w:p>
            <w:pPr>
              <w:pStyle w:val="Normal"/>
              <w:bidi w:val="0"/>
              <w:rPr/>
            </w:pPr>
            <w:r>
              <w:rPr/>
              <w:t>IV</w:t>
            </w:r>
          </w:p>
        </w:tc>
        <w:tc>
          <w:tcPr>
            <w:tcW w:w="2351" w:type="dxa"/>
            <w:tcBorders/>
          </w:tcPr>
          <w:p>
            <w:pPr>
              <w:pStyle w:val="Normal"/>
              <w:bidi w:val="0"/>
              <w:rPr/>
            </w:pPr>
            <w:r>
              <w:rPr/>
              <w:t>5 i više</w:t>
            </w:r>
          </w:p>
        </w:tc>
        <w:tc>
          <w:tcPr>
            <w:tcW w:w="2352" w:type="dxa"/>
            <w:tcBorders/>
          </w:tcPr>
          <w:p>
            <w:pPr>
              <w:pStyle w:val="Normal"/>
              <w:bidi w:val="0"/>
              <w:rPr/>
            </w:pPr>
            <w:r>
              <w:rPr/>
              <w:t>pet i više zuba</w:t>
            </w:r>
          </w:p>
        </w:tc>
        <w:tc>
          <w:tcPr>
            <w:tcW w:w="2352" w:type="dxa"/>
            <w:tcBorders/>
          </w:tcPr>
          <w:p>
            <w:pPr>
              <w:pStyle w:val="Normal"/>
              <w:bidi w:val="0"/>
              <w:rPr/>
            </w:pPr>
            <w:r>
              <w:rPr/>
              <w:t>rehabilitacija cijeloga zubala</w:t>
            </w:r>
          </w:p>
        </w:tc>
      </w:tr>
    </w:tbl>
    <w:p>
      <w:pPr>
        <w:pStyle w:val="Natpis"/>
        <w:bidi w:val="0"/>
        <w:spacing w:before="113" w:after="227"/>
        <w:jc w:val="center"/>
        <w:rPr/>
      </w:pPr>
      <w:r>
        <w:rPr/>
        <w:t>Izvor: Izrada autorice prema konsenzusnoj klasifikaciji iz 2018. godine (4).</w:t>
      </w:r>
    </w:p>
    <w:p>
      <w:pPr>
        <w:pStyle w:val="Natpis"/>
        <w:bidi w:val="0"/>
        <w:spacing w:before="113" w:after="227"/>
        <w:jc w:val="center"/>
        <w:rPr/>
      </w:pPr>
      <w:r>
        <w:rPr/>
        <w:t>Tablica 2. Nacrt istraživanja i opseg zaključka koji dopušta</w:t>
      </w:r>
    </w:p>
    <w:tbl>
      <w:tblPr>
        <w:tblW w:w="5000" w:type="pct"/>
        <w:jc w:val="left"/>
        <w:tblInd w:w="0" w:type="dxa"/>
        <w:tblLayout w:type="fixed"/>
        <w:tblCellMar>
          <w:top w:w="0" w:type="dxa"/>
          <w:left w:w="0" w:type="dxa"/>
          <w:bottom w:w="0" w:type="dxa"/>
          <w:right w:w="0" w:type="dxa"/>
        </w:tblCellMar>
      </w:tblPr>
      <w:tblGrid>
        <w:gridCol w:w="2351"/>
        <w:gridCol w:w="2351"/>
        <w:gridCol w:w="2352"/>
        <w:gridCol w:w="2352"/>
      </w:tblGrid>
      <w:tr>
        <w:trPr/>
        <w:tc>
          <w:tcPr>
            <w:tcW w:w="2351" w:type="dxa"/>
            <w:tcBorders/>
          </w:tcPr>
          <w:p>
            <w:pPr>
              <w:pStyle w:val="Normal"/>
              <w:bidi w:val="0"/>
              <w:rPr/>
            </w:pPr>
            <w:r>
              <w:rPr/>
              <w:t>Nacrt</w:t>
            </w:r>
          </w:p>
        </w:tc>
        <w:tc>
          <w:tcPr>
            <w:tcW w:w="2351" w:type="dxa"/>
            <w:tcBorders/>
          </w:tcPr>
          <w:p>
            <w:pPr>
              <w:pStyle w:val="Normal"/>
              <w:bidi w:val="0"/>
              <w:rPr/>
            </w:pPr>
            <w:r>
              <w:rPr/>
              <w:t>Vremenski slijed</w:t>
            </w:r>
          </w:p>
        </w:tc>
        <w:tc>
          <w:tcPr>
            <w:tcW w:w="2352" w:type="dxa"/>
            <w:tcBorders/>
          </w:tcPr>
          <w:p>
            <w:pPr>
              <w:pStyle w:val="Normal"/>
              <w:bidi w:val="0"/>
              <w:rPr/>
            </w:pPr>
            <w:r>
              <w:rPr/>
              <w:t>Zbunjujući čimbenici</w:t>
            </w:r>
          </w:p>
        </w:tc>
        <w:tc>
          <w:tcPr>
            <w:tcW w:w="2352" w:type="dxa"/>
            <w:tcBorders/>
          </w:tcPr>
          <w:p>
            <w:pPr>
              <w:pStyle w:val="Normal"/>
              <w:bidi w:val="0"/>
              <w:rPr/>
            </w:pPr>
            <w:r>
              <w:rPr/>
              <w:t>Što nalaz podupire</w:t>
            </w:r>
          </w:p>
        </w:tc>
      </w:tr>
      <w:tr>
        <w:trPr/>
        <w:tc>
          <w:tcPr>
            <w:tcW w:w="2351" w:type="dxa"/>
            <w:tcBorders/>
          </w:tcPr>
          <w:p>
            <w:pPr>
              <w:pStyle w:val="Normal"/>
              <w:bidi w:val="0"/>
              <w:rPr/>
            </w:pPr>
            <w:r>
              <w:rPr/>
              <w:t>Presječni</w:t>
            </w:r>
          </w:p>
        </w:tc>
        <w:tc>
          <w:tcPr>
            <w:tcW w:w="2351" w:type="dxa"/>
            <w:tcBorders/>
          </w:tcPr>
          <w:p>
            <w:pPr>
              <w:pStyle w:val="Normal"/>
              <w:bidi w:val="0"/>
              <w:rPr/>
            </w:pPr>
            <w:r>
              <w:rPr/>
              <w:t>nije utvrđen</w:t>
            </w:r>
          </w:p>
        </w:tc>
        <w:tc>
          <w:tcPr>
            <w:tcW w:w="2352" w:type="dxa"/>
            <w:tcBorders/>
          </w:tcPr>
          <w:p>
            <w:pPr>
              <w:pStyle w:val="Normal"/>
              <w:bidi w:val="0"/>
              <w:rPr/>
            </w:pPr>
            <w:r>
              <w:rPr/>
              <w:t>samo izmjereni</w:t>
            </w:r>
          </w:p>
        </w:tc>
        <w:tc>
          <w:tcPr>
            <w:tcW w:w="2352" w:type="dxa"/>
            <w:tcBorders/>
          </w:tcPr>
          <w:p>
            <w:pPr>
              <w:pStyle w:val="Normal"/>
              <w:bidi w:val="0"/>
              <w:rPr/>
            </w:pPr>
            <w:r>
              <w:rPr/>
              <w:t>supojavljivanje</w:t>
            </w:r>
          </w:p>
        </w:tc>
      </w:tr>
      <w:tr>
        <w:trPr/>
        <w:tc>
          <w:tcPr>
            <w:tcW w:w="2351" w:type="dxa"/>
            <w:tcBorders/>
          </w:tcPr>
          <w:p>
            <w:pPr>
              <w:pStyle w:val="Normal"/>
              <w:bidi w:val="0"/>
              <w:rPr/>
            </w:pPr>
            <w:r>
              <w:rPr/>
              <w:t>Kohortni</w:t>
            </w:r>
          </w:p>
        </w:tc>
        <w:tc>
          <w:tcPr>
            <w:tcW w:w="2351" w:type="dxa"/>
            <w:tcBorders/>
          </w:tcPr>
          <w:p>
            <w:pPr>
              <w:pStyle w:val="Normal"/>
              <w:bidi w:val="0"/>
              <w:rPr/>
            </w:pPr>
            <w:r>
              <w:rPr/>
              <w:t>utvrđen</w:t>
            </w:r>
          </w:p>
        </w:tc>
        <w:tc>
          <w:tcPr>
            <w:tcW w:w="2352" w:type="dxa"/>
            <w:tcBorders/>
          </w:tcPr>
          <w:p>
            <w:pPr>
              <w:pStyle w:val="Normal"/>
              <w:bidi w:val="0"/>
              <w:rPr/>
            </w:pPr>
            <w:r>
              <w:rPr/>
              <w:t>samo izmjereni</w:t>
            </w:r>
          </w:p>
        </w:tc>
        <w:tc>
          <w:tcPr>
            <w:tcW w:w="2352" w:type="dxa"/>
            <w:tcBorders/>
          </w:tcPr>
          <w:p>
            <w:pPr>
              <w:pStyle w:val="Normal"/>
              <w:bidi w:val="0"/>
              <w:rPr/>
            </w:pPr>
            <w:r>
              <w:rPr/>
              <w:t>povezanost s vremenskim slijedom</w:t>
            </w:r>
          </w:p>
        </w:tc>
      </w:tr>
      <w:tr>
        <w:trPr/>
        <w:tc>
          <w:tcPr>
            <w:tcW w:w="2351" w:type="dxa"/>
            <w:tcBorders/>
          </w:tcPr>
          <w:p>
            <w:pPr>
              <w:pStyle w:val="Normal"/>
              <w:bidi w:val="0"/>
              <w:rPr/>
            </w:pPr>
            <w:r>
              <w:rPr/>
              <w:t>Randomizirani, posredna mjera</w:t>
            </w:r>
          </w:p>
        </w:tc>
        <w:tc>
          <w:tcPr>
            <w:tcW w:w="2351" w:type="dxa"/>
            <w:tcBorders/>
          </w:tcPr>
          <w:p>
            <w:pPr>
              <w:pStyle w:val="Normal"/>
              <w:bidi w:val="0"/>
              <w:rPr/>
            </w:pPr>
            <w:r>
              <w:rPr/>
              <w:t>utvrđen</w:t>
            </w:r>
          </w:p>
        </w:tc>
        <w:tc>
          <w:tcPr>
            <w:tcW w:w="2352" w:type="dxa"/>
            <w:tcBorders/>
          </w:tcPr>
          <w:p>
            <w:pPr>
              <w:pStyle w:val="Normal"/>
              <w:bidi w:val="0"/>
              <w:rPr/>
            </w:pPr>
            <w:r>
              <w:rPr/>
              <w:t>izjednačeni slučajem</w:t>
            </w:r>
          </w:p>
        </w:tc>
        <w:tc>
          <w:tcPr>
            <w:tcW w:w="2352" w:type="dxa"/>
            <w:tcBorders/>
          </w:tcPr>
          <w:p>
            <w:pPr>
              <w:pStyle w:val="Normal"/>
              <w:bidi w:val="0"/>
              <w:rPr/>
            </w:pPr>
            <w:r>
              <w:rPr/>
              <w:t>učinak na posrednu mjeru</w:t>
            </w:r>
          </w:p>
        </w:tc>
      </w:tr>
      <w:tr>
        <w:trPr/>
        <w:tc>
          <w:tcPr>
            <w:tcW w:w="2351" w:type="dxa"/>
            <w:tcBorders/>
          </w:tcPr>
          <w:p>
            <w:pPr>
              <w:pStyle w:val="Normal"/>
              <w:bidi w:val="0"/>
              <w:rPr/>
            </w:pPr>
            <w:r>
              <w:rPr/>
              <w:t>Randomizirani, tvrdi ishod</w:t>
            </w:r>
          </w:p>
        </w:tc>
        <w:tc>
          <w:tcPr>
            <w:tcW w:w="2351" w:type="dxa"/>
            <w:tcBorders/>
          </w:tcPr>
          <w:p>
            <w:pPr>
              <w:pStyle w:val="Normal"/>
              <w:bidi w:val="0"/>
              <w:rPr/>
            </w:pPr>
            <w:r>
              <w:rPr/>
              <w:t>utvrđen</w:t>
            </w:r>
          </w:p>
        </w:tc>
        <w:tc>
          <w:tcPr>
            <w:tcW w:w="2352" w:type="dxa"/>
            <w:tcBorders/>
          </w:tcPr>
          <w:p>
            <w:pPr>
              <w:pStyle w:val="Normal"/>
              <w:bidi w:val="0"/>
              <w:rPr/>
            </w:pPr>
            <w:r>
              <w:rPr/>
              <w:t>izjednačeni slučajem</w:t>
            </w:r>
          </w:p>
        </w:tc>
        <w:tc>
          <w:tcPr>
            <w:tcW w:w="2352" w:type="dxa"/>
            <w:tcBorders/>
          </w:tcPr>
          <w:p>
            <w:pPr>
              <w:pStyle w:val="Normal"/>
              <w:bidi w:val="0"/>
              <w:rPr/>
            </w:pPr>
            <w:r>
              <w:rPr/>
              <w:t>učinak na ishod bolesti</w:t>
            </w:r>
          </w:p>
        </w:tc>
      </w:tr>
    </w:tbl>
    <w:p>
      <w:pPr>
        <w:pStyle w:val="Natpis"/>
        <w:bidi w:val="0"/>
        <w:spacing w:before="113" w:after="227"/>
        <w:jc w:val="center"/>
        <w:rPr/>
      </w:pPr>
      <w:r>
        <w:rPr/>
        <w:t>Izvor: Izrada autorice prema raspravi u poglavlju 4.</w:t>
      </w:r>
    </w:p>
    <w:p>
      <w:pPr>
        <w:pStyle w:val="BodyText"/>
        <w:bidi w:val="0"/>
        <w:spacing w:lineRule="auto" w:line="480" w:before="0" w:after="340"/>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Dva objašnjenja povezanosti: izravni upalni put i zajednički uzrok</w:t>
      </w:r>
    </w:p>
    <w:p>
      <w:pPr>
        <w:pStyle w:val="Natpis"/>
        <w:bidi w:val="0"/>
        <w:spacing w:before="113" w:after="227"/>
        <w:jc w:val="center"/>
        <w:rPr/>
      </w:pPr>
      <w:r>
        <w:rPr/>
        <w:t>Izvor: Izrada autorice.</w:t>
      </w:r>
    </w:p>
    <w:p>
      <w:pPr>
        <w:pStyle w:val="BodyText"/>
        <w:bidi w:val="0"/>
        <w:spacing w:lineRule="auto" w:line="480" w:before="0" w:after="340"/>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Raspored mjerenja izloženosti i ishoda u presječnom i kohortnom nacrtu</w:t>
      </w:r>
    </w:p>
    <w:p>
      <w:pPr>
        <w:pStyle w:val="Natpis"/>
        <w:bidi w:val="0"/>
        <w:spacing w:before="113" w:after="227"/>
        <w:jc w:val="center"/>
        <w:rPr/>
      </w:pPr>
      <w:r>
        <w:rPr/>
        <w:t>Izvor: Izrada autorice.</w:t>
      </w:r>
    </w:p>
    <w:p>
      <w:pPr>
        <w:pStyle w:val="Heading3"/>
        <w:bidi w:val="0"/>
        <w:ind w:hanging="0" w:left="0"/>
        <w:rPr/>
      </w:pPr>
      <w:r>
        <w:rPr/>
        <w:t>Popis tablica</w:t>
      </w:r>
    </w:p>
    <w:p>
      <w:pPr>
        <w:pStyle w:val="BodyText"/>
        <w:bidi w:val="0"/>
        <w:spacing w:lineRule="auto" w:line="480" w:before="0" w:after="340"/>
        <w:rPr/>
      </w:pPr>
      <w:r>
        <w:rPr/>
        <w:t>Tablica 1. Stadiji parodontitisa prema opsegu gubitka kliničkog pričvrstka</w:t>
      </w:r>
    </w:p>
    <w:p>
      <w:pPr>
        <w:pStyle w:val="BodyText"/>
        <w:bidi w:val="0"/>
        <w:spacing w:lineRule="auto" w:line="480" w:before="0" w:after="340"/>
        <w:rPr/>
      </w:pPr>
      <w:r>
        <w:rPr/>
        <w:t>Tablica 2. Nacrt istraživanja i opseg zaključka koji dopušta</w:t>
      </w:r>
    </w:p>
    <w:p>
      <w:pPr>
        <w:pStyle w:val="Heading3"/>
        <w:bidi w:val="0"/>
        <w:ind w:hanging="0" w:left="0"/>
        <w:rPr/>
      </w:pPr>
      <w:r>
        <w:rPr/>
        <w:t>Popis slika</w:t>
      </w:r>
    </w:p>
    <w:p>
      <w:pPr>
        <w:pStyle w:val="BodyText"/>
        <w:bidi w:val="0"/>
        <w:spacing w:lineRule="auto" w:line="480" w:before="0" w:after="340"/>
        <w:rPr/>
      </w:pPr>
      <w:r>
        <w:rPr/>
        <w:t>Slika 1. Dva objašnjenja povezanosti: izravni upalni put i zajednički uzrok</w:t>
      </w:r>
    </w:p>
    <w:p>
      <w:pPr>
        <w:pStyle w:val="BodyText"/>
        <w:bidi w:val="0"/>
        <w:spacing w:lineRule="auto" w:line="480" w:before="0" w:after="340"/>
        <w:rPr/>
      </w:pPr>
      <w:r>
        <w:rPr/>
        <w:t>Slika 2. Raspored mjerenja izloženosti i ishoda u presječnom i kohortnom nacrtu</w:t>
      </w:r>
    </w:p>
    <w:p>
      <w:pPr>
        <w:pStyle w:val="Heading3"/>
        <w:bidi w:val="0"/>
        <w:ind w:hanging="0" w:left="0"/>
        <w:rPr/>
      </w:pPr>
      <w:r>
        <w:rPr/>
        <w:t>Literatura</w:t>
      </w:r>
    </w:p>
    <w:p>
      <w:pPr>
        <w:pStyle w:val="BodyText"/>
        <w:bidi w:val="0"/>
        <w:spacing w:lineRule="auto" w:line="480" w:before="0" w:after="340"/>
        <w:rPr/>
      </w:pPr>
      <w:r>
        <w:rPr/>
        <w:t>1. Papapanou PN, Sanz M, Buduneli N, Dietrich T, Feres M, Fine DH, i sur. Periodontitis: Consensus report of workgroup 2 of the 2017 World Workshop on the Classification of Periodontal and Peri-Implant Diseases and Conditions. J Clin Periodontol. 2018;45(Suppl 20):S162-S170.</w:t>
      </w:r>
    </w:p>
    <w:p>
      <w:pPr>
        <w:pStyle w:val="BodyText"/>
        <w:bidi w:val="0"/>
        <w:spacing w:lineRule="auto" w:line="480" w:before="0" w:after="340"/>
        <w:rPr/>
      </w:pPr>
      <w:r>
        <w:rPr/>
        <w:t>2. Tonetti MS, Greenwell H, Kornman KS. Staging and grading of periodontitis: Framework and proposal of a new classification and case definition. J Clin Periodontol. 2018;45(Suppl 20):S149-S161. https://doi.org/10.1111/jcpe.12945</w:t>
      </w:r>
    </w:p>
    <w:p>
      <w:pPr>
        <w:pStyle w:val="BodyText"/>
        <w:bidi w:val="0"/>
        <w:spacing w:lineRule="auto" w:line="480" w:before="0" w:after="340"/>
        <w:rPr/>
      </w:pPr>
      <w:r>
        <w:rPr/>
        <w:t>3. Sanz M, Marco del Castillo A, Jepsen S, Gonzalez-Juanatey JR, D'Aiuto F, Bouchard P, i sur. Periodontitis and cardiovascular diseases: Consensus report. J Clin Periodontol. 2020;47(3):268-288. https://doi.org/10.1111/jcpe.13189</w:t>
      </w:r>
    </w:p>
    <w:p>
      <w:pPr>
        <w:pStyle w:val="BodyText"/>
        <w:bidi w:val="0"/>
        <w:spacing w:lineRule="auto" w:line="480" w:before="0" w:after="340"/>
        <w:rPr/>
      </w:pPr>
      <w:r>
        <w:rPr/>
        <w:t>4. Chapple ILC, Genco R. Diabetes and periodontal diseases: consensus report of the Joint EFP/AAP Workshop on Periodontitis and Systemic Diseases. J Clin Periodontol. 2013;40(Suppl 14):S106-S112. https://doi.org/10.1111/jcpe.12077</w:t>
      </w:r>
    </w:p>
    <w:p>
      <w:pPr>
        <w:pStyle w:val="BodyText"/>
        <w:bidi w:val="0"/>
        <w:spacing w:lineRule="auto" w:line="480" w:before="0" w:after="340"/>
        <w:rPr/>
      </w:pPr>
      <w:r>
        <w:rPr/>
        <w:t>5. Vrbanić T, Salopek M. Upalni biljezi u serumu bolesnika s uznapredovalim parodontitisom: pregled zamjenskih mjera. Hrvatski parodontološki pregled. 2022;14(2):51-63. https://doi.org/10.9911/hpp.2022.14207</w:t>
      </w:r>
    </w:p>
    <w:p>
      <w:pPr>
        <w:pStyle w:val="BodyText"/>
        <w:bidi w:val="0"/>
        <w:spacing w:lineRule="auto" w:line="480" w:before="0" w:after="340"/>
        <w:rPr/>
      </w:pPr>
      <w:r>
        <w:rPr/>
        <w:t>6. Barač V, Juričić N. Parodontologija za dentalne higijeničare. Rijeka: Sveučilišna naklada Kvarner; 2020.</w:t>
      </w:r>
    </w:p>
    <w:p>
      <w:pPr>
        <w:pStyle w:val="BodyText"/>
        <w:bidi w:val="0"/>
        <w:spacing w:lineRule="auto" w:line="480" w:before="0" w:after="340"/>
        <w:rPr/>
      </w:pPr>
      <w:r>
        <w:rPr/>
        <w:t>7. Hajišić E. Biofilm i upalni odgovor domaćina: osnove patogeneze parodontitisa. Zagreb: Medicinska knjiga Hrvatske; 2021.</w:t>
      </w:r>
    </w:p>
    <w:p>
      <w:pPr>
        <w:pStyle w:val="BodyText"/>
        <w:bidi w:val="0"/>
        <w:spacing w:lineRule="auto" w:line="480" w:before="0" w:after="340"/>
        <w:rPr/>
      </w:pPr>
      <w:r>
        <w:rPr/>
        <w:t>8. Milić A, Kovačević D. Parodontološka terapija i regulacija glikemije: raspon objavljenih procjena. Časopis za oralno zdravlje. 2022;9(1):17-29.</w:t>
      </w:r>
    </w:p>
    <w:p>
      <w:pPr>
        <w:pStyle w:val="BodyText"/>
        <w:bidi w:val="0"/>
        <w:spacing w:lineRule="auto" w:line="480" w:before="0" w:after="340"/>
        <w:rPr/>
      </w:pPr>
      <w:r>
        <w:rPr/>
        <w:t>9. Kovačević D. Ishodi trudnoće i parodontalno stanje: pregled opservacijskih istraživanja. Primaljski i stomatološki godišnjak. 2021;7(3):88-101.</w:t>
      </w:r>
    </w:p>
    <w:p>
      <w:pPr>
        <w:pStyle w:val="BodyText"/>
        <w:bidi w:val="0"/>
        <w:spacing w:lineRule="auto" w:line="480" w:before="0" w:after="340"/>
        <w:rPr/>
      </w:pPr>
      <w:r>
        <w:rPr/>
        <w:t>10. Jurić M. Zbunjujući čimbenici u istraživanjima oralnoga zdravlja: što prilagodba može, a što ne može. Metodološke bilješke iz biomedicine. 2019;4(2):33-47.</w:t>
      </w:r>
    </w:p>
    <w:p>
      <w:pPr>
        <w:pStyle w:val="BodyText"/>
        <w:bidi w:val="0"/>
        <w:spacing w:lineRule="auto" w:line="480" w:before="0" w:after="340"/>
        <w:rPr/>
      </w:pPr>
      <w:r>
        <w:rPr/>
        <w:t>11. Perković S, Vlahov I. Vremenski slijed i smjer povezanosti u presječnim istraživanjima. Riječki zbornik javnoga zdravstva. 2023;11(1):5-19.</w:t>
      </w:r>
    </w:p>
    <w:p>
      <w:pPr>
        <w:pStyle w:val="BodyText"/>
        <w:bidi w:val="0"/>
        <w:spacing w:lineRule="auto" w:line="480" w:before="0" w:after="340"/>
        <w:rPr/>
      </w:pPr>
      <w:r>
        <w:rPr/>
        <w:t>12. Salopek M. Komunikacija s pacijentom o riziku: granice tvrdnje u preventivnoj skrbi. Zagreb: Naklada Zdravlje i struka; 2020.</w:t>
      </w:r>
    </w:p>
    <w:p>
      <w:pPr>
        <w:pStyle w:val="BodyText"/>
        <w:bidi w:val="0"/>
        <w:spacing w:lineRule="auto" w:line="480" w:before="0" w:after="340"/>
        <w:rPr/>
      </w:pPr>
      <w:r>
        <w:rPr/>
        <w:t>13. Rukavina T, Anić P. Definicija slučaja parodontitisa i njezin učinak na izmjerenu prevalenciju. Hrvatski parodontološki pregled. 2021;13(4):141-155.</w:t>
      </w:r>
    </w:p>
    <w:p>
      <w:pPr>
        <w:pStyle w:val="BodyText"/>
        <w:bidi w:val="0"/>
        <w:spacing w:lineRule="auto" w:line="480" w:before="0" w:after="340"/>
        <w:rPr/>
      </w:pPr>
      <w:r>
        <w:rPr/>
        <w:t>14. Grgurić L. Mjerenje kliničkog gubitka pričvrstka: pouzdanost i izvori pogreške. Časopis za oralno zdravlje. 2020;7(2):64-76.</w:t>
      </w:r>
    </w:p>
    <w:p>
      <w:pPr>
        <w:pStyle w:val="BodyText"/>
        <w:bidi w:val="0"/>
        <w:spacing w:lineRule="auto" w:line="480" w:before="0" w:after="340"/>
        <w:rPr/>
      </w:pPr>
      <w:r>
        <w:rPr/>
        <w:t>15. Šestan K, Božić R. Pušenje kao zajednički čimbenik rizika: problem zaostaloga zbunjivanja. Metodološke bilješke iz biomedicine. 2021;6(1):11-26.</w:t>
      </w:r>
    </w:p>
    <w:p>
      <w:pPr>
        <w:pStyle w:val="BodyText"/>
        <w:bidi w:val="0"/>
        <w:spacing w:lineRule="auto" w:line="480" w:before="0" w:after="340"/>
        <w:rPr/>
      </w:pPr>
      <w:r>
        <w:rPr/>
        <w:t>16. Lovrić M. Posredne mjere ishoda u kliničkim pokusima: kada prijenos na tvrdi ishod nije opravdan. Split: Naklada Primorje; 2019.</w:t>
      </w:r>
    </w:p>
    <w:p>
      <w:pPr>
        <w:pStyle w:val="BodyText"/>
        <w:bidi w:val="0"/>
        <w:spacing w:lineRule="auto" w:line="480" w:before="0" w:after="340"/>
        <w:rPr/>
      </w:pPr>
      <w:r>
        <w:rPr/>
        <w:t>17. Dujmović A, Pavlek S. Etička ograničenja kontrolne skupine u parodontološkim pokusima. Bilten kliničke etike. 2022;5(2):27-39.</w:t>
      </w:r>
    </w:p>
    <w:p>
      <w:pPr>
        <w:pStyle w:val="BodyText"/>
        <w:bidi w:val="0"/>
        <w:spacing w:lineRule="auto" w:line="480" w:before="0" w:after="340"/>
        <w:rPr/>
      </w:pPr>
      <w:r>
        <w:rPr/>
        <w:t>18. Knežević T. Odnos doze i odgovora u kroničnim upalnim stanjima: što trajanje izloženosti dodaje. Riječki zbornik javnoga zdravstva. 2022;10(2):45-58.</w:t>
      </w:r>
    </w:p>
    <w:p>
      <w:pPr>
        <w:pStyle w:val="BodyText"/>
        <w:bidi w:val="0"/>
        <w:spacing w:lineRule="auto" w:line="480" w:before="0" w:after="340"/>
        <w:rPr/>
      </w:pPr>
      <w:r>
        <w:rPr/>
        <w:t>19. Marinković J, Tadić V. Upućivanje pacijenta iz dentalne ordinacije u obiteljsku medicinu: opseg ovlasti. Zagreb: Naklada Zdravlje i struka; 2023.</w:t>
      </w:r>
    </w:p>
    <w:p>
      <w:pPr>
        <w:pStyle w:val="BodyText"/>
        <w:bidi w:val="0"/>
        <w:spacing w:lineRule="auto" w:line="480" w:before="0" w:after="340"/>
        <w:rPr/>
      </w:pPr>
      <w:r>
        <w:rPr/>
        <w:t>20. Buljan N. Kronična bubrežna bolest i oralno zdravlje: pregled slabije istraženih povezanosti. Primaljski i stomatološki godišnjak. 2023;9(1):62-74.</w:t>
      </w:r>
    </w:p>
    <w:p>
      <w:pPr>
        <w:pStyle w:val="BodyText"/>
        <w:bidi w:val="0"/>
        <w:spacing w:lineRule="auto" w:line="480" w:before="0" w:after="340"/>
        <w:rPr/>
      </w:pPr>
      <w:r>
        <w:rPr/>
        <w:t>8. Lezaic A. Komunikacija u zdravstvenom timu. Sestrinski glasnik. 2019;24(2):101-108.</w:t>
      </w:r>
    </w:p>
    <w:p>
      <w:pPr>
        <w:pStyle w:val="BodyText"/>
        <w:bidi w:val="0"/>
        <w:spacing w:lineRule="auto" w:line="480" w:before="0" w:after="340"/>
        <w:rPr/>
      </w:pPr>
      <w:r>
        <w:rPr/>
        <w:t>9. Maric B. Metodoloski pristupi u drustvenim istrazivanjima. Zbornik radova. 2021;12(4):55-71.</w:t>
      </w:r>
    </w:p>
    <w:sectPr>
      <w:footerReference w:type="default" r:id="rId4"/>
      <w:type w:val="nextPage"/>
      <w:pgSz w:w="12240" w:h="15840"/>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41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480"/>
      </w:pPr>
    </w:pPrDefault>
  </w:docDefaults>
  <w:style w:type="paragraph" w:styleId="Normal">
    <w:name w:val="Normal"/>
    <w:qFormat/>
    <w:pPr>
      <w:widowControl/>
      <w:bidi w:val="0"/>
      <w:spacing w:lineRule="auto" w:line="480"/>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480" w:before="0" w:after="340"/>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Vodilicom">
    <w:name w:val="SVodilicom"/>
    <w:basedOn w:val="Normal"/>
    <w:qFormat/>
    <w:pPr>
      <w:tabs>
        <w:tab w:val="clear" w:pos="709"/>
        <w:tab w:val="right" w:pos="9071" w:leader="dot"/>
      </w:tab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