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Medijski okvir i moralna panika</w:t>
      </w:r>
    </w:p>
    <w:p>
      <w:r>
        <w:t>Teorijski okvir rada temelji se na procesnom modelu moralne panike. Analitički okvir primjenjuje se na nastup izvođača i na reakcije koje je taj nastup izazvao. Okviri kojima mediji opisuju događaj temelje se na simbolizaciji, a dostupna građa pokazuje da se okvir ponavlja. Profil publike rekonstruiran je iz dostupnih podataka. Nastupi su bili rasprodani, a dostupnost ulaznica postala je tema. Temeljna pretpostavka rada jest da se okvir prijetnje proizvodi, a ne samo prenosi.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