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UVOD</w:t>
      </w:r>
    </w:p>
    <w:p>
      <w:r>
        <w:t>Načelo vladavine prava sadržano je u čl. 3. Ustava i razrađeno kroz praksu Ustavnog suda.</w:t>
      </w:r>
    </w:p>
    <w:p>
      <w:r>
        <w:t>Sud Europske unije potvrdio je zakonitost mehanizma uvjetovanosti u predmetu C-156/21.</w:t>
      </w:r>
    </w:p>
    <w:p>
      <w:r>
        <w:t>Barbić razlikuje tri razine odgovornosti članova uprave, od kojih se treća rijetko primjenjuje.</w:t>
      </w:r>
    </w:p>
    <w:p>
      <w:r>
        <w:t>Gardašević upozorava da je 62,1 % odluka doneseno bez izdvojenog mišljenja.</w:t>
      </w:r>
    </w:p>
    <w:p>
      <w:pPr>
        <w:pStyle w:val="Heading1"/>
      </w:pPr>
      <w:r>
        <w:t>LITERATURA</w:t>
      </w:r>
    </w:p>
    <w:p>
      <w:r>
        <w:t>Barbić, J. (2013) Pravo društava, Knjiga prva. Zagreb: Organizator. ISBN 978-953-6809-53-4.</w:t>
      </w:r>
    </w:p>
    <w:p>
      <w:r>
        <w:t>Gardašević, Đ. (2021) Ustavni sud i vladavina prava. Zbornik PFZ 71(2): 155-178. DOI: 10.3935/zpfz.71.2.01.</w:t>
      </w:r>
    </w:p>
    <w:p>
      <w:r>
        <w:t>Ustav Republike Hrvatske, NN 56/90 i dalje.</w:t>
      </w:r>
    </w:p>
    <w:p>
      <w:r>
        <w:t>Uredba (EU, Euratom) 2020/2092, SL L 433I, 22.12.2020.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 xml:space="preserve">Vidi čl. 141. Ustava Republike Hrvatske, NN 56/90, 135/97, 8/98, 113/00, 124/00, 28/01, 41/01, 55/01, 76/10, 85/10, 5/14.</w:t>
      </w:r>
    </w:p>
  </w:footnote>
  <w:footnote w:id="2">
    <w:p>
      <w:r>
        <w:t xml:space="preserve">Ibid.</w:t>
      </w:r>
    </w:p>
  </w:footnote>
  <w:footnote w:id="3">
    <w:p>
      <w:r>
        <w:t xml:space="preserve">Ibid., str. 214.</w:t>
      </w:r>
    </w:p>
  </w:footnote>
  <w:footnote w:id="4">
    <w:p>
      <w:r>
        <w:t xml:space="preserve">Barbić, J., Pravo društava, Knjiga prva, Organizator, Zagreb, 2013., str. 87.</w:t>
      </w:r>
    </w:p>
  </w:footnote>
  <w:footnote w:id="5">
    <w:p>
      <w:r>
        <w:t xml:space="preserve">Op. cit. (bilj. 4), str. 91.</w:t>
      </w:r>
    </w:p>
  </w:footnote>
  <w:footnote w:id="6">
    <w:p>
      <w:r>
        <w:t xml:space="preserve">Presuda Suda EU od 16. veljače 2022., Mađarska protiv Parlamenta i Vijeća, C-156/21, ECLI:EU:C:2022:97, t. 127.</w:t>
      </w:r>
    </w:p>
  </w:footnote>
  <w:footnote w:id="7">
    <w:p>
      <w:r>
        <w:t xml:space="preserve">Nav. dj. (bilj. 6), t. 130.</w:t>
      </w:r>
    </w:p>
  </w:footnote>
  <w:footnote w:id="8">
    <w:p>
      <w:r>
        <w:t xml:space="preserve">Uredba (EU, Euratom) 2020/2092 Europskog parlamenta i Vijeća od 16. prosinca 2020., SL L 433I, 22.12.2020., str. 1.</w:t>
      </w:r>
    </w:p>
  </w:footnote>
  <w:footnote w:id="9">
    <w:p>
      <w:r>
        <w:t xml:space="preserve">Ibid., čl. 4. st. 1.</w:t>
      </w:r>
    </w:p>
  </w:footnote>
  <w:footnote w:id="10">
    <w:p>
      <w:r>
        <w:t xml:space="preserve">Gardašević, Đ., „Ustavni sud i vladavina prava“, Zbornik PFZ, vol. 71, br. 2, 2021., str. 155.-178., na str. 161.</w:t>
      </w:r>
    </w:p>
  </w:footnote>
  <w:footnote w:id="11">
    <w:p>
      <w:r>
        <w:t xml:space="preserve">Loc. cit.</w:t>
      </w:r>
    </w:p>
  </w:footnote>
  <w:footnote w:id="12">
    <w:p>
      <w:r>
        <w:t xml:space="preserve">Vidi supra, bilj. 3.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