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6968FE" w:rsidP="006968FE">
      <w:pPr>
        <w:jc w:val="center"/>
      </w:pPr>
      <w:r>
        <w:t>Sveučilište u Zagrebu</w:t>
      </w:r>
    </w:p>
    <w:p w:rsidR="006968FE" w:rsidRDefault="006968FE" w:rsidP="006968FE">
      <w:pPr>
        <w:jc w:val="center"/>
      </w:pPr>
    </w:p>
    <w:p w:rsidR="006968FE" w:rsidRDefault="006968FE" w:rsidP="006968FE">
      <w:pPr>
        <w:jc w:val="center"/>
      </w:pPr>
      <w:r>
        <w:t>Filozofski fakultet u Puli</w:t>
      </w:r>
    </w:p>
    <w:p w:rsidR="006968FE" w:rsidRDefault="006968FE" w:rsidP="006968FE">
      <w:pPr>
        <w:jc w:val="center"/>
      </w:pPr>
    </w:p>
    <w:p w:rsidR="006968FE" w:rsidRDefault="006968FE" w:rsidP="006968FE">
      <w:pPr>
        <w:jc w:val="center"/>
      </w:pPr>
      <w:r>
        <w:t>Sveučilišni prijediplomski studij Arheologija</w:t>
      </w:r>
    </w:p>
    <w:p w:rsidR="006968FE" w:rsidRDefault="006968FE" w:rsidP="006968FE">
      <w:pPr>
        <w:jc w:val="center"/>
      </w:pPr>
    </w:p>
    <w:p w:rsidR="006968FE" w:rsidRDefault="006968FE" w:rsidP="006968FE">
      <w:pPr>
        <w:jc w:val="center"/>
      </w:pPr>
      <w:r>
        <w:t>TENA LOVRIĆ</w:t>
      </w:r>
    </w:p>
    <w:p w:rsidR="006968FE" w:rsidRDefault="006968FE" w:rsidP="006968FE">
      <w:pPr>
        <w:jc w:val="center"/>
      </w:pPr>
    </w:p>
    <w:p w:rsidR="006968FE" w:rsidRDefault="006968FE" w:rsidP="006968FE">
      <w:pPr>
        <w:jc w:val="center"/>
      </w:pPr>
      <w:r>
        <w:t>KONTEKST NALAZA KAO MJERILO ARHEOLOŠKE SPOZNAJE: POJMOVNA RASPRAVA</w:t>
      </w:r>
    </w:p>
    <w:p w:rsidR="006968FE" w:rsidRDefault="006968FE" w:rsidP="006968FE">
      <w:pPr>
        <w:jc w:val="center"/>
      </w:pPr>
    </w:p>
    <w:p w:rsidR="006968FE" w:rsidRDefault="006968FE" w:rsidP="006968FE">
      <w:pPr>
        <w:jc w:val="center"/>
      </w:pPr>
      <w:r>
        <w:t>ZAVRŠNI RAD</w:t>
      </w:r>
    </w:p>
    <w:p w:rsidR="006968FE" w:rsidRDefault="006968FE" w:rsidP="006968FE">
      <w:pPr>
        <w:jc w:val="center"/>
      </w:pPr>
    </w:p>
    <w:p w:rsidR="006968FE" w:rsidRDefault="006968FE" w:rsidP="006968FE">
      <w:pPr>
        <w:jc w:val="center"/>
      </w:pPr>
      <w:r>
        <w:t>Zagreb, 2026.</w:t>
      </w:r>
    </w:p>
    <w:p w:rsidR="006968FE" w:rsidRDefault="006968FE" w:rsidP="006968FE">
      <w:pPr>
        <w:jc w:val="center"/>
      </w:pPr>
    </w:p>
    <w:p w:rsidR="006968FE" w:rsidRDefault="006968FE">
      <w:pPr>
        <w:spacing w:line="276" w:lineRule="auto"/>
        <w:jc w:val="left"/>
      </w:pPr>
      <w:r>
        <w:br w:type="page"/>
      </w:r>
    </w:p>
    <w:p w:rsidR="006968FE" w:rsidRDefault="006968FE" w:rsidP="006968FE">
      <w:pPr>
        <w:pStyle w:val="Heading1"/>
      </w:pPr>
      <w:bookmarkStart w:id="0" w:name="_Toc240189863"/>
      <w:r>
        <w:lastRenderedPageBreak/>
        <w:t>Sadrzaj</w:t>
      </w:r>
      <w:bookmarkEnd w:id="0"/>
    </w:p>
    <w:p w:rsidR="006968FE" w:rsidRDefault="006968FE">
      <w:pPr>
        <w:pStyle w:val="TOC1"/>
        <w:tabs>
          <w:tab w:val="right" w:leader="dot" w:pos="9062"/>
        </w:tabs>
        <w:rPr>
          <w:rFonts w:asciiTheme="minorHAnsi" w:eastAsiaTheme="minorEastAsia" w:hAnsiTheme="minorHAnsi" w:cstheme="minorBidi"/>
          <w:noProof/>
          <w:sz w:val="22"/>
        </w:rPr>
      </w:pPr>
      <w:r>
        <w:fldChar w:fldCharType="begin"/>
      </w:r>
      <w:r>
        <w:instrText xml:space="preserve"> TOC \o "1-3" \h \z </w:instrText>
      </w:r>
      <w:r>
        <w:fldChar w:fldCharType="separate"/>
      </w:r>
      <w:hyperlink w:anchor="_Toc240189863" w:history="1">
        <w:r w:rsidRPr="002903DA">
          <w:rPr>
            <w:rStyle w:val="Hyperlink"/>
            <w:noProof/>
          </w:rPr>
          <w:t>Sadrzaj</w:t>
        </w:r>
        <w:r>
          <w:rPr>
            <w:noProof/>
            <w:webHidden/>
          </w:rPr>
          <w:tab/>
        </w:r>
        <w:r>
          <w:rPr>
            <w:noProof/>
            <w:webHidden/>
          </w:rPr>
          <w:fldChar w:fldCharType="begin"/>
        </w:r>
        <w:r>
          <w:rPr>
            <w:noProof/>
            <w:webHidden/>
          </w:rPr>
          <w:instrText xml:space="preserve"> PAGEREF _Toc240189863 \h </w:instrText>
        </w:r>
        <w:r>
          <w:rPr>
            <w:noProof/>
            <w:webHidden/>
          </w:rPr>
        </w:r>
        <w:r>
          <w:rPr>
            <w:noProof/>
            <w:webHidden/>
          </w:rPr>
          <w:fldChar w:fldCharType="separate"/>
        </w:r>
        <w:r>
          <w:rPr>
            <w:noProof/>
            <w:webHidden/>
          </w:rPr>
          <w:t>2</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64" w:history="1">
        <w:r w:rsidRPr="002903DA">
          <w:rPr>
            <w:rStyle w:val="Hyperlink"/>
            <w:noProof/>
          </w:rPr>
          <w:t>Sazetak</w:t>
        </w:r>
        <w:r>
          <w:rPr>
            <w:noProof/>
            <w:webHidden/>
          </w:rPr>
          <w:tab/>
        </w:r>
        <w:r>
          <w:rPr>
            <w:noProof/>
            <w:webHidden/>
          </w:rPr>
          <w:fldChar w:fldCharType="begin"/>
        </w:r>
        <w:r>
          <w:rPr>
            <w:noProof/>
            <w:webHidden/>
          </w:rPr>
          <w:instrText xml:space="preserve"> PAGEREF _Toc240189864 \h </w:instrText>
        </w:r>
        <w:r>
          <w:rPr>
            <w:noProof/>
            <w:webHidden/>
          </w:rPr>
        </w:r>
        <w:r>
          <w:rPr>
            <w:noProof/>
            <w:webHidden/>
          </w:rPr>
          <w:fldChar w:fldCharType="separate"/>
        </w:r>
        <w:r>
          <w:rPr>
            <w:noProof/>
            <w:webHidden/>
          </w:rPr>
          <w:t>3</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65" w:history="1">
        <w:r w:rsidRPr="002903DA">
          <w:rPr>
            <w:rStyle w:val="Hyperlink"/>
            <w:noProof/>
          </w:rPr>
          <w:t>Abstract</w:t>
        </w:r>
        <w:r>
          <w:rPr>
            <w:noProof/>
            <w:webHidden/>
          </w:rPr>
          <w:tab/>
        </w:r>
        <w:r>
          <w:rPr>
            <w:noProof/>
            <w:webHidden/>
          </w:rPr>
          <w:fldChar w:fldCharType="begin"/>
        </w:r>
        <w:r>
          <w:rPr>
            <w:noProof/>
            <w:webHidden/>
          </w:rPr>
          <w:instrText xml:space="preserve"> PAGEREF _Toc240189865 \h </w:instrText>
        </w:r>
        <w:r>
          <w:rPr>
            <w:noProof/>
            <w:webHidden/>
          </w:rPr>
        </w:r>
        <w:r>
          <w:rPr>
            <w:noProof/>
            <w:webHidden/>
          </w:rPr>
          <w:fldChar w:fldCharType="separate"/>
        </w:r>
        <w:r>
          <w:rPr>
            <w:noProof/>
            <w:webHidden/>
          </w:rPr>
          <w:t>3</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66" w:history="1">
        <w:r w:rsidRPr="002903DA">
          <w:rPr>
            <w:rStyle w:val="Hyperlink"/>
            <w:noProof/>
          </w:rPr>
          <w:t>1. Uvod</w:t>
        </w:r>
        <w:r>
          <w:rPr>
            <w:noProof/>
            <w:webHidden/>
          </w:rPr>
          <w:tab/>
        </w:r>
        <w:r>
          <w:rPr>
            <w:noProof/>
            <w:webHidden/>
          </w:rPr>
          <w:fldChar w:fldCharType="begin"/>
        </w:r>
        <w:r>
          <w:rPr>
            <w:noProof/>
            <w:webHidden/>
          </w:rPr>
          <w:instrText xml:space="preserve"> PAGEREF _Toc240189866 \h </w:instrText>
        </w:r>
        <w:r>
          <w:rPr>
            <w:noProof/>
            <w:webHidden/>
          </w:rPr>
        </w:r>
        <w:r>
          <w:rPr>
            <w:noProof/>
            <w:webHidden/>
          </w:rPr>
          <w:fldChar w:fldCharType="separate"/>
        </w:r>
        <w:r>
          <w:rPr>
            <w:noProof/>
            <w:webHidden/>
          </w:rPr>
          <w:t>4</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67" w:history="1">
        <w:r w:rsidRPr="002903DA">
          <w:rPr>
            <w:rStyle w:val="Hyperlink"/>
            <w:noProof/>
          </w:rPr>
          <w:t>2. Obrada teme</w:t>
        </w:r>
        <w:r>
          <w:rPr>
            <w:noProof/>
            <w:webHidden/>
          </w:rPr>
          <w:tab/>
        </w:r>
        <w:r>
          <w:rPr>
            <w:noProof/>
            <w:webHidden/>
          </w:rPr>
          <w:fldChar w:fldCharType="begin"/>
        </w:r>
        <w:r>
          <w:rPr>
            <w:noProof/>
            <w:webHidden/>
          </w:rPr>
          <w:instrText xml:space="preserve"> PAGEREF _Toc240189867 \h </w:instrText>
        </w:r>
        <w:r>
          <w:rPr>
            <w:noProof/>
            <w:webHidden/>
          </w:rPr>
        </w:r>
        <w:r>
          <w:rPr>
            <w:noProof/>
            <w:webHidden/>
          </w:rPr>
          <w:fldChar w:fldCharType="separate"/>
        </w:r>
        <w:r>
          <w:rPr>
            <w:noProof/>
            <w:webHidden/>
          </w:rPr>
          <w:t>5</w:t>
        </w:r>
        <w:r>
          <w:rPr>
            <w:noProof/>
            <w:webHidden/>
          </w:rPr>
          <w:fldChar w:fldCharType="end"/>
        </w:r>
      </w:hyperlink>
    </w:p>
    <w:p w:rsidR="006968FE" w:rsidRDefault="006968FE">
      <w:pPr>
        <w:pStyle w:val="TOC2"/>
        <w:tabs>
          <w:tab w:val="right" w:leader="dot" w:pos="9062"/>
        </w:tabs>
        <w:rPr>
          <w:noProof/>
        </w:rPr>
      </w:pPr>
      <w:hyperlink w:anchor="_Toc240189868" w:history="1">
        <w:r w:rsidRPr="002903DA">
          <w:rPr>
            <w:rStyle w:val="Hyperlink"/>
            <w:noProof/>
          </w:rPr>
          <w:t>2.1. Kontekst kao pojam</w:t>
        </w:r>
        <w:r>
          <w:rPr>
            <w:noProof/>
            <w:webHidden/>
          </w:rPr>
          <w:tab/>
        </w:r>
        <w:r>
          <w:rPr>
            <w:noProof/>
            <w:webHidden/>
          </w:rPr>
          <w:fldChar w:fldCharType="begin"/>
        </w:r>
        <w:r>
          <w:rPr>
            <w:noProof/>
            <w:webHidden/>
          </w:rPr>
          <w:instrText xml:space="preserve"> PAGEREF _Toc240189868 \h </w:instrText>
        </w:r>
        <w:r>
          <w:rPr>
            <w:noProof/>
            <w:webHidden/>
          </w:rPr>
        </w:r>
        <w:r>
          <w:rPr>
            <w:noProof/>
            <w:webHidden/>
          </w:rPr>
          <w:fldChar w:fldCharType="separate"/>
        </w:r>
        <w:r>
          <w:rPr>
            <w:noProof/>
            <w:webHidden/>
          </w:rPr>
          <w:t>5</w:t>
        </w:r>
        <w:r>
          <w:rPr>
            <w:noProof/>
            <w:webHidden/>
          </w:rPr>
          <w:fldChar w:fldCharType="end"/>
        </w:r>
      </w:hyperlink>
    </w:p>
    <w:p w:rsidR="006968FE" w:rsidRDefault="006968FE">
      <w:pPr>
        <w:pStyle w:val="TOC2"/>
        <w:tabs>
          <w:tab w:val="right" w:leader="dot" w:pos="9062"/>
        </w:tabs>
        <w:rPr>
          <w:noProof/>
        </w:rPr>
      </w:pPr>
      <w:hyperlink w:anchor="_Toc240189869" w:history="1">
        <w:r w:rsidRPr="002903DA">
          <w:rPr>
            <w:rStyle w:val="Hyperlink"/>
            <w:noProof/>
          </w:rPr>
          <w:t>2.2. Stratigrafija kao vremenski zapis</w:t>
        </w:r>
        <w:r>
          <w:rPr>
            <w:noProof/>
            <w:webHidden/>
          </w:rPr>
          <w:tab/>
        </w:r>
        <w:r>
          <w:rPr>
            <w:noProof/>
            <w:webHidden/>
          </w:rPr>
          <w:fldChar w:fldCharType="begin"/>
        </w:r>
        <w:r>
          <w:rPr>
            <w:noProof/>
            <w:webHidden/>
          </w:rPr>
          <w:instrText xml:space="preserve"> PAGEREF _Toc240189869 \h </w:instrText>
        </w:r>
        <w:r>
          <w:rPr>
            <w:noProof/>
            <w:webHidden/>
          </w:rPr>
        </w:r>
        <w:r>
          <w:rPr>
            <w:noProof/>
            <w:webHidden/>
          </w:rPr>
          <w:fldChar w:fldCharType="separate"/>
        </w:r>
        <w:r>
          <w:rPr>
            <w:noProof/>
            <w:webHidden/>
          </w:rPr>
          <w:t>7</w:t>
        </w:r>
        <w:r>
          <w:rPr>
            <w:noProof/>
            <w:webHidden/>
          </w:rPr>
          <w:fldChar w:fldCharType="end"/>
        </w:r>
      </w:hyperlink>
    </w:p>
    <w:p w:rsidR="006968FE" w:rsidRDefault="006968FE">
      <w:pPr>
        <w:pStyle w:val="TOC2"/>
        <w:tabs>
          <w:tab w:val="right" w:leader="dot" w:pos="9062"/>
        </w:tabs>
        <w:rPr>
          <w:noProof/>
        </w:rPr>
      </w:pPr>
      <w:hyperlink w:anchor="_Toc240189870" w:history="1">
        <w:r w:rsidRPr="002903DA">
          <w:rPr>
            <w:rStyle w:val="Hyperlink"/>
            <w:noProof/>
          </w:rPr>
          <w:t>2.3. Formacijski procesi između ponašanja i zapisa</w:t>
        </w:r>
        <w:r>
          <w:rPr>
            <w:noProof/>
            <w:webHidden/>
          </w:rPr>
          <w:tab/>
        </w:r>
        <w:r>
          <w:rPr>
            <w:noProof/>
            <w:webHidden/>
          </w:rPr>
          <w:fldChar w:fldCharType="begin"/>
        </w:r>
        <w:r>
          <w:rPr>
            <w:noProof/>
            <w:webHidden/>
          </w:rPr>
          <w:instrText xml:space="preserve"> PAGEREF _Toc240189870 \h </w:instrText>
        </w:r>
        <w:r>
          <w:rPr>
            <w:noProof/>
            <w:webHidden/>
          </w:rPr>
        </w:r>
        <w:r>
          <w:rPr>
            <w:noProof/>
            <w:webHidden/>
          </w:rPr>
          <w:fldChar w:fldCharType="separate"/>
        </w:r>
        <w:r>
          <w:rPr>
            <w:noProof/>
            <w:webHidden/>
          </w:rPr>
          <w:t>8</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71" w:history="1">
        <w:r w:rsidRPr="002903DA">
          <w:rPr>
            <w:rStyle w:val="Hyperlink"/>
            <w:noProof/>
          </w:rPr>
          <w:t>3. Predmet bez konteksta</w:t>
        </w:r>
        <w:r>
          <w:rPr>
            <w:noProof/>
            <w:webHidden/>
          </w:rPr>
          <w:tab/>
        </w:r>
        <w:r>
          <w:rPr>
            <w:noProof/>
            <w:webHidden/>
          </w:rPr>
          <w:fldChar w:fldCharType="begin"/>
        </w:r>
        <w:r>
          <w:rPr>
            <w:noProof/>
            <w:webHidden/>
          </w:rPr>
          <w:instrText xml:space="preserve"> PAGEREF _Toc240189871 \h </w:instrText>
        </w:r>
        <w:r>
          <w:rPr>
            <w:noProof/>
            <w:webHidden/>
          </w:rPr>
        </w:r>
        <w:r>
          <w:rPr>
            <w:noProof/>
            <w:webHidden/>
          </w:rPr>
          <w:fldChar w:fldCharType="separate"/>
        </w:r>
        <w:r>
          <w:rPr>
            <w:noProof/>
            <w:webHidden/>
          </w:rPr>
          <w:t>9</w:t>
        </w:r>
        <w:r>
          <w:rPr>
            <w:noProof/>
            <w:webHidden/>
          </w:rPr>
          <w:fldChar w:fldCharType="end"/>
        </w:r>
      </w:hyperlink>
    </w:p>
    <w:p w:rsidR="006968FE" w:rsidRDefault="006968FE">
      <w:pPr>
        <w:pStyle w:val="TOC2"/>
        <w:tabs>
          <w:tab w:val="right" w:leader="dot" w:pos="9062"/>
        </w:tabs>
        <w:rPr>
          <w:noProof/>
        </w:rPr>
      </w:pPr>
      <w:hyperlink w:anchor="_Toc240189872" w:history="1">
        <w:r w:rsidRPr="002903DA">
          <w:rPr>
            <w:rStyle w:val="Hyperlink"/>
            <w:noProof/>
          </w:rPr>
          <w:t>3.1. Tipologija i dosezi zaključka iz oblika</w:t>
        </w:r>
        <w:r>
          <w:rPr>
            <w:noProof/>
            <w:webHidden/>
          </w:rPr>
          <w:tab/>
        </w:r>
        <w:r>
          <w:rPr>
            <w:noProof/>
            <w:webHidden/>
          </w:rPr>
          <w:fldChar w:fldCharType="begin"/>
        </w:r>
        <w:r>
          <w:rPr>
            <w:noProof/>
            <w:webHidden/>
          </w:rPr>
          <w:instrText xml:space="preserve"> PAGEREF _Toc240189872 \h </w:instrText>
        </w:r>
        <w:r>
          <w:rPr>
            <w:noProof/>
            <w:webHidden/>
          </w:rPr>
        </w:r>
        <w:r>
          <w:rPr>
            <w:noProof/>
            <w:webHidden/>
          </w:rPr>
          <w:fldChar w:fldCharType="separate"/>
        </w:r>
        <w:r>
          <w:rPr>
            <w:noProof/>
            <w:webHidden/>
          </w:rPr>
          <w:t>9</w:t>
        </w:r>
        <w:r>
          <w:rPr>
            <w:noProof/>
            <w:webHidden/>
          </w:rPr>
          <w:fldChar w:fldCharType="end"/>
        </w:r>
      </w:hyperlink>
    </w:p>
    <w:p w:rsidR="006968FE" w:rsidRDefault="006968FE">
      <w:pPr>
        <w:pStyle w:val="TOC2"/>
        <w:tabs>
          <w:tab w:val="right" w:leader="dot" w:pos="9062"/>
        </w:tabs>
        <w:rPr>
          <w:noProof/>
        </w:rPr>
      </w:pPr>
      <w:hyperlink w:anchor="_Toc240189873" w:history="1">
        <w:r w:rsidRPr="002903DA">
          <w:rPr>
            <w:rStyle w:val="Hyperlink"/>
            <w:noProof/>
          </w:rPr>
          <w:t>3.2. Gubitak konteksta pri iskopu</w:t>
        </w:r>
        <w:r>
          <w:rPr>
            <w:noProof/>
            <w:webHidden/>
          </w:rPr>
          <w:tab/>
        </w:r>
        <w:r>
          <w:rPr>
            <w:noProof/>
            <w:webHidden/>
          </w:rPr>
          <w:fldChar w:fldCharType="begin"/>
        </w:r>
        <w:r>
          <w:rPr>
            <w:noProof/>
            <w:webHidden/>
          </w:rPr>
          <w:instrText xml:space="preserve"> PAGEREF _Toc240189873 \h </w:instrText>
        </w:r>
        <w:r>
          <w:rPr>
            <w:noProof/>
            <w:webHidden/>
          </w:rPr>
        </w:r>
        <w:r>
          <w:rPr>
            <w:noProof/>
            <w:webHidden/>
          </w:rPr>
          <w:fldChar w:fldCharType="separate"/>
        </w:r>
        <w:r>
          <w:rPr>
            <w:noProof/>
            <w:webHidden/>
          </w:rPr>
          <w:t>10</w:t>
        </w:r>
        <w:r>
          <w:rPr>
            <w:noProof/>
            <w:webHidden/>
          </w:rPr>
          <w:fldChar w:fldCharType="end"/>
        </w:r>
      </w:hyperlink>
    </w:p>
    <w:p w:rsidR="006968FE" w:rsidRDefault="006968FE">
      <w:pPr>
        <w:pStyle w:val="TOC2"/>
        <w:tabs>
          <w:tab w:val="right" w:leader="dot" w:pos="9062"/>
        </w:tabs>
        <w:rPr>
          <w:noProof/>
        </w:rPr>
      </w:pPr>
      <w:hyperlink w:anchor="_Toc240189874" w:history="1">
        <w:r w:rsidRPr="002903DA">
          <w:rPr>
            <w:rStyle w:val="Hyperlink"/>
            <w:noProof/>
          </w:rPr>
          <w:t>3.3. Zbirke bez podrijetla</w:t>
        </w:r>
        <w:r>
          <w:rPr>
            <w:noProof/>
            <w:webHidden/>
          </w:rPr>
          <w:tab/>
        </w:r>
        <w:r>
          <w:rPr>
            <w:noProof/>
            <w:webHidden/>
          </w:rPr>
          <w:fldChar w:fldCharType="begin"/>
        </w:r>
        <w:r>
          <w:rPr>
            <w:noProof/>
            <w:webHidden/>
          </w:rPr>
          <w:instrText xml:space="preserve"> PAGEREF _Toc240189874 \h </w:instrText>
        </w:r>
        <w:r>
          <w:rPr>
            <w:noProof/>
            <w:webHidden/>
          </w:rPr>
        </w:r>
        <w:r>
          <w:rPr>
            <w:noProof/>
            <w:webHidden/>
          </w:rPr>
          <w:fldChar w:fldCharType="separate"/>
        </w:r>
        <w:r>
          <w:rPr>
            <w:noProof/>
            <w:webHidden/>
          </w:rPr>
          <w:t>11</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75" w:history="1">
        <w:r w:rsidRPr="002903DA">
          <w:rPr>
            <w:rStyle w:val="Hyperlink"/>
            <w:noProof/>
          </w:rPr>
          <w:t>4. Zapis kao posrednik</w:t>
        </w:r>
        <w:r>
          <w:rPr>
            <w:noProof/>
            <w:webHidden/>
          </w:rPr>
          <w:tab/>
        </w:r>
        <w:r>
          <w:rPr>
            <w:noProof/>
            <w:webHidden/>
          </w:rPr>
          <w:fldChar w:fldCharType="begin"/>
        </w:r>
        <w:r>
          <w:rPr>
            <w:noProof/>
            <w:webHidden/>
          </w:rPr>
          <w:instrText xml:space="preserve"> PAGEREF _Toc240189875 \h </w:instrText>
        </w:r>
        <w:r>
          <w:rPr>
            <w:noProof/>
            <w:webHidden/>
          </w:rPr>
        </w:r>
        <w:r>
          <w:rPr>
            <w:noProof/>
            <w:webHidden/>
          </w:rPr>
          <w:fldChar w:fldCharType="separate"/>
        </w:r>
        <w:r>
          <w:rPr>
            <w:noProof/>
            <w:webHidden/>
          </w:rPr>
          <w:t>12</w:t>
        </w:r>
        <w:r>
          <w:rPr>
            <w:noProof/>
            <w:webHidden/>
          </w:rPr>
          <w:fldChar w:fldCharType="end"/>
        </w:r>
      </w:hyperlink>
    </w:p>
    <w:p w:rsidR="006968FE" w:rsidRDefault="006968FE">
      <w:pPr>
        <w:pStyle w:val="TOC2"/>
        <w:tabs>
          <w:tab w:val="right" w:leader="dot" w:pos="9062"/>
        </w:tabs>
        <w:rPr>
          <w:noProof/>
        </w:rPr>
      </w:pPr>
      <w:hyperlink w:anchor="_Toc240189876" w:history="1">
        <w:r w:rsidRPr="002903DA">
          <w:rPr>
            <w:rStyle w:val="Hyperlink"/>
            <w:noProof/>
          </w:rPr>
          <w:t>4.1. Dokumentacija kao konstrukcija konteksta</w:t>
        </w:r>
        <w:r>
          <w:rPr>
            <w:noProof/>
            <w:webHidden/>
          </w:rPr>
          <w:tab/>
        </w:r>
        <w:r>
          <w:rPr>
            <w:noProof/>
            <w:webHidden/>
          </w:rPr>
          <w:fldChar w:fldCharType="begin"/>
        </w:r>
        <w:r>
          <w:rPr>
            <w:noProof/>
            <w:webHidden/>
          </w:rPr>
          <w:instrText xml:space="preserve"> PAGEREF _Toc240189876 \h </w:instrText>
        </w:r>
        <w:r>
          <w:rPr>
            <w:noProof/>
            <w:webHidden/>
          </w:rPr>
        </w:r>
        <w:r>
          <w:rPr>
            <w:noProof/>
            <w:webHidden/>
          </w:rPr>
          <w:fldChar w:fldCharType="separate"/>
        </w:r>
        <w:r>
          <w:rPr>
            <w:noProof/>
            <w:webHidden/>
          </w:rPr>
          <w:t>13</w:t>
        </w:r>
        <w:r>
          <w:rPr>
            <w:noProof/>
            <w:webHidden/>
          </w:rPr>
          <w:fldChar w:fldCharType="end"/>
        </w:r>
      </w:hyperlink>
    </w:p>
    <w:p w:rsidR="006968FE" w:rsidRDefault="006968FE">
      <w:pPr>
        <w:pStyle w:val="TOC2"/>
        <w:tabs>
          <w:tab w:val="right" w:leader="dot" w:pos="9062"/>
        </w:tabs>
        <w:rPr>
          <w:noProof/>
        </w:rPr>
      </w:pPr>
      <w:hyperlink w:anchor="_Toc240189877" w:history="1">
        <w:r w:rsidRPr="002903DA">
          <w:rPr>
            <w:rStyle w:val="Hyperlink"/>
            <w:noProof/>
          </w:rPr>
          <w:t>4.2. Ponovljivost tumačenja</w:t>
        </w:r>
        <w:r>
          <w:rPr>
            <w:noProof/>
            <w:webHidden/>
          </w:rPr>
          <w:tab/>
        </w:r>
        <w:r>
          <w:rPr>
            <w:noProof/>
            <w:webHidden/>
          </w:rPr>
          <w:fldChar w:fldCharType="begin"/>
        </w:r>
        <w:r>
          <w:rPr>
            <w:noProof/>
            <w:webHidden/>
          </w:rPr>
          <w:instrText xml:space="preserve"> PAGEREF _Toc240189877 \h </w:instrText>
        </w:r>
        <w:r>
          <w:rPr>
            <w:noProof/>
            <w:webHidden/>
          </w:rPr>
        </w:r>
        <w:r>
          <w:rPr>
            <w:noProof/>
            <w:webHidden/>
          </w:rPr>
          <w:fldChar w:fldCharType="separate"/>
        </w:r>
        <w:r>
          <w:rPr>
            <w:noProof/>
            <w:webHidden/>
          </w:rPr>
          <w:t>14</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78" w:history="1">
        <w:r w:rsidRPr="002903DA">
          <w:rPr>
            <w:rStyle w:val="Hyperlink"/>
            <w:noProof/>
          </w:rPr>
          <w:t>5. Rasprava: kada kontekst nosi spoznaju</w:t>
        </w:r>
        <w:r>
          <w:rPr>
            <w:noProof/>
            <w:webHidden/>
          </w:rPr>
          <w:tab/>
        </w:r>
        <w:r>
          <w:rPr>
            <w:noProof/>
            <w:webHidden/>
          </w:rPr>
          <w:fldChar w:fldCharType="begin"/>
        </w:r>
        <w:r>
          <w:rPr>
            <w:noProof/>
            <w:webHidden/>
          </w:rPr>
          <w:instrText xml:space="preserve"> PAGEREF _Toc240189878 \h </w:instrText>
        </w:r>
        <w:r>
          <w:rPr>
            <w:noProof/>
            <w:webHidden/>
          </w:rPr>
        </w:r>
        <w:r>
          <w:rPr>
            <w:noProof/>
            <w:webHidden/>
          </w:rPr>
          <w:fldChar w:fldCharType="separate"/>
        </w:r>
        <w:r>
          <w:rPr>
            <w:noProof/>
            <w:webHidden/>
          </w:rPr>
          <w:t>15</w:t>
        </w:r>
        <w:r>
          <w:rPr>
            <w:noProof/>
            <w:webHidden/>
          </w:rPr>
          <w:fldChar w:fldCharType="end"/>
        </w:r>
      </w:hyperlink>
    </w:p>
    <w:p w:rsidR="006968FE" w:rsidRDefault="006968FE">
      <w:pPr>
        <w:pStyle w:val="TOC2"/>
        <w:tabs>
          <w:tab w:val="right" w:leader="dot" w:pos="9062"/>
        </w:tabs>
        <w:rPr>
          <w:noProof/>
        </w:rPr>
      </w:pPr>
      <w:hyperlink w:anchor="_Toc240189879" w:history="1">
        <w:r w:rsidRPr="002903DA">
          <w:rPr>
            <w:rStyle w:val="Hyperlink"/>
            <w:noProof/>
          </w:rPr>
          <w:t>5.1. Tri kriterija pojmovne održivosti</w:t>
        </w:r>
        <w:r>
          <w:rPr>
            <w:noProof/>
            <w:webHidden/>
          </w:rPr>
          <w:tab/>
        </w:r>
        <w:r>
          <w:rPr>
            <w:noProof/>
            <w:webHidden/>
          </w:rPr>
          <w:fldChar w:fldCharType="begin"/>
        </w:r>
        <w:r>
          <w:rPr>
            <w:noProof/>
            <w:webHidden/>
          </w:rPr>
          <w:instrText xml:space="preserve"> PAGEREF _Toc240189879 \h </w:instrText>
        </w:r>
        <w:r>
          <w:rPr>
            <w:noProof/>
            <w:webHidden/>
          </w:rPr>
        </w:r>
        <w:r>
          <w:rPr>
            <w:noProof/>
            <w:webHidden/>
          </w:rPr>
          <w:fldChar w:fldCharType="separate"/>
        </w:r>
        <w:r>
          <w:rPr>
            <w:noProof/>
            <w:webHidden/>
          </w:rPr>
          <w:t>15</w:t>
        </w:r>
        <w:r>
          <w:rPr>
            <w:noProof/>
            <w:webHidden/>
          </w:rPr>
          <w:fldChar w:fldCharType="end"/>
        </w:r>
      </w:hyperlink>
    </w:p>
    <w:p w:rsidR="006968FE" w:rsidRDefault="006968FE">
      <w:pPr>
        <w:pStyle w:val="TOC2"/>
        <w:tabs>
          <w:tab w:val="right" w:leader="dot" w:pos="9062"/>
        </w:tabs>
        <w:rPr>
          <w:noProof/>
        </w:rPr>
      </w:pPr>
      <w:hyperlink w:anchor="_Toc240189880" w:history="1">
        <w:r w:rsidRPr="002903DA">
          <w:rPr>
            <w:rStyle w:val="Hyperlink"/>
            <w:noProof/>
          </w:rPr>
          <w:t>5.2. Ograničenja rasprave</w:t>
        </w:r>
        <w:r>
          <w:rPr>
            <w:noProof/>
            <w:webHidden/>
          </w:rPr>
          <w:tab/>
        </w:r>
        <w:r>
          <w:rPr>
            <w:noProof/>
            <w:webHidden/>
          </w:rPr>
          <w:fldChar w:fldCharType="begin"/>
        </w:r>
        <w:r>
          <w:rPr>
            <w:noProof/>
            <w:webHidden/>
          </w:rPr>
          <w:instrText xml:space="preserve"> PAGEREF _Toc240189880 \h </w:instrText>
        </w:r>
        <w:r>
          <w:rPr>
            <w:noProof/>
            <w:webHidden/>
          </w:rPr>
        </w:r>
        <w:r>
          <w:rPr>
            <w:noProof/>
            <w:webHidden/>
          </w:rPr>
          <w:fldChar w:fldCharType="separate"/>
        </w:r>
        <w:r>
          <w:rPr>
            <w:noProof/>
            <w:webHidden/>
          </w:rPr>
          <w:t>16</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81" w:history="1">
        <w:r w:rsidRPr="002903DA">
          <w:rPr>
            <w:rStyle w:val="Hyperlink"/>
            <w:noProof/>
          </w:rPr>
          <w:t>6. Zaključak</w:t>
        </w:r>
        <w:r>
          <w:rPr>
            <w:noProof/>
            <w:webHidden/>
          </w:rPr>
          <w:tab/>
        </w:r>
        <w:r>
          <w:rPr>
            <w:noProof/>
            <w:webHidden/>
          </w:rPr>
          <w:fldChar w:fldCharType="begin"/>
        </w:r>
        <w:r>
          <w:rPr>
            <w:noProof/>
            <w:webHidden/>
          </w:rPr>
          <w:instrText xml:space="preserve"> PAGEREF _Toc240189881 \h </w:instrText>
        </w:r>
        <w:r>
          <w:rPr>
            <w:noProof/>
            <w:webHidden/>
          </w:rPr>
        </w:r>
        <w:r>
          <w:rPr>
            <w:noProof/>
            <w:webHidden/>
          </w:rPr>
          <w:fldChar w:fldCharType="separate"/>
        </w:r>
        <w:r>
          <w:rPr>
            <w:noProof/>
            <w:webHidden/>
          </w:rPr>
          <w:t>16</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82" w:history="1">
        <w:r w:rsidRPr="002903DA">
          <w:rPr>
            <w:rStyle w:val="Hyperlink"/>
            <w:noProof/>
          </w:rPr>
          <w:t>Popis tablica</w:t>
        </w:r>
        <w:r>
          <w:rPr>
            <w:noProof/>
            <w:webHidden/>
          </w:rPr>
          <w:tab/>
        </w:r>
        <w:r>
          <w:rPr>
            <w:noProof/>
            <w:webHidden/>
          </w:rPr>
          <w:fldChar w:fldCharType="begin"/>
        </w:r>
        <w:r>
          <w:rPr>
            <w:noProof/>
            <w:webHidden/>
          </w:rPr>
          <w:instrText xml:space="preserve"> PAGEREF _Toc240189882 \h </w:instrText>
        </w:r>
        <w:r>
          <w:rPr>
            <w:noProof/>
            <w:webHidden/>
          </w:rPr>
        </w:r>
        <w:r>
          <w:rPr>
            <w:noProof/>
            <w:webHidden/>
          </w:rPr>
          <w:fldChar w:fldCharType="separate"/>
        </w:r>
        <w:r>
          <w:rPr>
            <w:noProof/>
            <w:webHidden/>
          </w:rPr>
          <w:t>19</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83" w:history="1">
        <w:r w:rsidRPr="002903DA">
          <w:rPr>
            <w:rStyle w:val="Hyperlink"/>
            <w:noProof/>
          </w:rPr>
          <w:t>Popis slika</w:t>
        </w:r>
        <w:r>
          <w:rPr>
            <w:noProof/>
            <w:webHidden/>
          </w:rPr>
          <w:tab/>
        </w:r>
        <w:r>
          <w:rPr>
            <w:noProof/>
            <w:webHidden/>
          </w:rPr>
          <w:fldChar w:fldCharType="begin"/>
        </w:r>
        <w:r>
          <w:rPr>
            <w:noProof/>
            <w:webHidden/>
          </w:rPr>
          <w:instrText xml:space="preserve"> PAGEREF _Toc240189883 \h </w:instrText>
        </w:r>
        <w:r>
          <w:rPr>
            <w:noProof/>
            <w:webHidden/>
          </w:rPr>
        </w:r>
        <w:r>
          <w:rPr>
            <w:noProof/>
            <w:webHidden/>
          </w:rPr>
          <w:fldChar w:fldCharType="separate"/>
        </w:r>
        <w:r>
          <w:rPr>
            <w:noProof/>
            <w:webHidden/>
          </w:rPr>
          <w:t>19</w:t>
        </w:r>
        <w:r>
          <w:rPr>
            <w:noProof/>
            <w:webHidden/>
          </w:rPr>
          <w:fldChar w:fldCharType="end"/>
        </w:r>
      </w:hyperlink>
    </w:p>
    <w:p w:rsidR="006968FE" w:rsidRDefault="006968FE">
      <w:pPr>
        <w:pStyle w:val="TOC1"/>
        <w:tabs>
          <w:tab w:val="right" w:leader="dot" w:pos="9062"/>
        </w:tabs>
        <w:rPr>
          <w:rFonts w:asciiTheme="minorHAnsi" w:eastAsiaTheme="minorEastAsia" w:hAnsiTheme="minorHAnsi" w:cstheme="minorBidi"/>
          <w:noProof/>
          <w:sz w:val="22"/>
        </w:rPr>
      </w:pPr>
      <w:hyperlink w:anchor="_Toc240189884" w:history="1">
        <w:r w:rsidRPr="002903DA">
          <w:rPr>
            <w:rStyle w:val="Hyperlink"/>
            <w:noProof/>
          </w:rPr>
          <w:t>Literatura</w:t>
        </w:r>
        <w:r>
          <w:rPr>
            <w:noProof/>
            <w:webHidden/>
          </w:rPr>
          <w:tab/>
        </w:r>
        <w:r>
          <w:rPr>
            <w:noProof/>
            <w:webHidden/>
          </w:rPr>
          <w:fldChar w:fldCharType="begin"/>
        </w:r>
        <w:r>
          <w:rPr>
            <w:noProof/>
            <w:webHidden/>
          </w:rPr>
          <w:instrText xml:space="preserve"> PAGEREF _Toc240189884 \h </w:instrText>
        </w:r>
        <w:r>
          <w:rPr>
            <w:noProof/>
            <w:webHidden/>
          </w:rPr>
        </w:r>
        <w:r>
          <w:rPr>
            <w:noProof/>
            <w:webHidden/>
          </w:rPr>
          <w:fldChar w:fldCharType="separate"/>
        </w:r>
        <w:r>
          <w:rPr>
            <w:noProof/>
            <w:webHidden/>
          </w:rPr>
          <w:t>19</w:t>
        </w:r>
        <w:r>
          <w:rPr>
            <w:noProof/>
            <w:webHidden/>
          </w:rPr>
          <w:fldChar w:fldCharType="end"/>
        </w:r>
      </w:hyperlink>
    </w:p>
    <w:p w:rsidR="006968FE" w:rsidRDefault="006968FE" w:rsidP="006968FE">
      <w:r>
        <w:fldChar w:fldCharType="end"/>
      </w:r>
    </w:p>
    <w:p w:rsidR="006968FE" w:rsidRDefault="006968FE">
      <w:pPr>
        <w:spacing w:line="276" w:lineRule="auto"/>
        <w:jc w:val="left"/>
      </w:pPr>
      <w:r>
        <w:br w:type="page"/>
      </w:r>
    </w:p>
    <w:p w:rsidR="006968FE" w:rsidRDefault="006968FE" w:rsidP="006968FE">
      <w:pPr>
        <w:pStyle w:val="Heading1"/>
      </w:pPr>
      <w:bookmarkStart w:id="1" w:name="_Toc240189864"/>
      <w:r>
        <w:lastRenderedPageBreak/>
        <w:t>Sazetak</w:t>
      </w:r>
      <w:bookmarkEnd w:id="1"/>
    </w:p>
    <w:p w:rsidR="006968FE" w:rsidRDefault="006968FE" w:rsidP="006968FE">
      <w:r>
        <w:t>Rad postavlja pitanje pod kojim uvjetima kontekst nalaza, a ne sam predmet, nosi arheološku spoznaju. Polazi od toga da se pojam konteksta u struci koristi u trima različitim značenjima koja se rijetko razdvajaju: kao položaj u prostoru, kao odnos prema granicama sloja i drugim nalazima, i kao tumačiteljska konstrukcija koja nastaje u zapisu istraživača. Rasprava ta tri shvaćanja razlučuje po nositelju, jedinici opisa i provjerljivosti, pa ih ispituje kroz stratigrafiju kao zapis relativnoga vremena i kroz formacijske procese koji stoje između prošloga ponašanja i zatečenoga zapisa. Zatim promatra tri razine gubitka konteksta, od zaključka izvedenoga iz samoga oblika predmeta, preko odnosa koji je pri iskopu postojao ali nije zabilježen, do predmeta bez zabilježenoga podrijetla. Četvrto poglavlje razmatra dokumentaciju kao mjesto na kojem kontekst nastaje i kao uvjet ponovljivosti tumačenja. Presuda se izvodi kroz tri kriterija pojmovne održivosti, razlučivost, provjerljivost i plodnost, i glasi da kontekst nosi spoznaju kad je vođen kao odnos, zabilježen s obrazloženjem i procijenjen s obzirom na procese koji su ga oblikovali. Rad je pojmovna rasprava bez vlastitoga terenskog istraživanja i tu granicu izrijekom navodi.</w:t>
      </w:r>
    </w:p>
    <w:p w:rsidR="006968FE" w:rsidRDefault="006968FE" w:rsidP="006968FE">
      <w:r>
        <w:t>Kljucne rijeci: kontekst nalaza, stratigrafija, formacijski procesi, arheološka dokumentacija, provjerljivost tvrdnje</w:t>
      </w:r>
    </w:p>
    <w:p w:rsidR="006968FE" w:rsidRDefault="006968FE" w:rsidP="006968FE">
      <w:pPr>
        <w:pStyle w:val="Heading1"/>
      </w:pPr>
      <w:bookmarkStart w:id="2" w:name="_Toc240189865"/>
      <w:r>
        <w:t>Abstract</w:t>
      </w:r>
      <w:bookmarkEnd w:id="2"/>
    </w:p>
    <w:p w:rsidR="006968FE" w:rsidRDefault="006968FE" w:rsidP="006968FE">
      <w:r>
        <w:t xml:space="preserve">This thesis asks under what conditions the context of a find, rather than the object itself, carries archaeological knowledge. It starts from the observation that the term context is used in three distinct senses that are rarely separated: as a position in space, as a relation to layer boundaries and to other finds, and as an interpretive construction that comes into being in the excavator's record. The discussion distinguishes these three senses by their bearer, by the unit of description they use, and by whether a second researcher can test them, and then examines them through stratigraphy as a record of relative time and through the formation processes that stand between past behaviour and the record that is encountered. The thesis then considers three levels at which context is lost, from inference drawn from the shape of an object alone, through relations that were present during excavation but were never recorded, to objects without recorded provenance. A further chapter treats documentation both as the place where context is produced and as the condition for </w:t>
      </w:r>
      <w:r>
        <w:lastRenderedPageBreak/>
        <w:t>repeatable interpretation. The verdict is derived through three criteria of conceptual viability, discrimination, testability and fruitfulness, and holds that context carries knowledge when it is treated as a relation, recorded together with the reasoning behind it, and assessed against the processes that shaped it. The work is a conceptual discussion without fieldwork of its own, and states that limit explicitly.</w:t>
      </w:r>
    </w:p>
    <w:p w:rsidR="006968FE" w:rsidRDefault="006968FE" w:rsidP="006968FE">
      <w:r>
        <w:t>Keywords: archaeological context, stratigraphy, formation processes, excavation records, verifiability</w:t>
      </w:r>
    </w:p>
    <w:p w:rsidR="006968FE" w:rsidRDefault="006968FE" w:rsidP="006968FE">
      <w:pPr>
        <w:pStyle w:val="Heading1"/>
      </w:pPr>
      <w:bookmarkStart w:id="3" w:name="_Toc240189866"/>
      <w:r>
        <w:t>1. Uvod</w:t>
      </w:r>
      <w:bookmarkEnd w:id="3"/>
    </w:p>
    <w:p w:rsidR="006968FE" w:rsidRDefault="006968FE" w:rsidP="006968FE">
      <w:r>
        <w:t>Arheologija raspolaže predmetima, a pita se o ponašanju koje ih je ostavilo. Između jednoga i drugoga stoji razmak koji nijedan nalaz ne premošćuje sam: keramička posuda, koštano šilo ili ulomak zida ne govore o tome tko ih je, kada i zašto ostavio ondje gdje su nađeni. Taj razmak popunjava kontekst, odnosno skup odnosa nalaza prema sloju u kojem leži, prema drugim nalazima iz istoga sloja i prema granicama koje taj sloj odvajaju od onih iznad i ispod njega (Harris, 1989). Rad polazi od pretpostavke da je upravo taj skup odnosa, a ne svojstvo predmeta, ono što arheološku tvrdnju čini provjerljivom, i da se zbog toga kontekst ne može voditi kao dopuna nalazu. Iz te se pretpostavke izvodi i mjerilo kojim rad prosuđuje pojedine tvrdnje, jer se svaka od njih ocjenjuje prema tome koliko odnosa stoji iza nje.</w:t>
      </w:r>
    </w:p>
    <w:p w:rsidR="006968FE" w:rsidRDefault="006968FE" w:rsidP="006968FE">
      <w:r>
        <w:t>Pitanje koje rad postavlja glasi: pod kojim uvjetima kontekst nalaza nosi arheološku spoznaju, a pod kojima je ni on ne nosi? Pitanje nije retoričko, jer pojam konteksta u struci ne znači jedno. Za jedan dio literature kontekst je mjerljiv položaj u prostoru i vremenu, za drugi je proizvod procesa taloženja koji su djelovali nakon ostavljanja, a za treći je tumačiteljska konstrukcija koja nastaje tek u zapisu istraživača (Schiffer, 1983; Hodder i Hutson, 2003). Stoga je cilj rada ta tri shvaćanja razlučiti, pokazati što svako od njih dopušta zaključiti i odrediti granicu preko koje se pojam rasteže dotle da prestaje išta razlikovati. Razlučivanje nije akademska sitnica, budući da o njemu ovisi hoće li se dvije strane u sporu uopće moći složiti oko toga što bi ih razriješilo.</w:t>
      </w:r>
    </w:p>
    <w:p w:rsidR="006968FE" w:rsidRDefault="006968FE" w:rsidP="006968FE">
      <w:r>
        <w:t xml:space="preserve">Teza rada tvrdi da kontekst nosi spoznaju onda kada je zabilježen kao odnos, a ne kad je zabilježen kao mjesto. Razlika je praktična, ne terminološka. Zapisana koordinata nalaza kaže gdje je predmet ležao, ali sama po sebi ne kaže leži li ondje zato što je ondje ostavljen, zato što je onamo dospio pomicanjem tla ili zato što ga je </w:t>
      </w:r>
      <w:r>
        <w:lastRenderedPageBreak/>
        <w:t>kasniji zahvat premjestio. Odnos prema granicama slojeva i prema drugim nalazima to razlikovanje omogućuje, a položaj bez njega ne omogućuje (Roskams, 2001). Rad će pokazati da se na toj razlici lomi većina sporova o tome koliko pojedini nalaz uopće dokazuje. Sporovi se pritom rijetko vode oko toga je li nalaz nađen, a redovito oko toga što njegovo mjesto svjedoči o ljudima koji su ga ostavili.</w:t>
      </w:r>
    </w:p>
    <w:p w:rsidR="006968FE" w:rsidRDefault="006968FE" w:rsidP="006968FE">
      <w:r>
        <w:t>Premda je rad pojmovna rasprava bez vlastitoga terenskog istraživanja, njegovi su primjeri opisani načelno, a ne kao izvještaj s nalazišta. Drugo poglavlje razlaže pojam konteksta kroz tri shvaćanja, stratigrafiju kao zapis relativnoga vremena i formacijske procese koji stoje između ponašanja i zapisa. Treće poglavlje ispituje što ostaje od spoznaje kad kontekst izostane, na trima razinama gubitka. Četvrto poglavlje razmatra dokumentaciju kao mjesto na kojem kontekst nastaje i kao uvjet ponovljivosti tumačenja. Peto poglavlje sudarom triju perspektiva izvodi kriterije pojmovne održivosti i imenuje ograničenja rasprave, a šesto odgovara na pitanje postavljeno u ovom uvodu. Građa rada su objavljene pojmovne rasprave i priručnici terenske metode, pa se doseg zaključaka drži unutar onoga što se o pojmu može reći bez novih mjerenja.</w:t>
      </w:r>
    </w:p>
    <w:p w:rsidR="006968FE" w:rsidRDefault="006968FE" w:rsidP="006968FE">
      <w:pPr>
        <w:pStyle w:val="Heading1"/>
      </w:pPr>
      <w:bookmarkStart w:id="4" w:name="_Toc240189867"/>
      <w:r>
        <w:t>2. Obrada teme</w:t>
      </w:r>
      <w:bookmarkEnd w:id="4"/>
    </w:p>
    <w:p w:rsidR="006968FE" w:rsidRDefault="006968FE" w:rsidP="006968FE">
      <w:r>
        <w:t>Poglavlje koje slijedi gradi pojmovni okvir u tri koraka i taj je redoslijed obvezujući za ostatak rada. Najprije se pojam konteksta razlaže na tri shvaćanja koja se u literaturi rijetko razdvajaju, iako se razlikuju po nositelju, po jedinici kojom se opisuju i po tome može li ih drugi istraživač provjeriti. Zatim se stratigrafija prikazuje kao zapis relativnoga vremena, dakle kao okvir u kojem kontekst uopće dobiva vremensku dimenziju. Na kraju se uvode formacijski procesi, koji objašnjavaju zašto zapis nikada nije preslik ponašanja nego njegov posredovani trag. Tri shvaćanja konteksta uspoređena su u Tablici 1. Svaki od tih koraka uvodi jedan uvjet koji peto poglavlje poslije koristi kao kriterij, pa se raspored poglavlja poklapa s rasporedom argumenta.</w:t>
      </w:r>
    </w:p>
    <w:p w:rsidR="006968FE" w:rsidRDefault="006968FE" w:rsidP="006968FE">
      <w:pPr>
        <w:pStyle w:val="Heading2"/>
      </w:pPr>
      <w:bookmarkStart w:id="5" w:name="_Toc240189868"/>
      <w:r>
        <w:t>2.1. Kontekst kao pojam</w:t>
      </w:r>
      <w:bookmarkEnd w:id="5"/>
    </w:p>
    <w:p w:rsidR="006968FE" w:rsidRDefault="006968FE" w:rsidP="006968FE">
      <w:r>
        <w:t xml:space="preserve">Najuže shvaćanje izjednačuje kontekst s položajem. Nalaz ima koordinate, dubinu i pripadnost sloju, pa se smatra da je time kontekstualiziran. To shvaćanje ima očitu prednost, jer su podaci mjerljivi, bilježe se jednoobrazno i lako prelaze iz terenske bilježnice u bazu. Ono ipak pretpostavlja ono što bi trebalo dokazati, naime da je </w:t>
      </w:r>
      <w:r>
        <w:lastRenderedPageBreak/>
        <w:t>mjesto nalaza mjesto njegove uporabe ili odlaganja. Predmet koji je skliznuo niz padinu, koji je izvučen ukopom mlađe jame ili koji je dospio u nasip zajedno sa zemljom s drugoga mjesta zadržava uredne koordinate, a izgubio je odnos zbog kojega su te koordinate bile zanimljive (Schiffer, 1987). Položaj je zato nužan, ali sam po sebi nedostatan. Praksa to priznaje i kad teorija ne priznaje, s obzirom na to da se u izvještajima uz koordinatu redovito navodi i ocjena pouzdanosti pripadnosti sloju.</w:t>
      </w:r>
    </w:p>
    <w:p w:rsidR="006968FE" w:rsidRDefault="006968FE" w:rsidP="006968FE">
      <w:r>
        <w:t>Drugo shvaćanje kontekst definira kao odnos. Jedinica opisa više nije točka nego par: nalaz i granica sloja, nalaz i drugi nalaz, sloj i sloj. Pitanje prestaje glasiti gdje je predmet bio, a počinje glasiti što je u odnosu na njega bilo prije, a što poslije. Takav zapis podnosi provjeru, budući da se odnos može opisati na način koji drugi istraživač razumije i osporava, dok se dojam o tome kako je nalazište izgledalo ne može (Harris, 1989). Relacijsko shvaćanje ujedno objašnjava zašto se u praksi bilježe i prazni prostori, ukopi i granice; oni nisu predmeti, a nose upravo one odnose iz kojih se vrijeme izvodi. Ono što se opisuje kao prazno najčešće je granica, a granica je jedini zapis trenutka koji se u sloju ne vidi kao tvar.</w:t>
      </w:r>
    </w:p>
    <w:p w:rsidR="006968FE" w:rsidRDefault="006968FE" w:rsidP="006968FE">
      <w:r>
        <w:t>Treće shvaćanje ide korak dalje i tvrdi da kontekst nije zatečen nego proizveden. Istraživač odlučuje što je sloj, gdje mu je granica i koji su nalazi dovoljno srodni da se vode zajedno, a te odluke nosi znanje koje je donio na teren (Hodder i Hutson, 2003). Iz toga ne slijedi da je svaki opis jednako dobar. Slijedi da opis nosi teoriju, pa se mora zapisati tako da se ta teorija vidi i da se o njoj može raspravljati. Shanks i Tilley (1987) upravo taj korak drže uvjetom ozbiljnosti struke, s obzirom na to da prešućena pretpostavka ostaje izvan dosega kritike, a izrečena u nju ulazi. Zapisana pretpostavka može se odbaciti bez gubitka ostatka dokumentacije, dok se prešućena ruši zajedno sa svime što je na njoj izgrađeno.</w:t>
      </w:r>
    </w:p>
    <w:p w:rsidR="006968FE" w:rsidRDefault="006968FE" w:rsidP="006968FE">
      <w:r>
        <w:t xml:space="preserve">Tri shvaćanja nisu tri razine točnosti nego tri različita predmeta opisa, i miješaju se lakše nego što se čini. Rasprava u kojoj jedna strana kontekstom naziva koordinatu, a druga tumačiteljsku odluku, ne može se razriješiti dodavanjem podataka, jer se strane ne spore oko podatka. Rad u nastavku pojam vodi u relacijskom smislu, a druga dva zadržava kao rubove: položaj kao donji rub bez kojega nema ni odnosa, a tumačiteljsku konstrukciju kao gornji rub koji podsjeća da je i odnos netko zapisao. Lucas (2012) istu podjelu izvodi iz povijesti terenske prakse, a ne iz teorijske </w:t>
      </w:r>
      <w:r>
        <w:lastRenderedPageBreak/>
        <w:t>rasprave. Terenski obrasci u praksi miješaju sva tri sloja, pa razdvajanje koje rad provodi služi prosudbi tvrdnji, a ne opisu načina na koji se bilježi.</w:t>
      </w:r>
    </w:p>
    <w:p w:rsidR="006968FE" w:rsidRDefault="006968FE" w:rsidP="006968FE">
      <w:pPr>
        <w:pStyle w:val="Heading2"/>
      </w:pPr>
      <w:bookmarkStart w:id="6" w:name="_Toc240189869"/>
      <w:r>
        <w:t>2.2. Stratigrafija kao vremenski zapis</w:t>
      </w:r>
      <w:bookmarkEnd w:id="6"/>
    </w:p>
    <w:p w:rsidR="006968FE" w:rsidRDefault="006968FE" w:rsidP="006968FE">
      <w:r>
        <w:t>Stratigrafija je okvir u kojem kontekst dobiva vrijeme. Sloj nastaje zahvatom ili procesom koji je trajao, a granica između dvaju slojeva bilježi trenutak u kojem je jedan proces prestao ili je drugi počeo. Iz tog jednostavnog uvida slijedi cijeli aparat relativnoga datiranja: nalaz iz donjega sloja stariji je od nalaza iz gornjega, ne zato što je predmet stariji, nego zato što je taloženje koje ga je zatrpalo ranije (Harris, 1989). Razlika je bitna, zato što se njome razdvaja starost predmeta od starosti njegova odlaganja, a upravo se to dvoje u raspravama najčešće zamjenjuje. Predmet može biti naslijeđen, čuvan ili ponovno upotrijebljen, pa u mlađi sloj ulazi noseći vlastitu, stariju povijest. Vremenski slijed koji se tako dobiva ne daje godine nego poredak, a upravo poredak nosi većinu tvrdnji o tome što je čemu prethodilo.</w:t>
      </w:r>
    </w:p>
    <w:p w:rsidR="006968FE" w:rsidRDefault="006968FE" w:rsidP="006968FE">
      <w:r>
        <w:t>Harrisova matrica taj odnos izvlači iz slike terena i pretvara ga u dijagram. Nacrt profila prikazuje kako je nešto izgledalo, a matrica prikazuje što je od čega starije, bez obzira na to koliko je sloj debeo ili koliko se prostire. Prijelaz je važan jer oslobađa zaključivanje od dojma; dva sloja koja na fotografiji izgledaju slično mogu u matrici stajati na različitim granama, a debeo nasip i tanka spaljena crta imaju istu težinu ako su oboje jedan događaj (Harris, 1989). Roskams (2001) naglašava da se matrica zato ne crta na kraju iskopa nego tijekom njega, jer se odnosi vide dok se slojevi uklanjaju, a poslije se rekonstruiraju po sjećanju. Dijagram pritom ne zamjenjuje opis sloja nego ga pretpostavlja, jer se odnos može upisati samo ondje gdje je najprije odlučeno što se broji kao jedinica.</w:t>
      </w:r>
    </w:p>
    <w:p w:rsidR="006968FE" w:rsidRDefault="006968FE" w:rsidP="006968FE">
      <w:r>
        <w:t xml:space="preserve">Iskop je čitanje toga zapisa unatrag. Uklanja se najmlađe, pa se prema dolje otkriva ono starije, a svaki uklonjeni sloj prestaje postojati kao provjerljiva činjenica i ostaje samo u onome što je o njemu zabilježeno. Barker (1993) tu nepovratnost drži glavnim razlogom zbog kojega je terenska metoda pitanje odgovornosti, a ne samo tehnike. Zapis koji nastaje u tom trenutku jedini je oblik u kojem će odnos preživjeti, pa svaka prečica u bilježenju trajno smanjuje ono što se poslije može tvrditi. Onaj tko kopa brže nego što bilježi ne skraćuje posao nego ga uništava, a šteta se primijeti tek kad netko postavi pitanje koje zapis ne može podnijeti. Zapis je zato jedina kopija, a </w:t>
      </w:r>
      <w:r>
        <w:lastRenderedPageBreak/>
        <w:t>rad s jedinom kopijom traži postupke kakvi su u drugim strukama rezervirani za nezamjenjivu građu.</w:t>
      </w:r>
    </w:p>
    <w:p w:rsidR="006968FE" w:rsidRDefault="006968FE" w:rsidP="006968FE">
      <w:r>
        <w:t>Stratigrafski zapis ipak ne rješava sve. Nalazište u kojem je taloženje tanko, u kojem su slojevi izmiješani oranjem ili u kojem su kasniji ukopi presjekli starije cjeline daje odnose koji su stvarni, ali malobrojni, pa se iz njih izvodi manje nego što bi se htjelo. Carver (2009) upozorava da se u takvim slučajevima pritisak premješta na nalaz, koji tada treba dokazati ono što stratigrafija ne može, i da odatle nastaju najslabije tvrdnje u izvještajima. Poštena reakcija nije jača tvrdnja nego uža, dakle opisati što je odnos dopustio zaključiti pa jasno reći gdje prestaje. Odnos ponašanja, procesa taloženja i nastaloga zapisa prikazan je na Slici 1. Uža tvrdnja pritom nije slabiji rezultat, jer izvještaj koji svoje granice imenuje ostaje upotrebljiv i onda kad se tumačenje promijeni.</w:t>
      </w:r>
    </w:p>
    <w:p w:rsidR="006968FE" w:rsidRDefault="006968FE" w:rsidP="006968FE">
      <w:pPr>
        <w:pStyle w:val="Heading2"/>
      </w:pPr>
      <w:bookmarkStart w:id="7" w:name="_Toc240189870"/>
      <w:r>
        <w:t>2.3. Formacijski procesi između ponašanja i zapisa</w:t>
      </w:r>
      <w:bookmarkEnd w:id="7"/>
    </w:p>
    <w:p w:rsidR="006968FE" w:rsidRDefault="006968FE" w:rsidP="006968FE">
      <w:r>
        <w:t>Između ponašanja koje je nešto ostavilo i zapisa koji arheolog zatekne djeluju procesi koje Schiffer (1983) naziva formacijskima. Jedni su kulturni, poput čišćenja, popravljanja, ponovne uporabe, namjernoga zakapanja i kasnijega kopanja. Drugi su prirodni, poput propadanja organskoga materijala, pomicanja tla, djelovanja vode, životinja i korijenja. Zajedničko im je da su djelovali nakon trenutka koji istraživača zanima i da su trag preoblikovali prema vlastitim pravilima. Zapis je zbog toga rezultat dvaju nizova događaja, a ne samo prvoga. Tumačenje koje na to zaboravi čita razmještaj nalaza kao snimku zatečenoga stanja, iako je razmještaj prošao kroz sve što se dogodilo poslije (Schiffer, 1987). Razlikovanje dvaju nizova nije uvijek moguće, ali se pitanje mora postaviti, jer se bez njega razmještaj čita kao namjera onoga tko ga je ostavio.</w:t>
      </w:r>
    </w:p>
    <w:p w:rsidR="006968FE" w:rsidRDefault="006968FE" w:rsidP="006968FE">
      <w:r>
        <w:t xml:space="preserve">Binford (1981) je tu pogrešku imenovao raspravom o pretpostavci zatečenoga trenutka: nalazište se čita kao da je vrijeme u njemu stalo i kao da je svaki predmet ostao ondje gdje je pao. Takva mjesta postoje, ali su rijetka i nastaju naglim događajem koji je zaustavio uobičajene procese. Redovno je stanje drukčije, jer se prostor koji se koristio desetljećima čistio, pregrađivao i pri napuštanju praznio, pa je ono što ostaje bliže talogu duge uporabe nego slici jednoga dana. Zaključak o namjeni prostora zato traži argument o tome koji je dio razmještaja nastao uporabom, </w:t>
      </w:r>
      <w:r>
        <w:lastRenderedPageBreak/>
        <w:t>a koji napuštanjem, i taj argument mora biti izgovoren. Grobovi, ostave i otpadne jame često se čitaju kao zatvorene cjeline, iako su i oni prošli kroz kasnije zahvate.</w:t>
      </w:r>
    </w:p>
    <w:p w:rsidR="006968FE" w:rsidRDefault="006968FE" w:rsidP="006968FE">
      <w:r>
        <w:t>Formacijski pristup ne obara pojam konteksta nego mu zadaje uvjet. Odnos zabilježen na terenu ostaje činjenica, ali ne znači ono što se na prvi pogled čini da znači dok se ne procijeni što ga je oblikovalo. Praktično to znači da opis nalaza traži i opis sloja, dakle odgovor na pitanje je li sloj nastao taloženjem na mjestu, nanošenjem izvana, urušavanjem ili zasipavanjem. Ta se procjena radi na terenu, jer se poslije ne može. Kad izostane, rad ostaje s odnosom kojemu ne zna težinu, pa ga u raspravi brani opisom predmeta i time se vraća na shvaćanje koje je ovo poglavlje odbacilo kao nedostatno. Procjena ne mora biti sigurna da bi bila korisna, jer i zabilježena dvojba čitatelju kaže više nego izostanak svakoga suda o postanku sloja.</w:t>
      </w:r>
    </w:p>
    <w:p w:rsidR="006968FE" w:rsidRDefault="006968FE" w:rsidP="006968FE">
      <w:pPr>
        <w:pStyle w:val="Heading1"/>
      </w:pPr>
      <w:bookmarkStart w:id="8" w:name="_Toc240189871"/>
      <w:r>
        <w:t>3. Predmet bez konteksta</w:t>
      </w:r>
      <w:bookmarkEnd w:id="8"/>
    </w:p>
    <w:p w:rsidR="006968FE" w:rsidRDefault="006968FE" w:rsidP="006968FE">
      <w:r>
        <w:t>Vrijednost pojma najbolje se vidi ondje gdje ga nema, pa poglavlje koje slijedi ispituje tri razine gubitka konteksta i pita što na svakoj od njih ostaje od mogućnosti zaključivanja. Prva je razina zaključak izveden iz oblika predmeta, dakle iz obilježja koja predmet nosi sam. Druga je gubitak nastao pri iskopu, kad je odnos postojao, ali nije zabilježen, a treća je predmet bez zabilježenoga podrijetla, koji u struku ulazi iz stare zbirke, iz otkupa ili kao slučajan nalaz. Razine gubitka i ono što se na svakoj gubi sažeti su u Tablici 2, a poglavlje ih razlaže istim redom. Tri razine nisu stupnjevi iste pojave nego različiti gubici, pa svaka od njih traži i drukčiju ogradu u načinu na koji se tvrdnja iznosi.</w:t>
      </w:r>
    </w:p>
    <w:p w:rsidR="006968FE" w:rsidRDefault="006968FE" w:rsidP="006968FE">
      <w:pPr>
        <w:pStyle w:val="Heading2"/>
      </w:pPr>
      <w:bookmarkStart w:id="9" w:name="_Toc240189872"/>
      <w:r>
        <w:t>3.1. Tipologija i dosezi zaključka iz oblika</w:t>
      </w:r>
      <w:bookmarkEnd w:id="9"/>
    </w:p>
    <w:p w:rsidR="006968FE" w:rsidRDefault="006968FE" w:rsidP="006968FE">
      <w:r>
        <w:t xml:space="preserve">Oblik predmeta nosi podatke i bez konteksta, s obzirom na to da tehnika izrade, sirovina, ukras i mjere dopuštaju da se predmet svrsta u skupinu i usporedi s drugima, a takve su usporedbe temelj tipologije (Clarke, 1968). Iz tipologije se izvodi i okvirna starost, jer se obrasci izrade mijenjaju, pa se raspored obilježja veže uz razdoblje. Doseg toga zaključka ipak je uži nego što izgleda, budući da tipologija kaže na što predmet nalikuje, a ne kad je i gdje upotrijebljen; predmet može biti star pri odlaganju, može biti donesen izdaleka i može biti izrađen po starijem obrascu. Trigger (2006) pokazuje da su takvi zaključci u povijesti struke redovito bili čvršći u izlaganju nego u samoj građi. Usporedba s drugim predmetima ostaje moguća i </w:t>
      </w:r>
      <w:r>
        <w:lastRenderedPageBreak/>
        <w:t>korisna, ali ona govori o srodnosti izrade, a ne o tome što se na nekome mjestu događalo.</w:t>
      </w:r>
    </w:p>
    <w:p w:rsidR="006968FE" w:rsidRDefault="006968FE" w:rsidP="006968FE">
      <w:r>
        <w:t>Childe (1956) je razliku formulirao kao razliku između onoga što se o predmetu zna i onoga što se preko njega tvrdi o ljudima. Prvo je opis, drugo je zaključak, a prijelaz između njih traži dodatnu pretpostavku. Kad kontekst postoji, ta se pretpostavka može ispitati, jer se pojavljivanje istoga tipa u slojevima razvrstanima odnosom oslanja na uporište neovisno o samome obliku. Kad konteksta nema, pretpostavka ostaje neprovjerena, pa se tipologija sama sobom potvrđuje. Tako nastaje zaključivanje u krug, u kojem skupina definirana oblikom postaje dokaz za tvrdnju o vremenu, a ta tvrdnja zatim opravdava skupinu. Krug nije nevidljiv, ali ga je teško prekinuti iznutra, jer se svaki novi predmet u njega uklapa. Izlaz iz kruga dolazi izvana, iz odnosa ili iz neovisne analize, pa se snaga tipologije mjeri time koliko je takvih vanjskih uporišta uz nju.</w:t>
      </w:r>
    </w:p>
    <w:p w:rsidR="006968FE" w:rsidRDefault="006968FE" w:rsidP="006968FE">
      <w:r>
        <w:t>Iz toga ne slijedi da je tipologija slaba metoda, nego da je ona mreža za razvrstavanje, a ne dokaz o ponašanju, i da joj se doseg mjeri time koliko je neovisnih izvora potvrde uz nju. Renfrew i Bahn (2016) zato tipološko datiranje vode kao okvirno, a ne kao mjerenje, i traže da se uz njega navede na čemu počiva. Rad ovdje izvodi prvu posljedicu svoje teze: kontekst nije dodatak tipologiji nego uvjet pod kojim tipološki zaključak prestaje biti kružan. Ondje gdje odnos postoji, oblik postaje argument; ondje gdje ga nema, oblik ostaje opis. Razlika se ne vidi u samome predmetu, nego u onome što o njemu stoji zapisano. Rečenica se čita različito ovisno o tome je li iza nje odnos ili samo oblik, a čitatelj tu razliku može vidjeti jedino ako je zapisana.</w:t>
      </w:r>
    </w:p>
    <w:p w:rsidR="006968FE" w:rsidRDefault="006968FE" w:rsidP="006968FE">
      <w:pPr>
        <w:pStyle w:val="Heading2"/>
      </w:pPr>
      <w:bookmarkStart w:id="10" w:name="_Toc240189873"/>
      <w:r>
        <w:t>3.2. Gubitak konteksta pri iskopu</w:t>
      </w:r>
      <w:bookmarkEnd w:id="10"/>
    </w:p>
    <w:p w:rsidR="006968FE" w:rsidRDefault="006968FE" w:rsidP="006968FE">
      <w:r>
        <w:t xml:space="preserve">Druga razina gubitka nastaje ondje gdje je odnos postojao i bio dostupan, ali nije zabilježen. Iskop je nepovratan, pa zapisano i nezapisano nakon njega više nisu dvije vrste podatka nego podatak i njegova odsutnost (Barker, 1993). Praktični su oblici toga gubitka poznati, od uklanjanja slojeva u proizvoljnim otkopnim slojevima umjesto po granicama, preko pripisivanja nalaza cjelini krupnijoj od one u kojoj su ležali, do izostanka zapisa o tome kako je granica prepoznata. Nijedan od tih postupaka ne proizvodi vidljivu prazninu u dokumentaciji, pa izvještaj izgleda potpuno, tablice su popunjene, a odnos koji bi razdvojio dva tumačenja jednostavno </w:t>
      </w:r>
      <w:r>
        <w:lastRenderedPageBreak/>
        <w:t>nigdje nije zapisan. Popunjena tablica pritom djeluje uvjerljivije od bilješke o dvojbi, pa se uredan izgled dokumentacije lako zamijeni za njezinu potpunost.</w:t>
      </w:r>
    </w:p>
    <w:p w:rsidR="006968FE" w:rsidRDefault="006968FE" w:rsidP="006968FE">
      <w:r>
        <w:t>Razlika između nezabilježenoga i nepostojećega odnosa temeljna je za ocjenu tvrdnje. Nezabilježen odnos je gubitak podatka, a nepostojeći je činjenica o nalazištu, i prvo se ne smije čitati kao drugo. Roskams (2001) traži da izvještaj izrijekom razlikuje ta dva stanja, jer čitatelj inače ne može procijeniti je li izostanak dokaza dokaz izostanka. Ista obveza vrijedi za negativne nalaze, pa je sloj bez nalaza nalaz ako je uklonjen i pregledan jednako pažljivo kao i sloj s njima. Kad se ta obveza ne poštuje, rasprava se svodi na povjerenje u istraživača, a to je stanje koje pojam konteksta upravo treba ukloniti. Povjerenje nije provjera i ne prenosi se na sljedeći rad. Obveza vrijedi i za sitnice, jer se u njima razlikuje sloj koji je pregledan bez nalaza od sloja koji nitko nije stigao pregledati.</w:t>
      </w:r>
    </w:p>
    <w:p w:rsidR="006968FE" w:rsidRDefault="006968FE" w:rsidP="006968FE">
      <w:r>
        <w:t>Carver (2009) zato terenski projekt opisuje kao odluku o tome što će se htjeti moći tvrditi. Pitanja se postavljaju prije iskopa, a metoda se bira prema njima, jer se razina zapisa ne može naknadno podići. Takvo planiranje ne sužava istraživanje nego ga čini provjerljivim, budući da se unaprijed zna koji bi nalaz koju tvrdnju osporio. Suprotan postupak, u kojem se kopa pa se poslije traži što se iz iskopanoga može reći, redovito završava tvrdnjama koje se oslanjaju na ono što je slučajno dobro zabilježeno, a slučaj je loš kriterij odabira zato što se ne ponavlja. Lanac od iskopa preko zapisa do tvrdnje u radu prikazan je na Slici 2. Pitanja se smiju mijenjati tijekom istraživanja, ali se razina zapisa mora držati one koju traži najzahtjevnije među njima.</w:t>
      </w:r>
    </w:p>
    <w:p w:rsidR="006968FE" w:rsidRDefault="006968FE" w:rsidP="006968FE">
      <w:pPr>
        <w:pStyle w:val="Heading2"/>
      </w:pPr>
      <w:bookmarkStart w:id="11" w:name="_Toc240189874"/>
      <w:r>
        <w:t>3.3. Zbirke bez podrijetla</w:t>
      </w:r>
      <w:bookmarkEnd w:id="11"/>
    </w:p>
    <w:p w:rsidR="006968FE" w:rsidRDefault="006968FE" w:rsidP="006968FE">
      <w:r>
        <w:t xml:space="preserve">Treća je razina gubitka najoštrija, jer predmet dolazi bez ikakva zapisa o mjestu i okolnostima nalaza. Takvi predmeti ulaze u struku iz starih zbirki, iz otkupa, iz slučajnih nalaza i iz nezakonitoga kopanja. Renfrew i Bahn (2016) ističu da se u tom slučaju ne gubi samo podatak o jednom predmetu, nego i odnosi koje bi taj predmet imao prema svemu ostalome što je s njim ležalo, a to je gubitak koji se ne da nadoknaditi nikakvom kasnijom analizom. Predmet ostaje, cjelina nestaje, a ono što se o njemu još može reći svodi se na ono što nosi u sebi, dakle na sirovinu, tehniku, oblik i tragove uporabe, dok sve ostalo postaje nagađanje koje ničim nije ograničeno. </w:t>
      </w:r>
      <w:r>
        <w:lastRenderedPageBreak/>
        <w:t>Gubitak se ne mjeri brojem predmeta nego brojem odnosa, pa jedna dobro zabilježena cjelina nosi više od zbirke bez ijednoga podatka o nalazu.</w:t>
      </w:r>
    </w:p>
    <w:p w:rsidR="006968FE" w:rsidRDefault="006968FE" w:rsidP="006968FE">
      <w:r>
        <w:t>Iz toga ne slijedi da je takav predmet bezvrijedan, budući da analiza sirovine može pokazati podrijetlo materijala, tragovi uporabe mogu pokazati kako je predmet korišten, a usporedba s dobro dokumentiranim nalazima može mu dati okvirno mjesto u slijedu. Olsen (2010) upozorava da odbacivanje takvih predmeta zapravo pretpostavlja da je vrijednost stvari isključivo u onome što o njima možemo tvrditi, a ne u njima samima. Rad tu primjedbu prihvaća u ograničenom opsegu: predmet bez podrijetla ostaje izvor podataka o sebi, ali prestaje biti dokaz o ponašanju na nekome mjestu u nekom vremenu. Ta se granica u izlaganju lako prijeđe, jer je razlika među tim dvjema ulogama u rečenici jedva vidljiva. Razlika se vidi već u načinu na koji se takav predmet uvodi, jer ga jedna rečenica smješta u razdoblje, a druga tek u skupinu srodnih oblika.</w:t>
      </w:r>
    </w:p>
    <w:p w:rsidR="006968FE" w:rsidRDefault="006968FE" w:rsidP="006968FE">
      <w:r>
        <w:t>Praktična se posljedica tiče načina pisanja, utoliko što tvrdnja izvedena iz predmeta bez podrijetla mora nositi tu ogradu na mjestu na kojem se iznosi, a ne u napomeni na kraju poglavlja, jer čitatelj inače nema kako razlikovati dvije tvrdnje koje izgledaju jednako čvrsto. Trigger (2006) pokazuje da su velike sinteze u povijesti struke redovito miješale građu različite dokazne težine i da se pogreška prenosila dalje jer se u prijepisu ograda gubila prva, a ograda koja se ne ponavlja uz tvrdnju zapravo ne postoji. Rad zato razliku vodi kao pitanje oblika izlaganja, a ne samo kao pitanje metode, i na njoj gradi prijelaz prema poglavlju o dokumentaciji. Ograda uz tvrdnju košta jednu rečenicu, a njezin izostanak košta povjerenje u sve ostale tvrdnje istoga rada.</w:t>
      </w:r>
    </w:p>
    <w:p w:rsidR="006968FE" w:rsidRDefault="006968FE" w:rsidP="006968FE">
      <w:pPr>
        <w:pStyle w:val="Heading1"/>
      </w:pPr>
      <w:bookmarkStart w:id="12" w:name="_Toc240189875"/>
      <w:r>
        <w:t>4. Zapis kao posrednik</w:t>
      </w:r>
      <w:bookmarkEnd w:id="12"/>
    </w:p>
    <w:p w:rsidR="006968FE" w:rsidRDefault="006968FE" w:rsidP="006968FE">
      <w:r>
        <w:t xml:space="preserve">Dosadašnja su poglavlja pokazala da kontekst nosi spoznaju samo ako je zabilježen, čime se težište seli s nalazišta na zapis, a taj premještaj traži vlastitu raspravu. Poglavlje koje slijedi razmatra dvije strane te činjenice, od kojih je prva da zapis nije snimka nego odabir, pa oblik obrasca i navika bilježenja ulaze u ono što će poslije vrijediti kao podatak. Druga je da zapis postoji radi ponovljivosti, dakle radi toga da netko drugi može doći do istoga ili do obrazloženo drukčijega zaključka. Te dvije strane stoje u napetosti, jer odabir unosi istraživača, a ponovljivost traži da se njegov </w:t>
      </w:r>
      <w:r>
        <w:lastRenderedPageBreak/>
        <w:t>udio može razabrati. Napetost se ne uklanja nego se vodi, i to tako da se odabir zapiše zajedno s podatkom umjesto da se sakrije iza uredna obrasca.</w:t>
      </w:r>
    </w:p>
    <w:p w:rsidR="006968FE" w:rsidRDefault="006968FE" w:rsidP="006968FE">
      <w:pPr>
        <w:pStyle w:val="Heading2"/>
      </w:pPr>
      <w:bookmarkStart w:id="13" w:name="_Toc240189876"/>
      <w:r>
        <w:t>4.1. Dokumentacija kao konstrukcija konteksta</w:t>
      </w:r>
      <w:bookmarkEnd w:id="13"/>
    </w:p>
    <w:p w:rsidR="006968FE" w:rsidRDefault="006968FE" w:rsidP="006968FE">
      <w:r>
        <w:t>Hodder (1999) opisuje terenski zapis kao mjesto na kojem tumačenje počinje, a ne završava. Odluka o tome gdje prestaje jedan sloj, je li neka promjena boje granica ili prijelaz i pripadaju li dva ulomka istoj cjelini donosi se u trenutku uklanjanja, na temelju onoga što se vidi i onoga što se očekuje vidjeti. Obrazac koji istraživač popunjava pritom nije neutralan, jer se bilježi ono za što polje postoji, dok ono za što polja nema izostaje ili završava u napomeni koju nitko poslije ne pretražuje, pa oblik zapisa tiho odlučuje o tome koja će pitanja poslije biti moguća. Promjena obrasca između dviju sezona istoga projekta dovoljna je da se dva dijela iste građe više ne mogu izravno uspoređivati. Fotografija i nacrt također su odabir, jer prikazuju ono što je istraživač u tom trenutku držao vrijednim zabilježiti.</w:t>
      </w:r>
    </w:p>
    <w:p w:rsidR="006968FE" w:rsidRDefault="006968FE" w:rsidP="006968FE">
      <w:r>
        <w:t>Lucas (2012) tu činjenicu ne uzima kao prigovor nego kao opis, budući da zapis nastaje pod nekim pojmovnim okvirom i bilježenja bez odabira nema, pa pitanje nije kako odabir ukloniti, nego kako ga učiniti vidljivim. Vidljiv je onda kada je uz podatak zapisano i na temelju čega je donesen, dakle koja je pojava prepoznata kao granica, kolika je bila sigurnost i što je ostalo dvojbeno. Takav zapis dopušta kasnijem čitatelju da odluku prihvati ili odbaci, dok zapis koji nosi samo ishod ne dopušta ni jedno ni drugo. Shanks i Tilley (1987) isto načelo formuliraju kao zahtjev da se teorijski uložak izgovori, a ne pretpostavi. Zapisana sigurnost opažanja nije priznanje slabosti nego podatak, i to podatak koji se u kasnijoj obradi može usporediti među zapisivačima.</w:t>
      </w:r>
    </w:p>
    <w:p w:rsidR="006968FE" w:rsidRDefault="006968FE" w:rsidP="006968FE">
      <w:r>
        <w:t xml:space="preserve">Iz toga slijedi mjerilo za dokumentaciju koje se razlikuje od uobičajenoga, prema kojem dobra dokumentacija nije ona koja sadrži najviše podataka, nego ona iz koje se vidi kako je do podatka došlo. Opsežna baza s tisućama zapisa bez bilješke o sigurnosti opažanja daje dojam potpunosti, a ne daje osnovu za osporavanje. Kraći zapis koji uz svaku granicu navodi po čemu je prepoznata i koliko je pouzdana omogućuje raspravu, pa time i napredak. Razlika je ista ona koju je drugo poglavlje uvelo između položaja i odnosa, samo premještena s nalazišta na papir. Kontekst se, drugim riječima, ne bilježi time što se opiše, nego time što se učini provjerljivim. </w:t>
      </w:r>
      <w:r>
        <w:lastRenderedPageBreak/>
        <w:t>Mjerilo je ujedno provedivo, jer se zahtjev za bilješkom o sigurnosti ispunjava na terenu u nekoliko riječi, a poslije se ne može nadoknaditi.</w:t>
      </w:r>
    </w:p>
    <w:p w:rsidR="006968FE" w:rsidRDefault="006968FE" w:rsidP="006968FE">
      <w:pPr>
        <w:pStyle w:val="Heading2"/>
      </w:pPr>
      <w:bookmarkStart w:id="14" w:name="_Toc240189877"/>
      <w:r>
        <w:t>4.2. Ponovljivost tumačenja</w:t>
      </w:r>
      <w:bookmarkEnd w:id="14"/>
    </w:p>
    <w:p w:rsidR="006968FE" w:rsidRDefault="006968FE" w:rsidP="006968FE">
      <w:r>
        <w:t>Ponovljivost u arheologiji ne znači ponavljanje zahvata, s obzirom na to da se iskop ne može izvesti dvaput, pa se ne može ni provjeriti tako da ga netko ponovi (Roskams, 2001). Ono što se može ponoviti jest put od zapisa do zaključka, dakle postupak u kojem drugi istraživač uzima istu dokumentaciju, prolazi kroz iste korake i utvrđuje vodi li ona do iste tvrdnje. Provjera se time seli s terena na obrazloženje, a uvjet joj je da obrazloženje bude potpuno. Tvrdnja koja se oslanja na dojam stečen na terenu taj uvjet ne ispunjava, koliko god bila točna, jer čitatelj nema pristup dojmu nego samo zapisu. Odatle slijedi da je objavljena dokumentacija dio rezultata, a ne prilog uz njega, i da se prema njoj mjeri koliko je istraživanje provjerljivo.</w:t>
      </w:r>
    </w:p>
    <w:p w:rsidR="006968FE" w:rsidRDefault="006968FE" w:rsidP="006968FE">
      <w:r>
        <w:t>Wylie (2002) pokazuje da snaga arheološkoga zaključka raste s brojem neovisnih linija koje ga potvrđuju. Stratigrafski odnos, sastav sloja, tipološka usporedba i podatak iz prirodoslovne analize nastaju različitim postupcima i podliježu različitim pogreškama, pa njihovo podudaranje nije zbroj nego provjera. Kad se linije razilaze, razilaženje je nalaz koji traži objašnjenje, a ne smetnja koju treba ukloniti odabirom povoljnije. Kontekst je pritom mjesto na kojem se linije susreću, jer daje okvir u kojem se njihovi ishodi uopće mogu usporediti. Bez njega svaka linija govori o nečem drugom i podudaranje ne znači ništa, zbog čega se broj podataka i snaga argumenta ne mijenjaju istim tempom. Neovisnost linija mora biti stvarna, jer dvije analize koje počivaju na istoj pretpostavci ne potvrđuju jedna drugu nego je samo ponavljaju.</w:t>
      </w:r>
    </w:p>
    <w:p w:rsidR="006968FE" w:rsidRDefault="006968FE" w:rsidP="006968FE">
      <w:r>
        <w:t>Carver (2009) iz istoga izvodi obvezu da se građa objavi u obliku koji dopušta neovisnu obradu, a ne samo u obliku gotovoga tumačenja. Izvještaj koji donosi zaključke bez građe traži da mu se vjeruje, dok izvještaj koji donosi građu s obrazloženjem traži da ga se provjeri. Razlika se vidi tek kad se pojavi suprotstavljeno tumačenje, a tada je za dopunu obično prekasno. Rad zato ponovljivost vodi kao treći kriterij u raspravi koja slijedi, uz razlučivost i provjerljivost, i drži je najzahtjevnijim od njih, jer je jedina koja obvezuje i nakon što je posao naizgled gotov. Njezina se cijena plaća pri pisanju, a korist pokazuje mnogo poslije. Obveza ne traži da se odustane od tumačenja, nego da tumačenje i građa budu razdvojeni tako da ih čitatelj može ocjenjivati zasebno.</w:t>
      </w:r>
    </w:p>
    <w:p w:rsidR="006968FE" w:rsidRDefault="006968FE" w:rsidP="006968FE">
      <w:pPr>
        <w:pStyle w:val="Heading1"/>
      </w:pPr>
      <w:bookmarkStart w:id="15" w:name="_Toc240189878"/>
      <w:r>
        <w:lastRenderedPageBreak/>
        <w:t>5. Rasprava: kada kontekst nosi spoznaju</w:t>
      </w:r>
      <w:bookmarkEnd w:id="15"/>
    </w:p>
    <w:p w:rsidR="006968FE" w:rsidRDefault="006968FE" w:rsidP="006968FE">
      <w:r>
        <w:t>Rasprava sudara tri perspektive uvedene u drugom poglavlju i pita koja od njih, i pod kojim uvjetom, podnosi teret spoznaje. Sud se ne donosi po tome koja je perspektiva najšira, nego po tome koja daje pojam s kojim se može raditi. Za to su potrebni kriteriji, budući da bi inače presuda bila stvar sklonosti. Rad u nastavku uvodi tri kriterija: razlučivost, provjerljivost i plodnost. Prvi pita razlikuje li pojam slučajeve koji se trebaju razlikovati, drugi pita može li se tvrdnja izvedena iz njega osporiti, a treći pita vodi li pojam do pitanja koja bez njega ne bi bila postavljena. Kriteriji se primjenjuju na sva tri shvaćanja jednako, pa ishod ne ovisi o tome koje je od njih rad uveo prvo ni koliko mu je prostora dao.</w:t>
      </w:r>
    </w:p>
    <w:p w:rsidR="006968FE" w:rsidRDefault="006968FE" w:rsidP="006968FE">
      <w:pPr>
        <w:pStyle w:val="Heading2"/>
      </w:pPr>
      <w:bookmarkStart w:id="16" w:name="_Toc240189879"/>
      <w:r>
        <w:t>5.1. Tri kriterija pojmovne održivosti</w:t>
      </w:r>
      <w:bookmarkEnd w:id="16"/>
    </w:p>
    <w:p w:rsidR="006968FE" w:rsidRDefault="006968FE" w:rsidP="006968FE">
      <w:r>
        <w:t>Po kriteriju razlučivosti najuže shvaćanje prolazi najslabije. Ako je kontekst položaj, tada predmet ostavljen na mjestu uporabe i predmet nanesen vodom s druge strane nalazišta dijele isti opis, a to su slučajevi koje bi ozbiljan zaključak morao razdvojiti (Schiffer, 1983). Relacijsko ih shvaćanje razdvaja, jer odnos prema granicama sloja i prema drugim nalazima u istom sloju nije isti u tim dvama slučajevima. Tumačiteljsko shvaćanje razlikuje i više, ali razliku smješta u obrazloženje istraživača, pa je razlučivost ovisna o tome koliko je obrazloženje razrađeno. Prvi kriterij zato govori u prilog drugome shvaćanju, uz uvjet da treće ostane kao korektiv. Korektiv pritom nije ukras, jer se odluka o granici sloja donosi i onda kad se o njoj ne piše, pa je bolje da bude izrečena.</w:t>
      </w:r>
    </w:p>
    <w:p w:rsidR="006968FE" w:rsidRDefault="006968FE" w:rsidP="006968FE">
      <w:r>
        <w:t>Kriterij provjerljivosti daje sličan ishod drugim putem. Tvrdnja izvedena iz položaja teško se osporava, zato što se položaj rijetko dovodi u pitanje, ali se iz njega i ne izvodi mnogo. Tvrdnja izvedena iz odnosa osporava se lako i to je njezina prednost, budući da je dovoljno pokazati da granica nije ondje gdje je zapisana ili da nalaz pripada drugoj cjelini. Tvrdnja izvedena iz tumačiteljske konstrukcije osporava se samo ako je konstrukcija izgovorena, a ako nije, rasprava se vodi o autoritetu umjesto o građi. Hodder i Hutson (2003) zato zahtjev za izgovorenom pretpostavkom smatraju dijelom metode, a ne filozofskim dodatkom. Lako osporiva tvrdnja je zato jača, a ne slabija, budući da je preživjela mogućnost da bude pokazana pogrešnom.</w:t>
      </w:r>
    </w:p>
    <w:p w:rsidR="006968FE" w:rsidRDefault="006968FE" w:rsidP="006968FE">
      <w:r>
        <w:t xml:space="preserve">Treći kriterij, plodnost, mjeri vodi li pojam do novih pitanja. Relacijsko ih shvaćanje otvara izravno, jer čim se kontekst vodi kao odnos, postaje smisleno pitati kako je </w:t>
      </w:r>
      <w:r>
        <w:lastRenderedPageBreak/>
        <w:t>odnos nastao, što ga je poremetilo i koliko je pouzdano prepoznat, a to su upravo pitanja formacijskih procesa i dokumentacije kojima su se bavila prethodna poglavlja. Binford (1962) je isti potez opisao kao prijelaz s opisa na objašnjenje. Zbroj triju kriterija daje presudu koju rad zastupa: kontekst nosi spoznaju kad je vođen kao odnos, zabilježen s obrazloženjem i procijenjen s obzirom na procese koji su ga oblikovali. Nijedan od tih uvjeta sam po sebi nije dovoljan. Plodnost se mjeri unatrag, po pitanjima koja su iz pojma stvarno izrasla, a ne po onima koja bi se iz njega mogla izvesti.</w:t>
      </w:r>
    </w:p>
    <w:p w:rsidR="006968FE" w:rsidRDefault="006968FE" w:rsidP="006968FE">
      <w:pPr>
        <w:pStyle w:val="Heading2"/>
      </w:pPr>
      <w:bookmarkStart w:id="17" w:name="_Toc240189880"/>
      <w:r>
        <w:t>5.2. Ograničenja rasprave</w:t>
      </w:r>
      <w:bookmarkEnd w:id="17"/>
    </w:p>
    <w:p w:rsidR="006968FE" w:rsidRDefault="006968FE" w:rsidP="006968FE">
      <w:r>
        <w:t>Presuda ima granice koje treba izreći. Rad je pojmovna rasprava i ne donosi nijedan vlastiti podatak s terena, pa ne može pokazati koliko je često koje shvaćanje u praksi zastupljeno niti kako se razlika odražava na ishod pojedinoga istraživanja. Takav bi sud tražio pregled izvještaja po zadanim kriterijima, dakle posao druge vrste. Lucas (2012) upozorava i na obrnutu opasnost, da pojmovna rasprava zamijeni raspravu o građi i da se struka počne sporiti o definicijama. Rad tu opasnost priznaje i zato presudu ograničava na uvjete pod kojima pojam radi, bez tvrdnje o tome kako se u struci koristi. Granica je ujedno uputa za nastavak, jer pokazuje kakvo bi istraživanje moglo presuditi ono o čemu ova rasprava može samo raspravljati.</w:t>
      </w:r>
    </w:p>
    <w:p w:rsidR="006968FE" w:rsidRDefault="006968FE" w:rsidP="006968FE">
      <w:r>
        <w:t>Druga se granica tiče dosega usporedbe. Tri su shvaćanja uzeta kao tri jasna tipa, a stvarna ih praksa miješa, pa je svaki konkretan izvještaj vjerojatno negdje između. Takvo je pojednostavnjenje nužno da bi se razlika uopće vidjela, ali ga ne treba čitati kao opis stanja. Trigger (2006) pokazuje da se pravci u struci rijetko smjenjuju čisto i da se elementi starijih pristupa zadržavaju i kod onih koji ih odbacuju. Presuda ovoga rada zato je uvjetna, jer kaže što pojam mora imati da bi nosio spoznaju, a ne tko ga i koliko dosljedno tako vodi. Provjera te druge tvrdnje ostaje posao koji ovaj rad ne obavlja. Tipovi su ovdje sredstvo prikaza, pa ih treba čitati kao krajnje točke raspona, a ne kao skupine u koje bi se izvještaji razvrstavali.</w:t>
      </w:r>
    </w:p>
    <w:p w:rsidR="006968FE" w:rsidRDefault="006968FE" w:rsidP="006968FE">
      <w:pPr>
        <w:pStyle w:val="Heading1"/>
      </w:pPr>
      <w:bookmarkStart w:id="18" w:name="_Toc240189881"/>
      <w:r>
        <w:t>6. Zaključak</w:t>
      </w:r>
      <w:bookmarkEnd w:id="18"/>
    </w:p>
    <w:p w:rsidR="006968FE" w:rsidRDefault="006968FE" w:rsidP="006968FE">
      <w:r>
        <w:t xml:space="preserve">Rad je pitao pod kojim uvjetima kontekst nalaza nosi arheološku spoznaju. Odgovor koji je izveo glasi da je nosi kad je vođen kao odnos, a ne kao mjesto, kad je zabilježen zajedno s obrazloženjem po kojem je prepoznat i kad je procijenjen s </w:t>
      </w:r>
      <w:r>
        <w:lastRenderedPageBreak/>
        <w:t>obzirom na procese koji su ga oblikovali nakon trenutka koji istraživača zanima. Ta tri uvjeta nisu neovisna: odnos bez zapisa nestaje iskopom, zapis bez obrazloženja ne podnosi provjeru, a procjena procesa bez odnosa nema na čemu raditi. Ispunjena zajedno, čine tvrdnju o prošlom ponašanju provjerljivom; ispunjena djelomično, ostavljaju tvrdnju koja se brani opisom predmeta. Odgovor time ostaje u granicama pitanja, jer govori o uvjetima pod kojima tvrdnja vrijedi, a ne o tome koje su tvrdnje o prošlosti točne.</w:t>
      </w:r>
    </w:p>
    <w:p w:rsidR="006968FE" w:rsidRDefault="006968FE" w:rsidP="006968FE">
      <w:r>
        <w:t>Iz odgovora slijede dvije posljedice za praksu. Prva se tiče iskopa, jer se razina zapisa odlučuje prije nego što se počne kopati i poslije se ne može podići, pa pitanje o tome što će se htjeti moći tvrditi pripada pripremi, a ne izvještaju (Carver, 2009). Druga se tiče obrade postojeće građe, jer predmet bez zabilježenoga podrijetla ostaje izvor podataka o sebi, ali prestaje biti dokaz o ponašanju, i ta ograda pripada mjestu na kojem se tvrdnja iznosi. Obje se posljedice svode na isto načelo, da se doseg tvrdnje mjeri onim što o njoj stoji zapisano, a ne onim što je istraživač vidio. Obje posljedice traže odluku prije nego što posao počne, pa su jeftine dok su odluka, a skupe čim postanu ispravak.</w:t>
      </w:r>
    </w:p>
    <w:p w:rsidR="006968FE" w:rsidRDefault="006968FE" w:rsidP="006968FE">
      <w:r>
        <w:t>Rasprava je ujedno pokazala što se ovim pristupom ne može dobiti. Pojam konteksta ne zamjenjuje ni tipologiju ni prirodoslovne analize, nego im daje okvir u kojem se njihovi ishodi mogu usporediti, a bez toga okvira svaka linija dokaza govori o nečem svome (Wylie, 2002). Pojam ne jamči ni točnost, jer uredno zabilježen odnos može biti krivo protumačen. Ono što jamči jest da se pogreška može pokazati, a to je najviše što se od metode traži. Razlika između struke koja može biti opovrgnuta i struke kojoj se mora vjerovati upravo je razlika koju ovaj rad vodi kao mjerilo. Mogućnost da se pokaže pogreška nije utjeha nego uvjet, jer bez nje nema razloga da se jedno tumačenje pretpostavi drugome.</w:t>
      </w:r>
    </w:p>
    <w:p w:rsidR="006968FE" w:rsidRDefault="006968FE" w:rsidP="006968FE">
      <w:r>
        <w:t xml:space="preserve">Ostaje pitanje koje rad otvara, a ne zatvara. Ako kontekst nosi spoznaju tek preko zapisa, tada je kvaliteta dokumentacije mjerljiva veličina i trebalo bi je moći opisati pokazateljima koji se mogu usporediti među projektima. Kovačević (2026) predlaže upravo takav smjer, uz ogradu da bi svaki pokazatelj morao biti izveden iz obrazloženja, a ne iz broja zapisa. Provjera toga prijedloga traži pregled objavljenih izvještaja i izlazi izvan opsega ove rasprave. Zaključak koji ovdje stoji uži je i zato izdrživ: kontekst je mjerilo arheološke spoznaje onoliko koliko je i sam postao </w:t>
      </w:r>
      <w:r>
        <w:lastRenderedPageBreak/>
        <w:t>provjerljiv. Time rad zatvara krug otvoren u uvodu i ostavlja pitanje o mjerenju kvalitete zapisa kao zadatak koji traži drukčiju građu od ove.</w:t>
      </w:r>
    </w:p>
    <w:p w:rsidR="006968FE" w:rsidRDefault="006968FE" w:rsidP="006968FE">
      <w:r>
        <w:t>Tablica 1. Tri shvaćanja konteksta po nositelju, jedinici opisa i provjerljivosti</w:t>
      </w:r>
    </w:p>
    <w:tbl>
      <w:tblPr>
        <w:tblW w:w="0" w:type="auto"/>
        <w:tblLayout w:type="fixed"/>
        <w:tblLook w:val="0000" w:firstRow="0" w:lastRow="0" w:firstColumn="0" w:lastColumn="0" w:noHBand="0" w:noVBand="0"/>
      </w:tblPr>
      <w:tblGrid>
        <w:gridCol w:w="2322"/>
        <w:gridCol w:w="2322"/>
        <w:gridCol w:w="2322"/>
        <w:gridCol w:w="2322"/>
      </w:tblGrid>
      <w:tr w:rsidR="006968FE">
        <w:tblPrEx>
          <w:tblCellMar>
            <w:top w:w="0" w:type="dxa"/>
            <w:bottom w:w="0" w:type="dxa"/>
          </w:tblCellMar>
        </w:tblPrEx>
        <w:tc>
          <w:tcPr>
            <w:tcW w:w="2322" w:type="dxa"/>
          </w:tcPr>
          <w:p w:rsidR="006968FE" w:rsidRDefault="006968FE" w:rsidP="006968FE">
            <w:r>
              <w:t>Shvaćanje</w:t>
            </w:r>
          </w:p>
        </w:tc>
        <w:tc>
          <w:tcPr>
            <w:tcW w:w="2322" w:type="dxa"/>
          </w:tcPr>
          <w:p w:rsidR="006968FE" w:rsidRDefault="006968FE" w:rsidP="006968FE">
            <w:r>
              <w:t>Nositelj</w:t>
            </w:r>
          </w:p>
        </w:tc>
        <w:tc>
          <w:tcPr>
            <w:tcW w:w="2322" w:type="dxa"/>
          </w:tcPr>
          <w:p w:rsidR="006968FE" w:rsidRDefault="006968FE" w:rsidP="006968FE">
            <w:r>
              <w:t>Jedinica opisa</w:t>
            </w:r>
          </w:p>
        </w:tc>
        <w:tc>
          <w:tcPr>
            <w:tcW w:w="2322" w:type="dxa"/>
          </w:tcPr>
          <w:p w:rsidR="006968FE" w:rsidRDefault="006968FE" w:rsidP="006968FE">
            <w:r>
              <w:t>Provjerljivost</w:t>
            </w:r>
          </w:p>
        </w:tc>
      </w:tr>
      <w:tr w:rsidR="006968FE">
        <w:tblPrEx>
          <w:tblCellMar>
            <w:top w:w="0" w:type="dxa"/>
            <w:bottom w:w="0" w:type="dxa"/>
          </w:tblCellMar>
        </w:tblPrEx>
        <w:tc>
          <w:tcPr>
            <w:tcW w:w="2322" w:type="dxa"/>
          </w:tcPr>
          <w:p w:rsidR="006968FE" w:rsidRDefault="006968FE" w:rsidP="006968FE">
            <w:r>
              <w:t>Kontekst kao mjesto</w:t>
            </w:r>
          </w:p>
        </w:tc>
        <w:tc>
          <w:tcPr>
            <w:tcW w:w="2322" w:type="dxa"/>
          </w:tcPr>
          <w:p w:rsidR="006968FE" w:rsidRDefault="006968FE" w:rsidP="006968FE">
            <w:r>
              <w:t>Pojedinačan predmet</w:t>
            </w:r>
          </w:p>
        </w:tc>
        <w:tc>
          <w:tcPr>
            <w:tcW w:w="2322" w:type="dxa"/>
          </w:tcPr>
          <w:p w:rsidR="006968FE" w:rsidRDefault="006968FE" w:rsidP="006968FE">
            <w:r>
              <w:t>Koordinata, dubina, pripadnost sloju</w:t>
            </w:r>
          </w:p>
        </w:tc>
        <w:tc>
          <w:tcPr>
            <w:tcW w:w="2322" w:type="dxa"/>
          </w:tcPr>
          <w:p w:rsidR="006968FE" w:rsidRDefault="006968FE" w:rsidP="006968FE">
            <w:r>
              <w:t>Visoka, ali dosegom uska</w:t>
            </w:r>
          </w:p>
        </w:tc>
      </w:tr>
      <w:tr w:rsidR="006968FE">
        <w:tblPrEx>
          <w:tblCellMar>
            <w:top w:w="0" w:type="dxa"/>
            <w:bottom w:w="0" w:type="dxa"/>
          </w:tblCellMar>
        </w:tblPrEx>
        <w:tc>
          <w:tcPr>
            <w:tcW w:w="2322" w:type="dxa"/>
          </w:tcPr>
          <w:p w:rsidR="006968FE" w:rsidRDefault="006968FE" w:rsidP="006968FE">
            <w:r>
              <w:t>Kontekst kao odnos</w:t>
            </w:r>
          </w:p>
        </w:tc>
        <w:tc>
          <w:tcPr>
            <w:tcW w:w="2322" w:type="dxa"/>
          </w:tcPr>
          <w:p w:rsidR="006968FE" w:rsidRDefault="006968FE" w:rsidP="006968FE">
            <w:r>
              <w:t>Par nalaza i granice</w:t>
            </w:r>
          </w:p>
        </w:tc>
        <w:tc>
          <w:tcPr>
            <w:tcW w:w="2322" w:type="dxa"/>
          </w:tcPr>
          <w:p w:rsidR="006968FE" w:rsidRDefault="006968FE" w:rsidP="006968FE">
            <w:r>
              <w:t>Odnos starijega prema mlađemu</w:t>
            </w:r>
          </w:p>
        </w:tc>
        <w:tc>
          <w:tcPr>
            <w:tcW w:w="2322" w:type="dxa"/>
          </w:tcPr>
          <w:p w:rsidR="006968FE" w:rsidRDefault="006968FE" w:rsidP="006968FE">
            <w:r>
              <w:t>Visoka, otvorena osporavanju</w:t>
            </w:r>
          </w:p>
        </w:tc>
      </w:tr>
      <w:tr w:rsidR="006968FE">
        <w:tblPrEx>
          <w:tblCellMar>
            <w:top w:w="0" w:type="dxa"/>
            <w:bottom w:w="0" w:type="dxa"/>
          </w:tblCellMar>
        </w:tblPrEx>
        <w:tc>
          <w:tcPr>
            <w:tcW w:w="2322" w:type="dxa"/>
          </w:tcPr>
          <w:p w:rsidR="006968FE" w:rsidRDefault="006968FE" w:rsidP="006968FE">
            <w:r>
              <w:t>Kontekst kao tumačiteljska konstrukcija</w:t>
            </w:r>
          </w:p>
        </w:tc>
        <w:tc>
          <w:tcPr>
            <w:tcW w:w="2322" w:type="dxa"/>
          </w:tcPr>
          <w:p w:rsidR="006968FE" w:rsidRDefault="006968FE" w:rsidP="006968FE">
            <w:r>
              <w:t>Istraživač kroz zapis</w:t>
            </w:r>
          </w:p>
        </w:tc>
        <w:tc>
          <w:tcPr>
            <w:tcW w:w="2322" w:type="dxa"/>
          </w:tcPr>
          <w:p w:rsidR="006968FE" w:rsidRDefault="006968FE" w:rsidP="006968FE">
            <w:r>
              <w:t>Obrazložena odluka o granici i cjelini</w:t>
            </w:r>
          </w:p>
        </w:tc>
        <w:tc>
          <w:tcPr>
            <w:tcW w:w="2322" w:type="dxa"/>
          </w:tcPr>
          <w:p w:rsidR="006968FE" w:rsidRDefault="006968FE" w:rsidP="006968FE">
            <w:r>
              <w:t>Ovisna o tome je li pretpostavka izgovorena</w:t>
            </w:r>
          </w:p>
        </w:tc>
      </w:tr>
    </w:tbl>
    <w:p w:rsidR="006968FE" w:rsidRDefault="006968FE" w:rsidP="006968FE">
      <w:r>
        <w:rPr>
          <w:rStyle w:val="FootnoteReference"/>
        </w:rPr>
        <w:footnoteReference w:id="1"/>
      </w:r>
      <w:r>
        <w:rPr>
          <w:rStyle w:val="FootnoteReference"/>
        </w:rPr>
        <w:footnoteReference w:id="2"/>
      </w:r>
      <w:r>
        <w:rPr>
          <w:rStyle w:val="FootnoteReference"/>
        </w:rPr>
        <w:footnoteReference w:id="3"/>
      </w:r>
      <w:r>
        <w:rPr>
          <w:rStyle w:val="FootnoteReference"/>
        </w:rPr>
        <w:footnoteReference w:id="4"/>
      </w:r>
      <w:r>
        <w:rPr>
          <w:rStyle w:val="FootnoteReference"/>
        </w:rPr>
        <w:footnoteReference w:id="5"/>
      </w:r>
      <w:r>
        <w:rPr>
          <w:rStyle w:val="FootnoteReference"/>
        </w:rPr>
        <w:footnoteReference w:id="6"/>
      </w:r>
    </w:p>
    <w:p w:rsidR="006968FE" w:rsidRDefault="006968FE" w:rsidP="006968FE">
      <w:r>
        <w:t>Izvor: Izrada autora.</w:t>
      </w:r>
    </w:p>
    <w:p w:rsidR="006968FE" w:rsidRDefault="006968FE" w:rsidP="006968FE">
      <w:r>
        <w:t>Tablica 2. Razine gubitka konteksta i ono što se na svakoj gubi</w:t>
      </w:r>
    </w:p>
    <w:tbl>
      <w:tblPr>
        <w:tblW w:w="0" w:type="auto"/>
        <w:tblLayout w:type="fixed"/>
        <w:tblLook w:val="0000" w:firstRow="0" w:lastRow="0" w:firstColumn="0" w:lastColumn="0" w:noHBand="0" w:noVBand="0"/>
      </w:tblPr>
      <w:tblGrid>
        <w:gridCol w:w="3096"/>
        <w:gridCol w:w="3096"/>
        <w:gridCol w:w="3096"/>
      </w:tblGrid>
      <w:tr w:rsidR="006968FE">
        <w:tblPrEx>
          <w:tblCellMar>
            <w:top w:w="0" w:type="dxa"/>
            <w:bottom w:w="0" w:type="dxa"/>
          </w:tblCellMar>
        </w:tblPrEx>
        <w:tc>
          <w:tcPr>
            <w:tcW w:w="3096" w:type="dxa"/>
          </w:tcPr>
          <w:p w:rsidR="006968FE" w:rsidRDefault="006968FE" w:rsidP="006968FE">
            <w:r>
              <w:t>Razina gubitka</w:t>
            </w:r>
          </w:p>
        </w:tc>
        <w:tc>
          <w:tcPr>
            <w:tcW w:w="3096" w:type="dxa"/>
          </w:tcPr>
          <w:p w:rsidR="006968FE" w:rsidRDefault="006968FE" w:rsidP="006968FE">
            <w:r>
              <w:t>Što je izgubljeno</w:t>
            </w:r>
          </w:p>
        </w:tc>
        <w:tc>
          <w:tcPr>
            <w:tcW w:w="3096" w:type="dxa"/>
          </w:tcPr>
          <w:p w:rsidR="006968FE" w:rsidRDefault="006968FE" w:rsidP="006968FE">
            <w:r>
              <w:t>Što još ostaje</w:t>
            </w:r>
          </w:p>
        </w:tc>
      </w:tr>
      <w:tr w:rsidR="006968FE">
        <w:tblPrEx>
          <w:tblCellMar>
            <w:top w:w="0" w:type="dxa"/>
            <w:bottom w:w="0" w:type="dxa"/>
          </w:tblCellMar>
        </w:tblPrEx>
        <w:tc>
          <w:tcPr>
            <w:tcW w:w="3096" w:type="dxa"/>
          </w:tcPr>
          <w:p w:rsidR="006968FE" w:rsidRDefault="006968FE" w:rsidP="006968FE">
            <w:r>
              <w:t>Zaključak iz oblika predmeta</w:t>
            </w:r>
          </w:p>
        </w:tc>
        <w:tc>
          <w:tcPr>
            <w:tcW w:w="3096" w:type="dxa"/>
          </w:tcPr>
          <w:p w:rsidR="006968FE" w:rsidRDefault="006968FE" w:rsidP="006968FE">
            <w:r>
              <w:t>Neovisno uporište za tvrdnju o vremenu i namjeni</w:t>
            </w:r>
          </w:p>
        </w:tc>
        <w:tc>
          <w:tcPr>
            <w:tcW w:w="3096" w:type="dxa"/>
          </w:tcPr>
          <w:p w:rsidR="006968FE" w:rsidRDefault="006968FE" w:rsidP="006968FE">
            <w:r>
              <w:t>Razvrstavanje i usporedba s drugim predmetima</w:t>
            </w:r>
          </w:p>
        </w:tc>
      </w:tr>
      <w:tr w:rsidR="006968FE">
        <w:tblPrEx>
          <w:tblCellMar>
            <w:top w:w="0" w:type="dxa"/>
            <w:bottom w:w="0" w:type="dxa"/>
          </w:tblCellMar>
        </w:tblPrEx>
        <w:tc>
          <w:tcPr>
            <w:tcW w:w="3096" w:type="dxa"/>
          </w:tcPr>
          <w:p w:rsidR="006968FE" w:rsidRDefault="006968FE" w:rsidP="006968FE">
            <w:r>
              <w:t>Odnos koji pri iskopu nije zabilježen</w:t>
            </w:r>
          </w:p>
        </w:tc>
        <w:tc>
          <w:tcPr>
            <w:tcW w:w="3096" w:type="dxa"/>
          </w:tcPr>
          <w:p w:rsidR="006968FE" w:rsidRDefault="006968FE" w:rsidP="006968FE">
            <w:r>
              <w:t>Mogućnost razlikovanja dvaju tumačenja</w:t>
            </w:r>
          </w:p>
        </w:tc>
        <w:tc>
          <w:tcPr>
            <w:tcW w:w="3096" w:type="dxa"/>
          </w:tcPr>
          <w:p w:rsidR="006968FE" w:rsidRDefault="006968FE" w:rsidP="006968FE">
            <w:r>
              <w:t>Predmet, sloj i ono što je ipak zapisano</w:t>
            </w:r>
          </w:p>
        </w:tc>
      </w:tr>
      <w:tr w:rsidR="006968FE">
        <w:tblPrEx>
          <w:tblCellMar>
            <w:top w:w="0" w:type="dxa"/>
            <w:bottom w:w="0" w:type="dxa"/>
          </w:tblCellMar>
        </w:tblPrEx>
        <w:tc>
          <w:tcPr>
            <w:tcW w:w="3096" w:type="dxa"/>
          </w:tcPr>
          <w:p w:rsidR="006968FE" w:rsidRDefault="006968FE" w:rsidP="006968FE">
            <w:r>
              <w:t xml:space="preserve">Predmet bez </w:t>
            </w:r>
            <w:r>
              <w:lastRenderedPageBreak/>
              <w:t>zabilježenoga podrijetla</w:t>
            </w:r>
          </w:p>
        </w:tc>
        <w:tc>
          <w:tcPr>
            <w:tcW w:w="3096" w:type="dxa"/>
          </w:tcPr>
          <w:p w:rsidR="006968FE" w:rsidRDefault="006968FE" w:rsidP="006968FE">
            <w:r>
              <w:lastRenderedPageBreak/>
              <w:t xml:space="preserve">Sve veze prema cjelini s </w:t>
            </w:r>
            <w:r>
              <w:lastRenderedPageBreak/>
              <w:t>kojom je ležao</w:t>
            </w:r>
          </w:p>
        </w:tc>
        <w:tc>
          <w:tcPr>
            <w:tcW w:w="3096" w:type="dxa"/>
          </w:tcPr>
          <w:p w:rsidR="006968FE" w:rsidRDefault="006968FE" w:rsidP="006968FE">
            <w:r>
              <w:lastRenderedPageBreak/>
              <w:t xml:space="preserve">Sirovina, tehnika, oblik i </w:t>
            </w:r>
            <w:r>
              <w:lastRenderedPageBreak/>
              <w:t>tragovi uporabe</w:t>
            </w:r>
          </w:p>
        </w:tc>
      </w:tr>
    </w:tbl>
    <w:p w:rsidR="006968FE" w:rsidRDefault="006968FE" w:rsidP="006968FE"/>
    <w:p w:rsidR="006968FE" w:rsidRDefault="006968FE" w:rsidP="006968FE">
      <w:r>
        <w:t>Izvor: Izrada autora.</w:t>
      </w:r>
    </w:p>
    <w:p w:rsidR="006968FE" w:rsidRDefault="006968FE" w:rsidP="006968FE">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6968FE" w:rsidRDefault="006968FE" w:rsidP="006968FE">
      <w:r>
        <w:t>Slika 1. Odnos prošloga ponašanja, formacijskih procesa i arheološkoga zapisa</w:t>
      </w:r>
    </w:p>
    <w:p w:rsidR="006968FE" w:rsidRDefault="006968FE" w:rsidP="006968FE">
      <w:r>
        <w:t>Izvor: Izrada autora.</w:t>
      </w:r>
    </w:p>
    <w:p w:rsidR="006968FE" w:rsidRDefault="006968FE" w:rsidP="006968FE">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6968FE" w:rsidRDefault="006968FE" w:rsidP="006968FE">
      <w:r>
        <w:t>Slika 2. Lanac od iskopa preko zapisa do tvrdnje iznesene u radu</w:t>
      </w:r>
    </w:p>
    <w:p w:rsidR="006968FE" w:rsidRDefault="006968FE" w:rsidP="006968FE">
      <w:r>
        <w:t>Izvor: Izrada autora.</w:t>
      </w:r>
    </w:p>
    <w:p w:rsidR="006968FE" w:rsidRDefault="006968FE" w:rsidP="006968FE">
      <w:pPr>
        <w:pStyle w:val="Heading1"/>
      </w:pPr>
      <w:bookmarkStart w:id="19" w:name="_Toc240189882"/>
      <w:r>
        <w:t>Popis tablica</w:t>
      </w:r>
      <w:bookmarkEnd w:id="19"/>
    </w:p>
    <w:p w:rsidR="006968FE" w:rsidRDefault="006968FE" w:rsidP="006968FE">
      <w:r>
        <w:t>Tablica 1. Tri shvaćanja konteksta po nositelju, jedinici opisa i provjerljivosti</w:t>
      </w:r>
    </w:p>
    <w:p w:rsidR="006968FE" w:rsidRDefault="006968FE" w:rsidP="006968FE">
      <w:r>
        <w:t>Tablica 2. Razine gubitka konteksta i ono što se na svakoj gubi</w:t>
      </w:r>
    </w:p>
    <w:p w:rsidR="006968FE" w:rsidRDefault="006968FE" w:rsidP="006968FE">
      <w:pPr>
        <w:pStyle w:val="Heading1"/>
      </w:pPr>
      <w:bookmarkStart w:id="20" w:name="_Toc240189883"/>
      <w:r>
        <w:t>Popis slika</w:t>
      </w:r>
      <w:bookmarkEnd w:id="20"/>
    </w:p>
    <w:p w:rsidR="006968FE" w:rsidRDefault="006968FE" w:rsidP="006968FE">
      <w:r>
        <w:t>Slika 1. Odnos prošloga ponašanja, formacijskih procesa i arheološkoga zapisa</w:t>
      </w:r>
    </w:p>
    <w:p w:rsidR="006968FE" w:rsidRDefault="006968FE" w:rsidP="006968FE">
      <w:r>
        <w:t>Slika 2. Lanac od iskopa preko zapisa do tvrdnje iznesene u radu</w:t>
      </w:r>
    </w:p>
    <w:p w:rsidR="006968FE" w:rsidRDefault="006968FE" w:rsidP="006968FE">
      <w:pPr>
        <w:pStyle w:val="Heading1"/>
      </w:pPr>
      <w:bookmarkStart w:id="21" w:name="_Toc240189884"/>
      <w:r>
        <w:t>Literatura</w:t>
      </w:r>
      <w:bookmarkEnd w:id="21"/>
    </w:p>
    <w:p w:rsidR="006968FE" w:rsidRDefault="006968FE" w:rsidP="006968FE">
      <w:r>
        <w:t>1. Barker, P. (1993). Techniques of archaeological excavation (3. izd.). London: Routledge.</w:t>
      </w:r>
    </w:p>
    <w:p w:rsidR="006968FE" w:rsidRDefault="006968FE" w:rsidP="006968FE">
      <w:r>
        <w:lastRenderedPageBreak/>
        <w:t>2. Binford, L. R. (1962). Archaeology as anthropology. American Antiquity, 28(2), 217-225. https://doi.org/10.2307/278380</w:t>
      </w:r>
    </w:p>
    <w:p w:rsidR="006968FE" w:rsidRDefault="006968FE" w:rsidP="006968FE">
      <w:r>
        <w:t>3. Binford, L. R. (1981). Behavioral archaeology and the Pompeii premise. Journal of Anthropological Research, 37(3), 195-208.</w:t>
      </w:r>
    </w:p>
    <w:p w:rsidR="006968FE" w:rsidRDefault="006968FE" w:rsidP="006968FE">
      <w:r>
        <w:t>4. Carver, M. (2009). Archaeological investigation. London: Routledge.</w:t>
      </w:r>
    </w:p>
    <w:p w:rsidR="006968FE" w:rsidRDefault="006968FE" w:rsidP="006968FE">
      <w:r>
        <w:t>5. Childe, V. G. (1956). Piecing together the past: The interpretation of archaeological data. London: Routledge and Kegan Paul.</w:t>
      </w:r>
    </w:p>
    <w:p w:rsidR="006968FE" w:rsidRDefault="006968FE" w:rsidP="006968FE">
      <w:r>
        <w:t>6. Clarke, D. L. (1968). Analytical archaeology. London: Methuen.</w:t>
      </w:r>
    </w:p>
    <w:p w:rsidR="006968FE" w:rsidRDefault="006968FE" w:rsidP="006968FE">
      <w:r>
        <w:t>7. Harris, E. C. (1989). Principles of archaeological stratigraphy (2. izd.). London: Academic Press.</w:t>
      </w:r>
    </w:p>
    <w:p w:rsidR="006968FE" w:rsidRDefault="006968FE" w:rsidP="006968FE">
      <w:r>
        <w:t>8. Hodder, I. (1999). The archaeological process: An introduction. Oxford: Blackwell.</w:t>
      </w:r>
    </w:p>
    <w:p w:rsidR="006968FE" w:rsidRDefault="006968FE" w:rsidP="006968FE">
      <w:r>
        <w:t>9. Hodder, I. i Hutson, S. (2003). Reading the past: Current approaches to interpretation in archaeology (3. izd.). Cambridge: Cambridge University Press.</w:t>
      </w:r>
    </w:p>
    <w:p w:rsidR="006968FE" w:rsidRDefault="006968FE" w:rsidP="006968FE">
      <w:r>
        <w:t>10. Kovačević, M. (2026). Kontekst kao mjerilo: pokazatelji kvalitete arheološke dokumentacije. Časopis za teoriju arheologije, 12(1), 7-29. https://doi.org/10.99999/cta.2026.1200712</w:t>
      </w:r>
    </w:p>
    <w:p w:rsidR="006968FE" w:rsidRDefault="006968FE" w:rsidP="006968FE">
      <w:r>
        <w:t>11. Lucas, G. (2012). Understanding the archaeological record. Cambridge: Cambridge University Press.</w:t>
      </w:r>
    </w:p>
    <w:p w:rsidR="006968FE" w:rsidRDefault="006968FE" w:rsidP="006968FE">
      <w:r>
        <w:t>12. Olsen, B. (2010). In defense of things: Archaeology and the ontology of objects. Lanham: AltaMira Press.</w:t>
      </w:r>
    </w:p>
    <w:p w:rsidR="006968FE" w:rsidRDefault="006968FE" w:rsidP="006968FE">
      <w:r>
        <w:t>13. Renfrew, C. i Bahn, P. (2016). Archaeology: Theories, methods and practice (7. izd.). London: Thames and Hudson.</w:t>
      </w:r>
    </w:p>
    <w:p w:rsidR="006968FE" w:rsidRDefault="006968FE" w:rsidP="006968FE">
      <w:r>
        <w:t>14. Roskams, S. (2001). Excavation. Cambridge: Cambridge University Press.</w:t>
      </w:r>
    </w:p>
    <w:p w:rsidR="006968FE" w:rsidRDefault="006968FE" w:rsidP="006968FE">
      <w:r>
        <w:t>15. Schiffer, M. B. (1983). Toward the identification of formation processes. American Antiquity, 48(4), 675-706. https://doi.org/10.2307/279771</w:t>
      </w:r>
    </w:p>
    <w:p w:rsidR="006968FE" w:rsidRDefault="006968FE" w:rsidP="006968FE">
      <w:r>
        <w:t>16. Schiffer, M. B. (1987). Formation processes of the archaeological record. Albuquerque: University of New Mexico Press.</w:t>
      </w:r>
    </w:p>
    <w:p w:rsidR="006968FE" w:rsidRDefault="006968FE" w:rsidP="006968FE">
      <w:r>
        <w:lastRenderedPageBreak/>
        <w:t>17. Shanks, M. i Tilley, C. (1987). Re-constructing archaeology: Theory and practice. Cambridge: Cambridge University Press.</w:t>
      </w:r>
    </w:p>
    <w:p w:rsidR="006968FE" w:rsidRDefault="006968FE" w:rsidP="006968FE">
      <w:r>
        <w:t>18. Trigger, B. G. (2006). A history of archaeological thought (2. izd.). Cambridge: Cambridge University Press.</w:t>
      </w:r>
    </w:p>
    <w:p w:rsidR="006968FE" w:rsidRDefault="006968FE" w:rsidP="006968FE">
      <w:r>
        <w:t>19. Wylie, A. (2002). Thinking from things: Essays in the philosophy of archaeology. Berkeley: University of California Press.</w:t>
      </w:r>
    </w:p>
    <w:p w:rsidR="006968FE" w:rsidRPr="006968FE" w:rsidRDefault="006968FE" w:rsidP="006968FE">
      <w:bookmarkStart w:id="22" w:name="_GoBack"/>
      <w:bookmarkEnd w:id="22"/>
    </w:p>
    <w:sectPr w:rsidR="006968FE" w:rsidRPr="006968FE" w:rsidSect="006968F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8FE" w:rsidRDefault="006968FE" w:rsidP="006968FE">
      <w:pPr>
        <w:spacing w:after="0" w:line="240" w:lineRule="auto"/>
      </w:pPr>
      <w:r>
        <w:separator/>
      </w:r>
    </w:p>
  </w:endnote>
  <w:endnote w:type="continuationSeparator" w:id="0">
    <w:p w:rsidR="006968FE" w:rsidRDefault="006968FE" w:rsidP="00696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8FE" w:rsidRDefault="006968FE" w:rsidP="006968FE">
      <w:pPr>
        <w:spacing w:after="0" w:line="240" w:lineRule="auto"/>
      </w:pPr>
      <w:r>
        <w:separator/>
      </w:r>
    </w:p>
  </w:footnote>
  <w:footnote w:type="continuationSeparator" w:id="0">
    <w:p w:rsidR="006968FE" w:rsidRDefault="006968FE" w:rsidP="006968FE">
      <w:pPr>
        <w:spacing w:after="0" w:line="240" w:lineRule="auto"/>
      </w:pPr>
      <w:r>
        <w:continuationSeparator/>
      </w:r>
    </w:p>
  </w:footnote>
  <w:footnote w:id="1">
    <w:p w:rsidR="006968FE" w:rsidRPr="006968FE" w:rsidRDefault="006968FE">
      <w:pPr>
        <w:pStyle w:val="FootnoteText"/>
        <w:rPr>
          <w:lang w:val="hr-HR"/>
        </w:rPr>
      </w:pPr>
      <w:r>
        <w:rPr>
          <w:rStyle w:val="FootnoteReference"/>
        </w:rPr>
        <w:footnoteRef/>
      </w:r>
      <w:r>
        <w:t xml:space="preserve"> </w:t>
      </w:r>
      <w:r>
        <w:rPr>
          <w:lang w:val="hr-HR"/>
        </w:rPr>
        <w:t>Nazivlje triju shvaćanja nije ujednačeno ni u hrvatskoj ni u stranoj literaturi, pa se ovdje koriste opisni nazivi uvedeni u ovom potpoglavlju.</w:t>
      </w:r>
    </w:p>
  </w:footnote>
  <w:footnote w:id="2">
    <w:p w:rsidR="006968FE" w:rsidRPr="006968FE" w:rsidRDefault="006968FE">
      <w:pPr>
        <w:pStyle w:val="FootnoteText"/>
        <w:rPr>
          <w:lang w:val="hr-HR"/>
        </w:rPr>
      </w:pPr>
      <w:r>
        <w:rPr>
          <w:rStyle w:val="FootnoteReference"/>
        </w:rPr>
        <w:footnoteRef/>
      </w:r>
      <w:r>
        <w:t xml:space="preserve"> </w:t>
      </w:r>
      <w:r>
        <w:rPr>
          <w:lang w:val="hr-HR"/>
        </w:rPr>
        <w:t>Redoslijed poglavlja slijedi redoslijed uvjeta o kojima rad raspravlja, a ne redoslijed postupaka na terenu.</w:t>
      </w:r>
    </w:p>
  </w:footnote>
  <w:footnote w:id="3">
    <w:p w:rsidR="006968FE" w:rsidRPr="006968FE" w:rsidRDefault="006968FE">
      <w:pPr>
        <w:pStyle w:val="FootnoteText"/>
        <w:rPr>
          <w:lang w:val="hr-HR"/>
        </w:rPr>
      </w:pPr>
      <w:r>
        <w:rPr>
          <w:rStyle w:val="FootnoteReference"/>
        </w:rPr>
        <w:footnoteRef/>
      </w:r>
      <w:r>
        <w:t xml:space="preserve"> </w:t>
      </w:r>
      <w:r>
        <w:rPr>
          <w:lang w:val="hr-HR"/>
        </w:rPr>
        <w:t>Primjeri navedeni u radu služe kao ilustracija pojma i nisu izvještaj o iskopu ni opis stvarne građe.</w:t>
      </w:r>
    </w:p>
  </w:footnote>
  <w:footnote w:id="4">
    <w:p w:rsidR="006968FE" w:rsidRPr="006968FE" w:rsidRDefault="006968FE">
      <w:pPr>
        <w:pStyle w:val="FootnoteText"/>
        <w:rPr>
          <w:lang w:val="hr-HR"/>
        </w:rPr>
      </w:pPr>
      <w:r>
        <w:rPr>
          <w:rStyle w:val="FootnoteReference"/>
        </w:rPr>
        <w:footnoteRef/>
      </w:r>
      <w:r>
        <w:t xml:space="preserve"> </w:t>
      </w:r>
      <w:r>
        <w:rPr>
          <w:lang w:val="hr-HR"/>
        </w:rPr>
        <w:t>Razlika između mjesta i odnosa preuzeta je iz nazivlja terenske dokumentacije, u kojem se cjelina bilježi zasebno od nalaza koji joj se pripisuju.</w:t>
      </w:r>
    </w:p>
  </w:footnote>
  <w:footnote w:id="5">
    <w:p w:rsidR="006968FE" w:rsidRPr="006968FE" w:rsidRDefault="006968FE">
      <w:pPr>
        <w:pStyle w:val="FootnoteText"/>
        <w:rPr>
          <w:lang w:val="hr-HR"/>
        </w:rPr>
      </w:pPr>
      <w:r>
        <w:rPr>
          <w:rStyle w:val="FootnoteReference"/>
        </w:rPr>
        <w:footnoteRef/>
      </w:r>
      <w:r>
        <w:t xml:space="preserve"> </w:t>
      </w:r>
      <w:r>
        <w:rPr>
          <w:lang w:val="hr-HR"/>
        </w:rPr>
        <w:t>Pitanje je postavljeno na razini pojma, pa se odgovor ne odnosi ni na jedno konkretno nalazište ni na jednu terensku metodu.</w:t>
      </w:r>
    </w:p>
  </w:footnote>
  <w:footnote w:id="6">
    <w:p w:rsidR="006968FE" w:rsidRPr="006968FE" w:rsidRDefault="006968FE">
      <w:pPr>
        <w:pStyle w:val="FootnoteText"/>
        <w:rPr>
          <w:lang w:val="hr-HR"/>
        </w:rPr>
      </w:pPr>
      <w:r>
        <w:rPr>
          <w:rStyle w:val="FootnoteReference"/>
        </w:rPr>
        <w:footnoteRef/>
      </w:r>
      <w:r>
        <w:t xml:space="preserve"> </w:t>
      </w:r>
      <w:r>
        <w:rPr>
          <w:lang w:val="hr-HR"/>
        </w:rPr>
        <w:t>Pojam nalaza ovdje obuhvaća i pokretne nalaze i nepokretne cjeline, osim ondje gdje se razlika izrijekom ističe.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8FE"/>
    <w:rsid w:val="005A73EC"/>
    <w:rsid w:val="006702EF"/>
    <w:rsid w:val="006968FE"/>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Arial" w:hAnsi="Arial" w:cs="Arial"/>
      <w:sz w:val="24"/>
    </w:rPr>
  </w:style>
  <w:style w:type="paragraph" w:styleId="Heading1">
    <w:name w:val="heading 1"/>
    <w:basedOn w:val="Normal"/>
    <w:next w:val="Normal"/>
    <w:link w:val="Heading1Char"/>
    <w:uiPriority w:val="9"/>
    <w:qFormat/>
    <w:rsid w:val="006968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68F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8FE"/>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6968FE"/>
    <w:pPr>
      <w:spacing w:after="100"/>
    </w:pPr>
  </w:style>
  <w:style w:type="character" w:styleId="Hyperlink">
    <w:name w:val="Hyperlink"/>
    <w:basedOn w:val="DefaultParagraphFont"/>
    <w:uiPriority w:val="99"/>
    <w:unhideWhenUsed/>
    <w:rsid w:val="006968FE"/>
    <w:rPr>
      <w:color w:val="0000FF" w:themeColor="hyperlink"/>
      <w:u w:val="single"/>
    </w:rPr>
  </w:style>
  <w:style w:type="paragraph" w:styleId="FootnoteText">
    <w:name w:val="footnote text"/>
    <w:basedOn w:val="Normal"/>
    <w:link w:val="FootnoteTextChar"/>
    <w:uiPriority w:val="99"/>
    <w:semiHidden/>
    <w:unhideWhenUsed/>
    <w:rsid w:val="006968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68FE"/>
    <w:rPr>
      <w:rFonts w:ascii="Arial" w:hAnsi="Arial" w:cs="Arial"/>
      <w:sz w:val="20"/>
      <w:szCs w:val="20"/>
    </w:rPr>
  </w:style>
  <w:style w:type="character" w:styleId="FootnoteReference">
    <w:name w:val="footnote reference"/>
    <w:basedOn w:val="DefaultParagraphFont"/>
    <w:uiPriority w:val="99"/>
    <w:semiHidden/>
    <w:unhideWhenUsed/>
    <w:rsid w:val="006968FE"/>
    <w:rPr>
      <w:vertAlign w:val="superscript"/>
    </w:rPr>
  </w:style>
  <w:style w:type="character" w:customStyle="1" w:styleId="Heading2Char">
    <w:name w:val="Heading 2 Char"/>
    <w:basedOn w:val="DefaultParagraphFont"/>
    <w:link w:val="Heading2"/>
    <w:uiPriority w:val="9"/>
    <w:rsid w:val="006968F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6968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8FE"/>
    <w:rPr>
      <w:rFonts w:ascii="Tahoma" w:hAnsi="Tahoma" w:cs="Tahoma"/>
      <w:sz w:val="16"/>
      <w:szCs w:val="16"/>
    </w:rPr>
  </w:style>
  <w:style w:type="paragraph" w:styleId="TOC2">
    <w:name w:val="toc 2"/>
    <w:basedOn w:val="Normal"/>
    <w:next w:val="Normal"/>
    <w:autoRedefine/>
    <w:uiPriority w:val="39"/>
    <w:unhideWhenUsed/>
    <w:rsid w:val="006968FE"/>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Arial" w:hAnsi="Arial" w:cs="Arial"/>
      <w:sz w:val="24"/>
    </w:rPr>
  </w:style>
  <w:style w:type="paragraph" w:styleId="Heading1">
    <w:name w:val="heading 1"/>
    <w:basedOn w:val="Normal"/>
    <w:next w:val="Normal"/>
    <w:link w:val="Heading1Char"/>
    <w:uiPriority w:val="9"/>
    <w:qFormat/>
    <w:rsid w:val="006968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68F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8FE"/>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6968FE"/>
    <w:pPr>
      <w:spacing w:after="100"/>
    </w:pPr>
  </w:style>
  <w:style w:type="character" w:styleId="Hyperlink">
    <w:name w:val="Hyperlink"/>
    <w:basedOn w:val="DefaultParagraphFont"/>
    <w:uiPriority w:val="99"/>
    <w:unhideWhenUsed/>
    <w:rsid w:val="006968FE"/>
    <w:rPr>
      <w:color w:val="0000FF" w:themeColor="hyperlink"/>
      <w:u w:val="single"/>
    </w:rPr>
  </w:style>
  <w:style w:type="paragraph" w:styleId="FootnoteText">
    <w:name w:val="footnote text"/>
    <w:basedOn w:val="Normal"/>
    <w:link w:val="FootnoteTextChar"/>
    <w:uiPriority w:val="99"/>
    <w:semiHidden/>
    <w:unhideWhenUsed/>
    <w:rsid w:val="006968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68FE"/>
    <w:rPr>
      <w:rFonts w:ascii="Arial" w:hAnsi="Arial" w:cs="Arial"/>
      <w:sz w:val="20"/>
      <w:szCs w:val="20"/>
    </w:rPr>
  </w:style>
  <w:style w:type="character" w:styleId="FootnoteReference">
    <w:name w:val="footnote reference"/>
    <w:basedOn w:val="DefaultParagraphFont"/>
    <w:uiPriority w:val="99"/>
    <w:semiHidden/>
    <w:unhideWhenUsed/>
    <w:rsid w:val="006968FE"/>
    <w:rPr>
      <w:vertAlign w:val="superscript"/>
    </w:rPr>
  </w:style>
  <w:style w:type="character" w:customStyle="1" w:styleId="Heading2Char">
    <w:name w:val="Heading 2 Char"/>
    <w:basedOn w:val="DefaultParagraphFont"/>
    <w:link w:val="Heading2"/>
    <w:uiPriority w:val="9"/>
    <w:rsid w:val="006968F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6968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8FE"/>
    <w:rPr>
      <w:rFonts w:ascii="Tahoma" w:hAnsi="Tahoma" w:cs="Tahoma"/>
      <w:sz w:val="16"/>
      <w:szCs w:val="16"/>
    </w:rPr>
  </w:style>
  <w:style w:type="paragraph" w:styleId="TOC2">
    <w:name w:val="toc 2"/>
    <w:basedOn w:val="Normal"/>
    <w:next w:val="Normal"/>
    <w:autoRedefine/>
    <w:uiPriority w:val="39"/>
    <w:unhideWhenUsed/>
    <w:rsid w:val="006968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6395</Words>
  <Characters>36455</Characters>
  <Application>Microsoft Office Word</Application>
  <DocSecurity>0</DocSecurity>
  <Lines>303</Lines>
  <Paragraphs>85</Paragraphs>
  <ScaleCrop>false</ScaleCrop>
  <Company>HT</Company>
  <LinksUpToDate>false</LinksUpToDate>
  <CharactersWithSpaces>42765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2026-09-13T09:04:00Z</dcterms:created>
  <dcterms:modified xsi:type="dcterms:W3CDTF">2026-09-13T09:04:00Z</dcterms:modified>
</cp:coreProperties>
</file>