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73EC" w:rsidRDefault="002A4EFE" w:rsidP="002A4EFE">
      <w:pPr>
        <w:jc w:val="center"/>
      </w:pPr>
      <w:r>
        <w:t>SVEUČILIŠTE U ZAGREBU</w:t>
      </w:r>
    </w:p>
    <w:p w:rsidR="002A4EFE" w:rsidRDefault="002A4EFE" w:rsidP="002A4EFE">
      <w:pPr>
        <w:jc w:val="center"/>
      </w:pPr>
    </w:p>
    <w:p w:rsidR="002A4EFE" w:rsidRDefault="002A4EFE" w:rsidP="002A4EFE">
      <w:pPr>
        <w:jc w:val="center"/>
      </w:pPr>
      <w:r>
        <w:t>PRAVNI FAKULTET</w:t>
      </w:r>
    </w:p>
    <w:p w:rsidR="002A4EFE" w:rsidRDefault="002A4EFE" w:rsidP="002A4EFE">
      <w:pPr>
        <w:jc w:val="center"/>
      </w:pPr>
    </w:p>
    <w:p w:rsidR="002A4EFE" w:rsidRDefault="002A4EFE" w:rsidP="002A4EFE">
      <w:pPr>
        <w:jc w:val="center"/>
      </w:pPr>
      <w:r>
        <w:t>Stručni diplomski studij Javna uprava</w:t>
      </w:r>
    </w:p>
    <w:p w:rsidR="002A4EFE" w:rsidRDefault="002A4EFE" w:rsidP="002A4EFE">
      <w:pPr>
        <w:jc w:val="center"/>
      </w:pPr>
    </w:p>
    <w:p w:rsidR="002A4EFE" w:rsidRDefault="002A4EFE" w:rsidP="002A4EFE">
      <w:pPr>
        <w:jc w:val="center"/>
      </w:pPr>
      <w:r>
        <w:t>Marta Kolarić</w:t>
      </w:r>
    </w:p>
    <w:p w:rsidR="002A4EFE" w:rsidRDefault="002A4EFE" w:rsidP="002A4EFE">
      <w:pPr>
        <w:jc w:val="center"/>
      </w:pPr>
    </w:p>
    <w:p w:rsidR="002A4EFE" w:rsidRDefault="002A4EFE" w:rsidP="002A4EFE">
      <w:pPr>
        <w:jc w:val="center"/>
      </w:pPr>
      <w:r>
        <w:t>DIPLOMSKI RAD</w:t>
      </w:r>
    </w:p>
    <w:p w:rsidR="002A4EFE" w:rsidRDefault="002A4EFE" w:rsidP="002A4EFE">
      <w:pPr>
        <w:jc w:val="center"/>
      </w:pPr>
    </w:p>
    <w:p w:rsidR="002A4EFE" w:rsidRDefault="002A4EFE" w:rsidP="002A4EFE">
      <w:pPr>
        <w:jc w:val="center"/>
      </w:pPr>
      <w:r>
        <w:t>Šutnja uprave kao procesna činjenica: doseg i granice pravnih sredstava protiv nedonošenja rješenja</w:t>
      </w:r>
    </w:p>
    <w:p w:rsidR="002A4EFE" w:rsidRDefault="002A4EFE" w:rsidP="002A4EFE">
      <w:pPr>
        <w:jc w:val="center"/>
      </w:pPr>
    </w:p>
    <w:p w:rsidR="002A4EFE" w:rsidRDefault="002A4EFE" w:rsidP="002A4EFE">
      <w:pPr>
        <w:jc w:val="center"/>
      </w:pPr>
      <w:r>
        <w:t>Mentor: doc. dr. sc. Tomislav Brnić</w:t>
      </w:r>
    </w:p>
    <w:p w:rsidR="002A4EFE" w:rsidRDefault="002A4EFE" w:rsidP="002A4EFE">
      <w:pPr>
        <w:jc w:val="center"/>
      </w:pPr>
    </w:p>
    <w:p w:rsidR="002A4EFE" w:rsidRDefault="002A4EFE" w:rsidP="002A4EFE">
      <w:pPr>
        <w:jc w:val="center"/>
      </w:pPr>
      <w:r>
        <w:t>Zagreb, 2026.</w:t>
      </w:r>
    </w:p>
    <w:p w:rsidR="002A4EFE" w:rsidRDefault="002A4EFE" w:rsidP="002A4EFE">
      <w:pPr>
        <w:jc w:val="center"/>
      </w:pPr>
    </w:p>
    <w:p w:rsidR="002A4EFE" w:rsidRDefault="002A4EFE">
      <w:pPr>
        <w:spacing w:line="276" w:lineRule="auto"/>
        <w:jc w:val="left"/>
      </w:pPr>
      <w:r>
        <w:br w:type="page"/>
      </w:r>
    </w:p>
    <w:p w:rsidR="002A4EFE" w:rsidRDefault="002A4EFE" w:rsidP="002A4EFE">
      <w:pPr>
        <w:pStyle w:val="Heading1"/>
      </w:pPr>
      <w:r>
        <w:lastRenderedPageBreak/>
        <w:t>Sazetak</w:t>
      </w:r>
    </w:p>
    <w:p w:rsidR="002A4EFE" w:rsidRDefault="002A4EFE" w:rsidP="002A4EFE">
      <w:r>
        <w:t>Šutnja uprave redovito se opisuje kao izostanak odluke, dakle kao praznina koju pravo naknadno popunjava fikcijom. Ovaj rad polazi od suprotne postavke: istek roka za rješavanje nije praznina nego procesna činjenica koja otvara vlastiti režim pravnih sredstava i mijenja raspored tereta među sudionicima postupka. Analizirani su rokovi iz općeg upravnog postupka, žalba zbog nedonošenja rješenja, prigovor te tužba zbog nedonošenja pojedinačne odluke, uključujući ovlast upravnog suda da sam riješi stvar. Pokazuje se da domaći sustav ima potpun katalog sredstava, ali da njihov stvarni domet ovisi o trima činiteljima koje norma ne uređuje: o trajanju drugog kruga odlučivanja, o tome tko snosi trošak čekanja i o tome vraća li se predmet u prvi stupanj. Rad zaključuje da se djelotvornost zaštite ne povećava novim sredstvom nego mjerenjem vremena koje postojeća sredstva troše.</w:t>
      </w:r>
    </w:p>
    <w:p w:rsidR="002A4EFE" w:rsidRDefault="002A4EFE" w:rsidP="002A4EFE">
      <w:r>
        <w:t>Kljucne rijeci: šutnja uprave, rok za rješavanje, upravni spor, pravna sredstva, razuman rok</w:t>
      </w:r>
    </w:p>
    <w:p w:rsidR="002A4EFE" w:rsidRDefault="002A4EFE" w:rsidP="002A4EFE">
      <w:pPr>
        <w:pStyle w:val="Heading1"/>
      </w:pPr>
      <w:r>
        <w:t>Abstract</w:t>
      </w:r>
    </w:p>
    <w:p w:rsidR="002A4EFE" w:rsidRDefault="002A4EFE" w:rsidP="002A4EFE">
      <w:r>
        <w:t>Administrative silence is commonly described as the absence of a decision, that is, as a gap that the law subsequently fills with a legal fiction. This article starts from the opposite premise: the expiry of the statutory time limit is not a gap but a procedural fact that triggers its own set of remedies and redistributes the burden among the participants in the proceedings. The analysis covers the time limits of general administrative procedure, the appeal against failure to decide, the objection, and the action for failure to issue an individual decision, including the power of the administrative court to decide the matter itself. It shows that the domestic system offers a complete catalogue of remedies, yet their actual reach depends on three factors the norm does not regulate: the duration of the second round of decision making, who bears the cost of waiting, and whether the case is remitted to the first instance. The article concludes that effective protection is not improved by adding remedies but by measuring the time the existing ones consume.</w:t>
      </w:r>
    </w:p>
    <w:p w:rsidR="002A4EFE" w:rsidRDefault="002A4EFE" w:rsidP="002A4EFE">
      <w:r>
        <w:t>Keywords: administrative silence, time limit for deciding, administrative dispute, legal remedies, reasonable time</w:t>
      </w:r>
    </w:p>
    <w:p w:rsidR="002A4EFE" w:rsidRDefault="002A4EFE" w:rsidP="002A4EFE">
      <w:pPr>
        <w:pStyle w:val="Heading1"/>
      </w:pPr>
      <w:r>
        <w:t>1. Uvod</w:t>
      </w:r>
    </w:p>
    <w:p w:rsidR="002A4EFE" w:rsidRDefault="002A4EFE" w:rsidP="002A4EFE">
      <w:r>
        <w:t xml:space="preserve">Upravno pravo polazi od pretpostavke da svaki uredan zahtjev stranke završava odlukom. Opći upravni postupak propisuje rokove unutar kojih javnopravno tijelo mora riješiti predmet, </w:t>
      </w:r>
      <w:r>
        <w:lastRenderedPageBreak/>
        <w:t>a stranka na temelju tih rokova gradi očekivanje da će odgovor doći u vrijeme koje se dade predvidjeti. Praksa pokazuje da se ta pretpostavka ne ostvaruje uvijek, pa predmet ostaje otvoren i mjesecima nakon isteka roka. Takvo stanje domaća literatura naziva šutnjom uprave, iako sam zakon taj izraz ne rabi. Riječ je o pravnoj situaciji u kojoj odluka izostane, ali izostanak ipak proizvodi posljedice koje pravo prepoznaje i uređuje. Upravo ta dvojnost, izostanak koji nešto znači, čini šutnju vrijednom zasebne analize, a ne samo usputnog spomena u prikazu rokova.</w:t>
      </w:r>
    </w:p>
    <w:p w:rsidR="002A4EFE" w:rsidRDefault="002A4EFE" w:rsidP="002A4EFE">
      <w:r>
        <w:t>Uobičajeni prikaz šutnje uprave zaustavlja se na nabrajanju sredstava koja stranci stoje na raspolaganju. Nabroje se žalba zbog nedonošenja rješenja, prigovor i tužba upravnome sudu, pa se zaključi da je zaštita potpuna jer nijedan oblik nečinjenja nije ostao izvan kataloga. Takav zaključak točan je na razini norme i istodobno nedovoljan na razini učinka. Stranka koja je čekala trideset dana na rješenje, pa zatim šezdeset dana na odluku o žalbi, pa još nekoliko mjeseci na presudu, formalno je zaštićena, a stvarno je i dalje bez odluke. Pitanje nije postoji li sredstvo nego što se sredstvom doista postiže i u kojem roku. Odgovor na to traži da se katalog sredstava izmjeri vremenom, a ne samo popiše.</w:t>
      </w:r>
    </w:p>
    <w:p w:rsidR="002A4EFE" w:rsidRDefault="002A4EFE" w:rsidP="002A4EFE">
      <w:r>
        <w:t>Ovaj rad zato ne pristupa šutnji kao odsutnosti akta nego kao procesnoj činjenici s vlastitim pravnim režimom. Istek roka trenutak je nakon kojega se mijenja raspored ovlasti: stranka stječe pravo koje prije nije imala, drugostupanjsko tijelo dobiva nadležnost koju inače ne bi imalo, a sud ulazi u predmet u kojem nema upravnog akta koji bi ispitivao. Takvo čitanje objašnjava zašto zakonodavac uz rokove uvijek propisuje i posljedicu njihova isteka. Ono ujedno pokazuje da se djelotvornost zaštite ne mjeri brojem sredstava nego trajanjem puta do odluke. Rad se pritom drži važeće domaće norme i sudske prakse, a poredbena rješenja spominje samo ondje gdje pomažu razumjeti izbor domaćeg zakonodavca.</w:t>
      </w:r>
    </w:p>
    <w:p w:rsidR="002A4EFE" w:rsidRDefault="002A4EFE" w:rsidP="002A4EFE">
      <w:pPr>
        <w:pStyle w:val="Heading2"/>
      </w:pPr>
      <w:r>
        <w:t>1.1. Istraživačko pitanje i granice rada</w:t>
      </w:r>
    </w:p>
    <w:p w:rsidR="002A4EFE" w:rsidRDefault="002A4EFE" w:rsidP="002A4EFE">
      <w:r>
        <w:t>Istraživačko pitanje glasi: pod kojim uvjetima pravna sredstva protiv šutnje uprave dovode do meritorne odluke, a kada samo produljuju postupak? Pitanje je postavljeno tako da traži razlikovanje, a ne ocjenu. Nije riječ o tome je li domaći sustav dobar ili loš, nego o tome koji činitelji odlučuju hoće li podneseno sredstvo završiti odlukom o pravu stranke ili nalogom da netko drugi konačno odluči. To razlikovanje ima praktičnu vrijednost jer stranka bira sredstvo prije nego što zna ishod, a izbor je nepovratan u smislu izgubljenog vremena. Rad zato traži mjerila po kojima se taj izbor može obrazložiti unaprijed, a ne tek rekonstruirati unatrag.</w:t>
      </w:r>
    </w:p>
    <w:p w:rsidR="002A4EFE" w:rsidRDefault="002A4EFE" w:rsidP="002A4EFE">
      <w:r>
        <w:lastRenderedPageBreak/>
        <w:t>Granice rada postavljene su na tri načina. Prvo, analiza ostaje u okviru općeg upravnog postupka i upravnog spora, pa se posebni postupci spominju samo kao primjeri odstupanja. Drugo, rad ne obrađuje odgovornost za štetu zbog nedonošenja odluke, iako je ta odgovornost logičan nastavak teme, jer traži vlastitu građu i vlastiti pojmovni aparat. Treće, rad ne zauzima stav o organizacijskim uzrocima kašnjenja, poput opterećenosti tijela ili broja izvršitelja, jer se ti uzroci ne daju utvrditi pravnom analizom. Te tri granice namjerno su uske: uže pitanje dopušta određeniji odgovor, a širi zahvat na istom prostoru neizbježno bi ostao na razini opisa.</w:t>
      </w:r>
    </w:p>
    <w:p w:rsidR="002A4EFE" w:rsidRDefault="002A4EFE" w:rsidP="002A4EFE">
      <w:r>
        <w:t>Od rada se očekuje jedan konkretan ishod, a to je popis mjerila koja razlikuju djelotvorno od formalnog sredstva. Mjerila moraju biti takva da ih može primijeniti i stranka koja nije pravnik, jer se upravo takva stranka najčešće nađe pred izborom. Zbog toga su izvedena iz onoga što je u trenutku odlučivanja poznato: iz vrste postupka, iz toga je li tijelo već jednom odlučivalo, iz toga postoji li u spisu utvrđeno činjenično stanje i iz toga traži li stvar ocjenu koju zakon povjerava upravi. Rad ne nudi izmjene propisa, nego pokazuje što se unutar postojećeg okvira može bolje iskoristiti.</w:t>
      </w:r>
    </w:p>
    <w:p w:rsidR="002A4EFE" w:rsidRDefault="002A4EFE" w:rsidP="002A4EFE">
      <w:pPr>
        <w:pStyle w:val="Heading2"/>
      </w:pPr>
      <w:r>
        <w:t>1.2. Metoda, građa i pojmovna razgraničenja</w:t>
      </w:r>
    </w:p>
    <w:p w:rsidR="002A4EFE" w:rsidRDefault="002A4EFE" w:rsidP="002A4EFE">
      <w:r>
        <w:t>Metoda je dogmatska i strukturirana u tri koraka. Prvi korak utvrđuje što norma propisuje, dakle koji rokovi vrijede, kada počinju teći i kakvu posljedicu zakon veže uz njihov istek. Drugi korak utvrđuje kako se ta norma primjenjuje, i to na temelju objavljene sudske prakse i pravne literature koja tu praksu sređuje. Treći korak uspoređuje ta dva nalaza i imenuje mjesta na kojima se razilaze. Razilaženje nije samo po sebi nedostatak jer normu uvijek primjenjuje netko tko raspolaže s manje podataka nego zakonodavac, ali jest mjesto na kojem se vidi doseg pravnog sredstva. Analiza se zaustavlja ondje gdje bi za sljedeći korak trebalo empirijsko mjerenje trajanja postupaka.</w:t>
      </w:r>
    </w:p>
    <w:p w:rsidR="002A4EFE" w:rsidRDefault="002A4EFE" w:rsidP="002A4EFE">
      <w:r>
        <w:t>Građa obuhvaća važeće propise, prije svega opći upravni postupak i zakon kojim se uređuje upravni spor, zatim ustavnu odredbu o sudskoj kontroli pojedinačnih akata i konvencijsko jamstvo odlučivanja u razumnom roku. Uz propise su korišteni sustavni prikazi domaćega upravnog prava i radovi koji se bave rokovima i procesnom disciplinom. Sudska praksa ulazi u analizu kroz objavljene odluke i kroz njihove prikaze u literaturi, uz ogradu da objavljeni dio prakse nije reprezentativan uzorak nego izbor. Ta ograda nije formalnost: zaključci o učestalosti pojedinog ishoda u ovom se radu ne izvode, jer ih ovakva građa ne može nositi.</w:t>
      </w:r>
    </w:p>
    <w:p w:rsidR="002A4EFE" w:rsidRDefault="002A4EFE" w:rsidP="002A4EFE">
      <w:r>
        <w:lastRenderedPageBreak/>
        <w:t>Posljednje pitanje metode odnosi se na to kako se u radu koristi poredbena građa. Ona ne služi kao mjerilo domaćega rješenja niti kao izvor argumenta o tome što bi zakonodavac trebao propisati. Služi isključivo kao kontrast koji pomaže vidjeti izbor koji je domaći zakonodavac već napravio, osobito ondje gdje se taj izbor čini samorazumljivim. Kad se zna da postoje sustavi u kojima istek roka znači prešutno usvajanje zahtjeva, postaje jasno da domaće rješenje s izravnim uređenjem sredstava nije jedino moguće nego odabrano. Takvo korištenje poredbenoga materijala ne traži podatke o tuđoj praksi niti pretpostavlja njezino poznavanje, pa ostaje unutar građe kojom rad doista raspolaže.</w:t>
      </w:r>
    </w:p>
    <w:p w:rsidR="002A4EFE" w:rsidRDefault="002A4EFE" w:rsidP="002A4EFE">
      <w:r>
        <w:t>Pojmovno razgraničenje potrebno je na trima mjestima. Šutnja uprave nije isto što i odbijanje zahtjeva, jer odbijanje ima obrazloženje koje se dade ispitati, a šutnja nema ničega što bi se ispitivalo. Šutnja nije ni zastoj postupka, jer zastoj ima pravni osnov i vremenski okvir, dok šutnja nastaje protivno propisanome roku. Konačno, šutnja nije ni nečinjenje u smislu postupanja koje uopće nije usmjereno na donošenje rješenja, primjerice izostanka radnje koja se ne dovršava aktom. Ta tri razgraničenja nisu terminološka sitnica: o njima ovisi koje je sredstvo uopće dopušteno, a pogrešan izbor stranku vraća na početak.</w:t>
      </w:r>
    </w:p>
    <w:p w:rsidR="002A4EFE" w:rsidRDefault="002A4EFE" w:rsidP="002A4EFE">
      <w:pPr>
        <w:pStyle w:val="Heading1"/>
      </w:pPr>
      <w:r>
        <w:t>2. Normativni okvir šutnje uprave</w:t>
      </w:r>
    </w:p>
    <w:p w:rsidR="002A4EFE" w:rsidRDefault="002A4EFE" w:rsidP="002A4EFE">
      <w:r>
        <w:t>Normativni je okvir sastavljen od dvaju slojeva koji se često čitaju zajedno, a govore o različitim stvarima. Prvi su sloj rokovi, dakle vrijeme unutar kojega tijelo mora postupiti. Drugi su sloj posljedice isteka roka, dakle ovlasti koje nastaju kada se prvi sloj ne poštuje. Zakonodavac ta dva sloja piše jedan uz drugi, pa se stvara dojam da je riječ o jednoj normi, no njihova je narav različita. Rok je obveza upućena tijelu, a posljedica je ovlast dana stranci. Kad se to razdvoji, postaje jasno zašto istek roka ne čini raniji postupak nezakonitim, a ipak otvara put pravnom sredstvu.</w:t>
      </w:r>
    </w:p>
    <w:p w:rsidR="002A4EFE" w:rsidRDefault="002A4EFE" w:rsidP="002A4EFE">
      <w:r>
        <w:t>Razdvajanje dvaju slojeva objašnjava i zašto rokovi nisu jednaki u svim postupcima. Duljina roka izvedena je iz očekivanog opsega utvrđivanja činjenica, pa je kraća ondje gdje se odlučuje neposredno, a dulja ondje gdje se provodi ispitni postupak. Posljedica isteka pritom je ista bez obzira na duljinu, jer ne ovisi o tome koliko je posla trebalo obaviti nego o tome da posao nije obavljen na vrijeme. Pregled rokova i trenutka od kojega teku dan je u Tablici 1, a iz njega se vidi da razlike u duljini ne prate razlike u težini predmeta nego u vrsti postupanja.</w:t>
      </w:r>
    </w:p>
    <w:p w:rsidR="002A4EFE" w:rsidRDefault="002A4EFE" w:rsidP="002A4EFE">
      <w:pPr>
        <w:pStyle w:val="Heading2"/>
      </w:pPr>
      <w:r>
        <w:lastRenderedPageBreak/>
        <w:t>2.1. Rokovi za rješavanje i njihov pravni značaj</w:t>
      </w:r>
    </w:p>
    <w:p w:rsidR="002A4EFE" w:rsidRDefault="002A4EFE" w:rsidP="002A4EFE">
      <w:r>
        <w:t>Rok za rješavanje računa se od dana predaje urednog zahtjeva, a ne od dana kada tijelo predmet uzme u rad. Ta razlika nosi veći teret nego što se na prvi pogled čini, jer vrijeme koje protekne u uredskom poslovanju ide na teret tijela, a ne stranke. Uz neposredno rješavanje zakon predviđa kraći rok, a uz vođenje ispitnog postupka dulji, pri čemu izbor između tih dvaju načina nije slobodan nego ovisi o tome mogu li se činjenice utvrditi na temelju podataka kojima tijelo već raspolaže. Tijelo koje bez potrebe otvori ispitni postupak time si ne produljuje rok zakonito, iako praktično dobiva vrijeme.</w:t>
      </w:r>
    </w:p>
    <w:p w:rsidR="002A4EFE" w:rsidRDefault="002A4EFE" w:rsidP="002A4EFE">
      <w:r>
        <w:t>Uredan je zahtjev onaj koji sadrži sve što propis traži da bi se o njemu moglo odlučivati. Ako zahtjev ima nedostatke, tijelo poziva stranku da ih otkloni, a rok počinje teći tek nakon što nedostaci budu otklonjeni. Upravo ta odredba u praksi postaje sporna, jer poziv na dopunu može biti upućen i ondje gdje dopuna nije nužna. Time se trenutak početka roka pomiče, a šutnja formalno ne nastaje. Sudska praksa na to odgovara tako da ispituje je li traženi podatak uopće bio potreban za odlučivanje. Ako nije, rok se računa od prvotne predaje, a ne od dopune, pa se pomicanje početka ne priznaje.</w:t>
      </w:r>
    </w:p>
    <w:p w:rsidR="002A4EFE" w:rsidRDefault="002A4EFE" w:rsidP="002A4EFE">
      <w:r>
        <w:t>Značaj roka za rješavanje nije u tome da je njegovo prekoračenje sankcionirano ništavošću kasnijeg rješenja. Rješenje doneseno nakon isteka roka valjano je i proizvodi učinke, a tijelo ostaje nadležno odlučivati. Rok je dakle instruktivan u odnosu na valjanost akta, ali nije bez učinka, jer njegov istek otvara stranci sredstvo kojega prije nije imala. Takvo je rješenje promišljeno: kad bi zakašnjelo rješenje bilo nevaljano, stranka bi gubila i ono malo što je dobila, a tijelo bi imalo poticaj da predmet ne rješava uopće. Umjesto toga zakon zadržava valjanost akta i stranci daje izbor hoće li i dalje čekati.</w:t>
      </w:r>
    </w:p>
    <w:p w:rsidR="002A4EFE" w:rsidRDefault="002A4EFE" w:rsidP="002A4EFE">
      <w:r>
        <w:t>Poseban je slučaj kada duljinu roka propisuje poseban zakon. Tada opći rok ustupa mjesto posebnome, ali pravilo o posljedici isteka ostaje isto ako poseban zakon ne uredi drukčije. U praksi se to previdi, pa se sredstvo veže uz opći rok i podnese prerano ili prekasno. Takav se podnesak odbacuje, a stranka gubi vrijeme koje je htjela uštedjeti. Zbog toga je prvi korak u svakom predmetu utvrditi koji rok vrijedi, a tek drugi koje sredstvo slijedi. Taj redoslijed nije samorazumljiv jer stranka obično kreće od sredstva o kojem je čula, a ne od roka koji za njezin predmet vrijedi.</w:t>
      </w:r>
    </w:p>
    <w:p w:rsidR="002A4EFE" w:rsidRDefault="002A4EFE" w:rsidP="002A4EFE">
      <w:r>
        <w:t xml:space="preserve">Iz svega o rokovima slijedi jedno pravilo koje se rijetko izriče, a stalno primjenjuje. Rok se tumači u korist onoga tko ga ne nadzire, dakle u korist stranke, jer tijelo raspolaže svim podacima o tijeku predmeta, a stranka nijednim. Zbog toga se nejasnoća oko trenutka početka </w:t>
      </w:r>
      <w:r>
        <w:lastRenderedPageBreak/>
        <w:t>roka razrješava tako da se uzme raniji od mogućih datuma, a nejasnoća oko toga je li zahtjev bio uredan tako da se ispita je li traženi podatak doista bio nužan za odlučivanje. To pravilo nije zapisano kao odredba nego slijedi iz rasporeda znanja među sudionicima, i upravo se u tome vidi zašto je šutnja pitanje procesne ravnoteže, a ne samo računanja dana.</w:t>
      </w:r>
    </w:p>
    <w:p w:rsidR="002A4EFE" w:rsidRDefault="002A4EFE" w:rsidP="002A4EFE">
      <w:pPr>
        <w:pStyle w:val="Heading2"/>
      </w:pPr>
      <w:r>
        <w:t>2.2. Šutnja kao fikcija odbijanja i kao procesna činjenica</w:t>
      </w:r>
    </w:p>
    <w:p w:rsidR="002A4EFE" w:rsidRDefault="002A4EFE" w:rsidP="002A4EFE">
      <w:r>
        <w:t>Tradicionalno se objašnjenje šutnje uprave služi fikcijom odbijanja. Prema tom objašnjenju, kada rok istekne bez odluke, smatra se da je zahtjev odbijen, pa stranka može postupiti kao da ima negativno rješenje. Fikcija je pravno elegantna jer bez izmjene ostaloga sustava otvara put redovitim sredstvima. Njezina je cijena, međutim, u tome što uvodi akt kojega nema i time zamagljuje razliku između odluke koja je donesena i odluke koja je izostala. Ta razlika nije akademska: odbijeni zahtjev ima obrazloženje koje se pobija, a izostala odluka nema ništa što bi se pobijalo, pa se spor vodi o praznini.</w:t>
      </w:r>
    </w:p>
    <w:p w:rsidR="002A4EFE" w:rsidRDefault="002A4EFE" w:rsidP="002A4EFE">
      <w:r>
        <w:t>Domaći je zakonodavac od te fikcije odstupio i šutnju uredio izravno. Umjesto da se pretpostavlja odbijanje, propisuje se da stranka zbog nedonošenja rješenja može izjaviti žalbu, odnosno podnijeti tužbu. Sredstvo se time veže uz činjenicu isteka roka, a ne uz zamišljeni akt. Posljedica je da predmet spora nije zakonitost nepostojećeg rješenja nego propust da se odluči. Takvo je rješenje iskrenije prema stvarnosti i praktičnije za sud, jer sud ne mora pretpostavljati razloge kojih nema. Ono ujedno objašnjava zašto se u ovakvim predmetima ne raspravlja o obrazloženju nego o tome je li rok protekao i je li protek opravdan.</w:t>
      </w:r>
    </w:p>
    <w:p w:rsidR="002A4EFE" w:rsidRDefault="002A4EFE" w:rsidP="002A4EFE">
      <w:r>
        <w:t>Šutnja kao procesna činjenica ima tri obilježja koja je razlikuju od običnog kašnjenja. Prvo, nastaje automatski protekom vremena, bez ijedne radnje stranke ili tijela. Drugo, njezino se postojanje utvrđuje računski, usporedbom datuma, pa oko nje nema dokaznog spora u užem smislu. Treće, ne prestaje samim protekom dodatnog vremena nego tek donošenjem rješenja, zbog čega se sredstvo može podnijeti i mnogo kasnije. Ta tri obilježja zajedno objašnjavaju zašto je sredstvo protiv šutnje po pretpostavkama jednostavnije od redovite žalbe, a po ishodu neizvjesnije, jer lakoća ulaza ne govori ništa o tome što slijedi.</w:t>
      </w:r>
    </w:p>
    <w:p w:rsidR="002A4EFE" w:rsidRDefault="002A4EFE" w:rsidP="002A4EFE">
      <w:r>
        <w:t xml:space="preserve">Razlika između fikcije i izravnog uređenja ima i jednu posljedicu koja se pokaže tek u sporu. Ondje gdje vrijedi fikcija odbijanja, stranka mora tvrditi da je nepostojeća odluka nezakonita, pa argumentira protiv razloga koje sama mora pretpostaviti. Ondje gdje je šutnja uređena izravno, stranka tvrdi samo da je rok protekao, a teret objašnjenja prelazi na tijelo koje jedino zna zašto nije odlučilo. Time se smanjuje i prostor za pogrešku suda, jer sud više ne mora </w:t>
      </w:r>
      <w:r>
        <w:lastRenderedPageBreak/>
        <w:t>zamišljati sadržaj akta kojega nema. Ta razlika u rasporedu tvrdnji i tereta objašnjava zašto se izravno uređenje pokazalo trajnijim rješenjem od fikcije.</w:t>
      </w:r>
    </w:p>
    <w:p w:rsidR="002A4EFE" w:rsidRDefault="002A4EFE" w:rsidP="002A4EFE">
      <w:r>
        <w:t>Iz takva čitanja slijedi i odgovor na pitanje što je predmet ispitivanja. Tijelo ili sud ne ispituje sadržaj nepostojeće odluke nego utvrđuje je li nastala obveza odlučivanja, je li rok protekao i postoji li razlog koji protek opravdava. Opravdani su razlozi uski i vezani uz ponašanje stranke ili uz zakonske prekide, a preopterećenost tijela među njih ne ulazi. Takva je podjela tereta namjerna: organizacijski se problemi rješavaju sredstvima uprave, a ne na štetu stranke koja je uredno podnijela zahtjev. Odnos pretpostavki i mogućih ishoda po pojedinom sredstvu prikazan je u Tablici 2.</w:t>
      </w:r>
    </w:p>
    <w:p w:rsidR="002A4EFE" w:rsidRDefault="002A4EFE" w:rsidP="002A4EFE">
      <w:pPr>
        <w:pStyle w:val="Heading1"/>
      </w:pPr>
      <w:r>
        <w:t>3. Pravna sredstva i njihov stvarni domet</w:t>
      </w:r>
    </w:p>
    <w:p w:rsidR="002A4EFE" w:rsidRDefault="002A4EFE" w:rsidP="002A4EFE">
      <w:r>
        <w:t>Prije prikaza pojedinih sredstava potrebno je razdvojiti dva pitanja koja se u raspravi redovito spajaju. Prvo je pitanje dopuštenosti, dakle smije li se sredstvo uopće podnijeti u danoj situaciji. Drugo je pitanje učinkovitosti, dakle što se sredstvom postiže ako bude uspješno. Ta dva pitanja imaju različite odgovore i različite izvore: dopuštenost slijedi iz izričite odredbe, a učinkovitost iz okolnosti predmeta i iz postupanja tijela nakon što sredstvo uspije. Rasprava koja ih spoji dolazi do zaključka da je sustav potpun jer je svaki oblik nečinjenja pokriven, što je točan odgovor na prvo pitanje i nikakav odgovor na drugo.</w:t>
      </w:r>
    </w:p>
    <w:p w:rsidR="002A4EFE" w:rsidRDefault="002A4EFE" w:rsidP="002A4EFE">
      <w:r>
        <w:t>Katalog sredstava protiv šutnje uprave ima tri stupnja i svaki od njih odgovara drukčijoj situaciji. Prvi je stupanj žalba zbog nedonošenja rješenja, koja se upućuje tijelu nadređenom onome koje šuti. Drugi je prigovor, namijenjen postupanju koje se ne dovršava rješenjem, pa žalba na njega nije primjenjiva. Treći je tužba upravnome sudu, koja dolazi kada je drugostupanjski put iscrpljen ili ga uopće nema. Redoslijed nije stvar izbora nego pretpostavki, a upravo se na tom mjestu najčešće griješi, jer stranka posegne za sudom prije nego što je upravni put dovršen.</w:t>
      </w:r>
    </w:p>
    <w:p w:rsidR="002A4EFE" w:rsidRDefault="002A4EFE" w:rsidP="002A4EFE">
      <w:r>
        <w:t>Domet svakog sredstva mjeri se dvama pitanjima. Prvo je što sredstvo može proizvesti u najboljem slučaju, dakle je li njegov krajnji doseg nalog da se odluči ili odluka o samom pravu. Drugo je koliko vremena traži put do toga ishoda, uključujući vrijeme koje se troši nakon što sredstvo formalno uspije. Ta dva pitanja daju različit poredak sredstava: ono koje je najbrže rijetko je i ono koje najviše postiže. Prikaz puta predmeta od isteka roka do konačne odluke dan je na Slici 1, a on pokazuje da se glavni gubitak vremena ne događa unutar sredstva nego u prijelazima između stupnjeva.</w:t>
      </w:r>
    </w:p>
    <w:p w:rsidR="002A4EFE" w:rsidRDefault="002A4EFE" w:rsidP="002A4EFE">
      <w:pPr>
        <w:pStyle w:val="Heading2"/>
      </w:pPr>
      <w:r>
        <w:lastRenderedPageBreak/>
        <w:t>3.1. Žalba i prigovor zbog nedonošenja rješenja</w:t>
      </w:r>
    </w:p>
    <w:p w:rsidR="002A4EFE" w:rsidRDefault="002A4EFE" w:rsidP="002A4EFE">
      <w:r>
        <w:t>Žalba zbog nedonošenja rješenja izjavljuje se nakon isteka roka i nije vezana uz poseban rok za podnošenje. Ta je nevezanost logična posljedica toga što obveza odlučivanja traje sve dok odluka ne bude donesena, pa se ni pravo na sredstvo ne gasi protekom vremena. Drugostupanjsko tijelo, primivši takvu žalbu, prvo utvrđuje je li obveza postojala i je li rok istekao. Ako jest, traži od prvostupanjskog tijela očitovanje o razlozima, čime se u postupak uvodi objašnjenje kojega dotad nije bilo. Upravo to očitovanje u praksi često dovede do rješenja bez daljnjeg odlučivanja, jer tijelo predmet dovrši prije nego što drugi stupanj odluči.</w:t>
      </w:r>
    </w:p>
    <w:p w:rsidR="002A4EFE" w:rsidRDefault="002A4EFE" w:rsidP="002A4EFE">
      <w:r>
        <w:t>Kada očitovanje izostane ili razlozi ne opravdaju protek roka, drugostupanjsko tijelo ima dva puta. Može naložiti prvostupanjskom tijelu da odluči u određenom roku ili može samo riješiti stvar. Izbor između tih dvaju putova nije prepušten slobodnoj ocjeni nego ovisi o tome raspolaže li drugi stupanj podacima potrebnima za odlučivanje. Ako je činjenično stanje u spisu utvrđeno, nema razloga da se predmet vraća, jer vraćanje ne donosi ništa osim novoga kruga čekanja. Ako činjenice nisu utvrđene, vraćanje je nužno, ali bi tada nalog morao sadržavati i određen rok, inače sredstvo završava uputom bez vremenskog okvira.</w:t>
      </w:r>
    </w:p>
    <w:p w:rsidR="002A4EFE" w:rsidRDefault="002A4EFE" w:rsidP="002A4EFE">
      <w:r>
        <w:t>Prigovor pokriva prostor koji žalba ne doseže. Kada se postupanje tijela ne dovršava rješenjem, primjerice kod radnji i pružanja javnih usluga, izostanak akta ne može se pobijati žalbom jer akta nema ni u zamisli. Prigovor je tada jedino sredstvo kojim stranka može tražiti otklanjanje nepravilnosti. Njegova je snaga u brzini, a slabost u tome što ishod nije odluka o pravu nego ispravak postupanja. Stranka koja očekuje rješenje, a dobije obavijest da je nepravilnost otklonjena, s pravom smatra da nije dobila ono što je tražila, iako je sredstvo formalno uspjelo.</w:t>
      </w:r>
    </w:p>
    <w:p w:rsidR="002A4EFE" w:rsidRDefault="002A4EFE" w:rsidP="002A4EFE">
      <w:r>
        <w:t>Posebno je pitanje što se događa kada drugostupanjsko tijelo samo prekorači rok za odlučivanje o žalbi. Tada nastaje druga šutnja, ovaj put na višoj razini, i stranka se nalazi u položaju koji je formalno jednak početnome, ali je vremenski znatno lošiji. Zakon na to odgovara tako da otvara put upravnome sporu, čime se sprječava da se krugovi unutar uprave ponavljaju bez kraja. Ipak, taj odgovor dolazi tek nakon što je drugo razdoblje čekanja proteklo u cijelosti. Sredstvo koje se otvara tek nakon novoga čekanja djelotvorno je u smislu dostupnosti, ali ne i u smislu vremena, a upravo je vrijeme ono što stranka gubi.</w:t>
      </w:r>
    </w:p>
    <w:p w:rsidR="002A4EFE" w:rsidRDefault="002A4EFE" w:rsidP="002A4EFE">
      <w:r>
        <w:t xml:space="preserve">Zajednička je slabost obaju sredstava u tome što se njihov uspjeh mjeri radnjom drugoga. Žalba uspijeva kada prvostupanjsko tijelo odluči ili kada drugi stupanj preuzme predmet, a prigovor kada tijelo promijeni način postupanja. Stranka u obama slučajevima ostaje ovisna o </w:t>
      </w:r>
      <w:r>
        <w:lastRenderedPageBreak/>
        <w:t>postupanju onoga tko je već jednom propustio postupiti. Zbog toga je pitanje roka u nalogu drugostupanjskog tijela ključno, a ne tehničko. Nalog bez roka ponavlja izvornu situaciju na višoj razini i stvara dojam pravne zaštite bez njezina učinka. Nalog s rokom, naprotiv, stvara novu procesnu činjenicu čiji istek ponovno otvara put sredstvu.</w:t>
      </w:r>
    </w:p>
    <w:p w:rsidR="002A4EFE" w:rsidRDefault="002A4EFE" w:rsidP="002A4EFE">
      <w:pPr>
        <w:pStyle w:val="Heading2"/>
      </w:pPr>
      <w:r>
        <w:t>3.2. Tužba zbog nedonošenja i reformacijska ovlast suda</w:t>
      </w:r>
    </w:p>
    <w:p w:rsidR="002A4EFE" w:rsidRDefault="002A4EFE" w:rsidP="002A4EFE">
      <w:r>
        <w:t>Tužba zbog nedonošenja pojedinačne odluke pretpostavlja da je upravni put iscrpljen ili da ga nema. Iscrpljenost znači da je stranka iskoristila žalbu, a odluka po njoj nije donesena u propisanom roku, odnosno da je žalba odbijena bez rješavanja stvari. Kada žalba uopće nije dopuštena, tužba se podnosi izravno nakon isteka roka za rješavanje. Ta pretpostavka nije formalnost jer sud ne može preuzeti posao koji uprava još nije imala priliku obaviti. Ujedno je to mjesto na kojem se gubi najviše vremena, budući da stranka do suda dolazi tek nakon dvaju neuspjelih krugova unutar uprave.</w:t>
      </w:r>
    </w:p>
    <w:p w:rsidR="002A4EFE" w:rsidRDefault="002A4EFE" w:rsidP="002A4EFE">
      <w:r>
        <w:t>Predmet spora u takvoj tužbi nije zakonitost akta nego propust da se akt donese. Sud stoga utvrđuje tri stvari: je li postojala obveza odlučivanja, je li rok protekao i postoji li opravdan razlog za protek. Dokazivanje je usmjereno na spis, pa se rasprava rijetko pokazuje potrebnom. Teret objašnjenja praktično je na tijelu, jer ono jedino raspolaže podacima o tijeku predmeta. Takav je raspored nužan jer stranka nema uvid u unutarnje poslovanje tijela i ne može znati zašto predmet stoji. Sud pritom ne ocjenjuje opterećenost tijela nego samo je li kašnjenje uzrokovano razlogom koji zakon priznaje.</w:t>
      </w:r>
    </w:p>
    <w:p w:rsidR="002A4EFE" w:rsidRDefault="002A4EFE" w:rsidP="002A4EFE">
      <w:r>
        <w:t>Najvažnija je ovlast suda da sam riješi stvar kada narav stvari to dopušta i kada podaci postupka za to daju pouzdanu osnovu. Ta ovlast presudu pretvara iz naloga u odluku o pravu i jedina prekida krug vraćanja predmeta. Njezine su granice, međutim, stvarne. Sud ne može sam riješiti stvar kada odluka traži ocjenu koju zakon povjerava upravi, niti kada činjenice nisu utvrđene u mjeri koja dopušta odlučivanje. U tim slučajevima presuda nalaže donošenje odluke u određenom roku, čime se postupak vraća onamo odakle je i krenuo, ali sada s vremenskim okvirom koji ranije nije postojao.</w:t>
      </w:r>
    </w:p>
    <w:p w:rsidR="002A4EFE" w:rsidRDefault="002A4EFE" w:rsidP="002A4EFE">
      <w:r>
        <w:t xml:space="preserve">Uz meritorno odlučivanje i nalog, presuda u ovakvom sporu nosi i treći učinak koji se često previdi. Ona utvrđuje da je obveza odlučivanja postojala i da je rok protekao bez opravdanja, čime nastaje činjenična osnova za druge postupke, prije svega za naknadu štete i za nadzor nad radom tijela. Taj se učinak ne vidi u izreci nego u obrazloženju, pa ga stranka koja gleda samo ishod lako previdi. Za procjenu vrijednosti sredstva on je ipak bitan: spor koji je završio </w:t>
      </w:r>
      <w:r>
        <w:lastRenderedPageBreak/>
        <w:t>nalogom, a ne odlukom o pravu, nije ostao bez rezultata jer je proizveo utvrđenje koje se dalje može upotrijebiti.</w:t>
      </w:r>
    </w:p>
    <w:p w:rsidR="002A4EFE" w:rsidRDefault="002A4EFE" w:rsidP="002A4EFE">
      <w:r>
        <w:t>Praktična vrijednost reformacijske ovlasti ovisi o tome koliko je često njezina pretpostavka ispunjena. Predmeti u kojima je činjenično stanje potpuno utvrđeno, a sporno je samo pravno pitanje, pogodni su za takvo odlučivanje i u njima sud doista skraćuje put. Predmeti u kojima je izostala svaka radnja tijela po naravi stvari nisu pogodni, jer spis ne sadrži ništa na čemu bi se odluka temeljila. Iz toga slijedi zaključak obrnut od očekivanoga: što je propust tijela teži, to je vjerojatnije da sud neće moći sam odlučiti. Tri mjesta na kojima se vrijeme gubi prikazana su na Slici 2.</w:t>
      </w:r>
    </w:p>
    <w:p w:rsidR="002A4EFE" w:rsidRDefault="002A4EFE" w:rsidP="002A4EFE">
      <w:pPr>
        <w:pStyle w:val="Heading1"/>
      </w:pPr>
      <w:r>
        <w:t>4. Granice: zašto sredstvo koje postoji ne mora i djelovati</w:t>
      </w:r>
    </w:p>
    <w:p w:rsidR="002A4EFE" w:rsidRDefault="002A4EFE" w:rsidP="002A4EFE">
      <w:r>
        <w:t>Dosadašnja analiza pokazuje da katalog sredstava nema praznina. Svakom obliku nečinjenja odgovara sredstvo, a krajnja je zaštita sudska i obuhvaća mogućnost meritornog odlučivanja. Ako se djelotvornost mjeri pokrivenošću, sustav prolazi. Problem nastaje kada se mjeri vremenom i ishodom, jer se tada pokazuje da isto sredstvo u dvama predmetima daje bitno različit učinak. Razlika ne dolazi iz norme, koja je za oba predmeta ista, nego iz okolnosti koje norma ne uređuje. Te okolnosti nisu slučajne niti se svode na osobitosti pojedinog predmeta, pa ih je moguće imenovati i opisati.</w:t>
      </w:r>
    </w:p>
    <w:p w:rsidR="002A4EFE" w:rsidRDefault="002A4EFE" w:rsidP="002A4EFE">
      <w:r>
        <w:t>Tri su takve okolnosti i svaka od njih djeluje neovisno o ostalima. Prva je trajanje drugoga kruga odlučivanja, dakle vrijeme koje protekne nakon što sredstvo formalno uspije. Druga je raspored troška čekanja, dakle pitanje tko snosi gubitak nastao time što odluke nema. Treća je vraćanje predmeta u prvi stupanj, koje umnožava broj krugova bez jamstva da će posljednji krug završiti odlukom. Sve tri djeluju u istom smjeru: povećavaju razmak između trenutka u kojem je sredstvo uspjelo i trenutka u kojem stranka dobiva ono zbog čega je postupak i pokrenula.</w:t>
      </w:r>
    </w:p>
    <w:p w:rsidR="002A4EFE" w:rsidRDefault="002A4EFE" w:rsidP="002A4EFE">
      <w:r>
        <w:t xml:space="preserve">Važno je naglasiti da nijedna od tih triju okolnosti nije nedostatak u smislu propusta zakonodavca. Trajanje drugoga kruga posljedica je toga što odlučivanje traži vrijeme, raspored troška posljedica je toga što uprava odlučuje o pravima drugih, a ne o vlastitim interesima, a vraćanje predmeta posljedica je podjele nadležnosti između stupnjeva. Svaka od njih ima razlog koji se dade obraniti kada se promatra sama za sebe. Tek kad se promatraju zajedno, pokazuje se da njihov zbroj proizvodi ishod koji nijedna od njih pojedinačno ne bi </w:t>
      </w:r>
      <w:r>
        <w:lastRenderedPageBreak/>
        <w:t>opravdala. Zbog toga se granica djelotvornosti ne uklanja uklanjanjem jedne okolnosti nego mjerenjem njihova zajedničkog učinka.</w:t>
      </w:r>
    </w:p>
    <w:p w:rsidR="002A4EFE" w:rsidRDefault="002A4EFE" w:rsidP="002A4EFE">
      <w:pPr>
        <w:pStyle w:val="Heading2"/>
      </w:pPr>
      <w:r>
        <w:t>4.1. Vrijeme, teret i vraćanje predmeta u prvi stupanj</w:t>
      </w:r>
    </w:p>
    <w:p w:rsidR="002A4EFE" w:rsidRDefault="002A4EFE" w:rsidP="002A4EFE">
      <w:r>
        <w:t>Vrijeme je prva i najvidljivija granica. Sredstvo protiv šutnje uvijek dolazi nakon isteka roka, pa se njegovo trajanje pribraja vremenu koje je već izgubljeno. Kada drugostupanjsko tijelo naloži odlučivanje u dodatnom roku, ukupno trajanje postaje zbroj triju razdoblja: izvornoga roka, trajanja postupka po sredstvu i dodatnoga roka iz naloga. Ako u posljednjem razdoblju odluka ponovno izostane, ciklus se nastavlja iz početka. Formalno gledano, stranka je i dalje zaštićena jer joj sredstvo opet stoji na raspolaganju. Sadržajno gledano, zaštita koja se može ponavljati bez ograničenja u praksi počinje nalikovati odsutnosti zaštite.</w:t>
      </w:r>
    </w:p>
    <w:p w:rsidR="002A4EFE" w:rsidRDefault="002A4EFE" w:rsidP="002A4EFE">
      <w:r>
        <w:t>Teret čekanja raspoređen je asimetrično i to nije posljedica propusta nego strukture. Tijelo koje ne odluči ne trpi neposrednu pravnu posljedicu, dok stranka trpi cijeli gubitak, bez obzira na to je li joj zahtjev na kraju usvojen. U predmetima u kojima odluka uvjetuje obavljanje djelatnosti ili stjecanje prava gubitak raste svakim mjesecom i nakon određenog vremena postaje veći od vrijednosti samoga prava. Pravni sustav taj gubitak prepoznaje tek naknadno i posredno, kroz odgovornost za štetu, a taj put traži nov postupak i nov teret dokazivanja. Za stranku to znači da se rješenje jednog problema kupuje otvaranjem drugoga.</w:t>
      </w:r>
    </w:p>
    <w:p w:rsidR="002A4EFE" w:rsidRDefault="002A4EFE" w:rsidP="002A4EFE">
      <w:r>
        <w:t>Vraćanje predmeta u prvi stupanj treća je i najmanje primijećena granica. Doživljava se kao neutralan tehnički postupak, jer predmet ostaje u sustavu i nastavlja se rješavati. Njegov je učinak, međutim, poništenje dobitka koji je sredstvo ostvarilo, budući da se odlučivanje vraća upravo onome tko je već jednom propustio odlučiti. Vraćanje je opravdano samo kada činjenice nisu utvrđene i kada ih viša razina ne može utvrditi bez ponavljanja cijeloga postupka. Kada je spis potpun, vraćanje nije nužnost nego izbor, a taj izbor treba obrazložiti jednako pažljivo kao i odluku o samom pravu.</w:t>
      </w:r>
    </w:p>
    <w:p w:rsidR="002A4EFE" w:rsidRDefault="002A4EFE" w:rsidP="002A4EFE">
      <w:r>
        <w:t>Postoji i četvrta okolnost koja se ne dade svrstati uz prethodne tri jer djeluje prije njih. Riječ je o tome zna li stranka uopće da sredstvo postoji. Šutnja, za razliku od rješenja, ne dolazi s uputom o pravnom lijeku, jer nema akta uz koji bi uputa bila vezana. Stranka koja čeka zato često ne zna ni da je rok protekao, a još rjeđe zna što nakon toga može učiniti. Zbog toga se dio predmeta uopće ne pojavi među podnesenim sredstvima, i to ne zato što stranka nije htjela reagirati nego zato što nije imala odakle saznati da može. Ta je okolnost nevidljiva svakoj mjeri koja polazi od podnesenih sredstava.</w:t>
      </w:r>
    </w:p>
    <w:p w:rsidR="002A4EFE" w:rsidRDefault="002A4EFE" w:rsidP="002A4EFE">
      <w:r>
        <w:lastRenderedPageBreak/>
        <w:t>Tri granice zajedno objašnjavaju zašto se percepcija stranke i ocjena pravnika toliko razilaze. Pravnik gleda pretpostavke i ishod pojedinog sredstva i zaključuje da je sustav potpun. Stranka gleda vrijeme od predaje zahtjeva do odluke i zaključuje da sredstva nisu pomogla. Oba su pogleda točna jer mjere različite stvari. Pomirenje tih dvaju pogleda ne traži izmjenu propisa nego uvođenje mjere koja danas nedostaje, a to je trajanje ukupnog puta predmeta. Bez te mjere svaka rasprava o djelotvornosti ostaje rasprava o katalogu, a katalog je, kako je pokazano, već sada potpun.</w:t>
      </w:r>
    </w:p>
    <w:p w:rsidR="002A4EFE" w:rsidRDefault="002A4EFE" w:rsidP="002A4EFE">
      <w:pPr>
        <w:pStyle w:val="Heading2"/>
      </w:pPr>
      <w:r>
        <w:t>4.2. Odgovornost službenika i institucionalni odgovor</w:t>
      </w:r>
    </w:p>
    <w:p w:rsidR="002A4EFE" w:rsidRDefault="002A4EFE" w:rsidP="002A4EFE">
      <w:r>
        <w:t>Uz sredstva koja pripadaju stranci, sustav poznaje i odgovor koji pripada samoj upravi. Nadzor nad zakonitošću rada javnopravnih tijela obuhvaća i postupanje u rokovima, pa ponovljen propust može dovesti do mjera prema tijelu i prema odgovornoj osobi. Taj put ne pokreće stranka i o njegovu ishodu ona najčešće ne bude obaviještena. Njegova vrijednost stoga nije u pojedinom predmetu nego u učinku na buduće postupanje. Upravo ga zato treba vrednovati drugim mjerilom: ne pita se je li stranka dobila odluku, nego smanjuje li se broj predmeta u kojima odluka izostaje.</w:t>
      </w:r>
    </w:p>
    <w:p w:rsidR="002A4EFE" w:rsidRDefault="002A4EFE" w:rsidP="002A4EFE">
      <w:r>
        <w:t>Disciplinska odgovornost službenika načelno pokriva propust u obavljanju poslova, uključujući nepoštovanje rokova. U praksi se rijetko veže uz šutnju, i to iz razloga koji nije pravne naravi. Kašnjenje je gotovo uvijek posljedica zbroja okolnosti, pa je teško izdvojiti pojedinačan propust koji bi se pripisao određenoj osobi. Kad je predmet stajao zbog broja neriješenih spisa ili zbog čekanja na podatak drugoga tijela, odgovornost pojedinca izostaje jer izostaje i njegova mogućnost da postupi drukčije. Iz toga ne slijedi da je odgovornost bespredmetna, nego da je primjerena samo u onim slučajevima u kojima je propust doista individualan.</w:t>
      </w:r>
    </w:p>
    <w:p w:rsidR="002A4EFE" w:rsidRDefault="002A4EFE" w:rsidP="002A4EFE">
      <w:r>
        <w:t>Institucionalni odgovor koji najizravnije djeluje na šutnju nije sankcija nego vidljivost. Tijelo koje redovito objavljuje koliko predmeta rješava unutar roka izloženo je usporedbi i time poticaju koji nijedno pojedinačno sredstvo ne stvara. Takvo je mjerenje ujedno pretpostavka svake ozbiljne rasprave o uzrocima kašnjenja, jer bez podataka rasprava ostaje na dojmovima. Domaći okvir za takvo objavljivanje postoji kroz propise o pristupu informacijama, no podaci o trajanju postupaka nisu ujednačeni, pa usporedba između tijela nije pouzdana. Uvođenje jedinstvenoga načina mjerenja stoga je jeftiniji zahvat od bilo koje izmjene sustava sredstava.</w:t>
      </w:r>
    </w:p>
    <w:p w:rsidR="002A4EFE" w:rsidRDefault="002A4EFE" w:rsidP="002A4EFE">
      <w:r>
        <w:t xml:space="preserve">Vidljivost kao institucionalni odgovor ima i svoju cijenu, koju treba izreći da prikaz ne bude jednostran. Objavljivanje podataka o trajanju postupaka stvara pritisak koji tijelo može </w:t>
      </w:r>
      <w:r>
        <w:lastRenderedPageBreak/>
        <w:t>ublažiti i na način koji nije poželjan, primjerice tako da prednost daje jednostavnim predmetima kojima se brzo popravlja prosjek. Takvo ponašanje nije kršenje propisa nego razuman odgovor na mjerilo koje mjeri samo prosječno trajanje. Zbog toga bi svako uvođenje mjerenja moralo obuhvatiti i raspodjelu, a ne samo prosjek, dakle udio predmeta koji čekaju najdulje. Mjerilo koje se dade zadovoljiti bez ikakve promjene u najtežim predmetima ne rješava upravo ono zbog čega je uvedeno.</w:t>
      </w:r>
    </w:p>
    <w:p w:rsidR="002A4EFE" w:rsidRDefault="002A4EFE" w:rsidP="002A4EFE">
      <w:r>
        <w:t>Iz svega slijedi da su pravna sredstva i institucionalni odgovor komplementarni, a ne zamjenjivi. Sredstvo pomaže stranci u njezinu predmetu, ali ne djeluje na uzrok. Institucionalni odgovor djeluje na uzrok, ali ne pomaže stranci koja već čeka. Sustav koji se oslanja samo na prvo trpi ponavljanje istih predmeta, a sustav koji se oslanja samo na drugo ostavlja pojedinca bez zaštite. Ravnoteža između njih nije normativno pitanje jer su obje poluge već uređene, nego pitanje primjene, i to primjene koja se dade izmjeriti. Mjerenje je zato zajednička pretpostavka obiju poluga, a ne dodatak jednoj od njih.</w:t>
      </w:r>
    </w:p>
    <w:p w:rsidR="002A4EFE" w:rsidRDefault="002A4EFE" w:rsidP="002A4EFE">
      <w:pPr>
        <w:pStyle w:val="Heading1"/>
      </w:pPr>
      <w:r>
        <w:t>5. Rasprava i zaključak</w:t>
      </w:r>
    </w:p>
    <w:p w:rsidR="002A4EFE" w:rsidRDefault="002A4EFE" w:rsidP="002A4EFE">
      <w:r>
        <w:t>Rad je pošao od pitanja pod kojim uvjetima sredstva protiv šutnje uprave dovode do meritorne odluke. Odgovor se dade sažeti u tri uvjeta koja se mogu provjeriti prije izbora sredstva. Prvi je potpunost spisa: ako su činjenice utvrđene, viša razina ili sud mogu odlučiti sami i put se skraćuje. Drugi je narav stvari: ako odluka traži ocjenu koju zakon povjerava upravi, meritorno odlučivanje izvan uprave otpada bez obzira na potpunost spisa. Treći je postojanje roka u nalogu: sredstvo koje završi uputom bez vremenskoga okvira ponavlja izvornu situaciju na višoj razini.</w:t>
      </w:r>
    </w:p>
    <w:p w:rsidR="002A4EFE" w:rsidRDefault="002A4EFE" w:rsidP="002A4EFE">
      <w:r>
        <w:t>Ta tri uvjeta objašnjavaju i naizgled proturječan nalaz do kojega je analiza došla. Što je propust tijela teži, to je manja vjerojatnost da će sredstvo završiti odlukom o pravu, jer teži propust znači prazniji spis, a prazniji spis isključuje meritorno odlučivanje. Sustav time najslabije štiti upravo one predmete u kojima je zaštita najpotrebnija. Taj nalaz ne proizlazi iz nedostatka norme nego iz njezine unutarnje logike, pa ga se ne može ukloniti dodavanjem novoga sredstva. Ublažiti ga može jedino dosljedno određivanje roka u svakom nalogu i obrazloženo odbijanje vraćanja predmeta kada je spis potpun.</w:t>
      </w:r>
    </w:p>
    <w:p w:rsidR="002A4EFE" w:rsidRDefault="002A4EFE" w:rsidP="002A4EFE">
      <w:r>
        <w:t xml:space="preserve">Preostaje reći što ovaj rad nije pokazao, jer je i to dio odgovora. Nije pokazano koliko predmeta u praksi završi nalogom, a koliko odlukom o pravu, niti koliko traje put od isteka roka do konačne odluke. Ti podaci nisu bili dostupni u građi kojom se rad služio i ne mogu se </w:t>
      </w:r>
      <w:r>
        <w:lastRenderedPageBreak/>
        <w:t>nadomjestiti pravnom analizom, koliko god ona bila dosljedna. Zaključci rada zato vrijede kao tvrdnje o tome što sustav omogućuje i pod kojim uvjetima, a ne kao tvrdnje o tome što se u njemu najčešće događa. Razlikovanje tih dviju razina nije opreznost nego uvjet da nalaz ostane provjerljiv.</w:t>
      </w:r>
    </w:p>
    <w:p w:rsidR="002A4EFE" w:rsidRDefault="002A4EFE" w:rsidP="002A4EFE">
      <w:r>
        <w:t>Zaključno, šutnja uprave nije praznina nego procesna činjenica s vlastitim režimom, a domaći je zakonodavac tu činjenicu uredio izravno, bez oslanjanja na fikciju odbijanja. Katalog je sredstava potpun i sudska zaštita doseže do meritornog odlučivanja. Granice djelotvornosti ne leže u katalogu nego u trajanju puta, u rasporedu tereta čekanja i u vraćanju predmeta u prvi stupanj. Zbog toga se djelotvornost zaštite ne povećava novim sredstvom nego mjerenjem vremena koje postojeća sredstva troše. Daljnje bi istraživanje trebalo upravo to izmjeriti, jer je bez podataka o trajanju svaka ocjena sustava nužno ocjena njegova nacrta, a ne njegova učinka.</w:t>
      </w:r>
    </w:p>
    <w:p w:rsidR="002A4EFE" w:rsidRDefault="002A4EFE" w:rsidP="002A4EFE">
      <w:r>
        <w:t>Tablica 1. Rokovi za rješavanje i trenutak od kojega teku</w:t>
      </w:r>
    </w:p>
    <w:tbl>
      <w:tblPr>
        <w:tblW w:w="0" w:type="auto"/>
        <w:tblLayout w:type="fixed"/>
        <w:tblLook w:val="0000" w:firstRow="0" w:lastRow="0" w:firstColumn="0" w:lastColumn="0" w:noHBand="0" w:noVBand="0"/>
      </w:tblPr>
      <w:tblGrid>
        <w:gridCol w:w="3096"/>
        <w:gridCol w:w="3096"/>
        <w:gridCol w:w="3096"/>
      </w:tblGrid>
      <w:tr w:rsidR="002A4EFE">
        <w:tblPrEx>
          <w:tblCellMar>
            <w:top w:w="0" w:type="dxa"/>
            <w:bottom w:w="0" w:type="dxa"/>
          </w:tblCellMar>
        </w:tblPrEx>
        <w:tc>
          <w:tcPr>
            <w:tcW w:w="3096" w:type="dxa"/>
          </w:tcPr>
          <w:p w:rsidR="002A4EFE" w:rsidRDefault="002A4EFE" w:rsidP="002A4EFE">
            <w:r>
              <w:t>Vrsta postupanja</w:t>
            </w:r>
          </w:p>
        </w:tc>
        <w:tc>
          <w:tcPr>
            <w:tcW w:w="3096" w:type="dxa"/>
          </w:tcPr>
          <w:p w:rsidR="002A4EFE" w:rsidRDefault="002A4EFE" w:rsidP="002A4EFE">
            <w:r>
              <w:t>Rok za rješavanje</w:t>
            </w:r>
          </w:p>
        </w:tc>
        <w:tc>
          <w:tcPr>
            <w:tcW w:w="3096" w:type="dxa"/>
          </w:tcPr>
          <w:p w:rsidR="002A4EFE" w:rsidRDefault="002A4EFE" w:rsidP="002A4EFE">
            <w:r>
              <w:t>Trenutak od kojega rok teče</w:t>
            </w:r>
          </w:p>
        </w:tc>
      </w:tr>
      <w:tr w:rsidR="002A4EFE">
        <w:tblPrEx>
          <w:tblCellMar>
            <w:top w:w="0" w:type="dxa"/>
            <w:bottom w:w="0" w:type="dxa"/>
          </w:tblCellMar>
        </w:tblPrEx>
        <w:tc>
          <w:tcPr>
            <w:tcW w:w="3096" w:type="dxa"/>
          </w:tcPr>
          <w:p w:rsidR="002A4EFE" w:rsidRDefault="002A4EFE" w:rsidP="002A4EFE">
            <w:r>
              <w:t>Neposredno rješavanje</w:t>
            </w:r>
          </w:p>
        </w:tc>
        <w:tc>
          <w:tcPr>
            <w:tcW w:w="3096" w:type="dxa"/>
          </w:tcPr>
          <w:p w:rsidR="002A4EFE" w:rsidRDefault="002A4EFE" w:rsidP="002A4EFE">
            <w:r>
              <w:t>trideset dana</w:t>
            </w:r>
          </w:p>
        </w:tc>
        <w:tc>
          <w:tcPr>
            <w:tcW w:w="3096" w:type="dxa"/>
          </w:tcPr>
          <w:p w:rsidR="002A4EFE" w:rsidRDefault="002A4EFE" w:rsidP="002A4EFE">
            <w:r>
              <w:t>dan predaje urednog zahtjeva</w:t>
            </w:r>
          </w:p>
        </w:tc>
      </w:tr>
      <w:tr w:rsidR="002A4EFE">
        <w:tblPrEx>
          <w:tblCellMar>
            <w:top w:w="0" w:type="dxa"/>
            <w:bottom w:w="0" w:type="dxa"/>
          </w:tblCellMar>
        </w:tblPrEx>
        <w:tc>
          <w:tcPr>
            <w:tcW w:w="3096" w:type="dxa"/>
          </w:tcPr>
          <w:p w:rsidR="002A4EFE" w:rsidRDefault="002A4EFE" w:rsidP="002A4EFE">
            <w:r>
              <w:t>Rješavanje uz ispitni postupak</w:t>
            </w:r>
          </w:p>
        </w:tc>
        <w:tc>
          <w:tcPr>
            <w:tcW w:w="3096" w:type="dxa"/>
          </w:tcPr>
          <w:p w:rsidR="002A4EFE" w:rsidRDefault="002A4EFE" w:rsidP="002A4EFE">
            <w:r>
              <w:t>šezdeset dana</w:t>
            </w:r>
          </w:p>
        </w:tc>
        <w:tc>
          <w:tcPr>
            <w:tcW w:w="3096" w:type="dxa"/>
          </w:tcPr>
          <w:p w:rsidR="002A4EFE" w:rsidRDefault="002A4EFE" w:rsidP="002A4EFE">
            <w:r>
              <w:t>dan predaje urednog zahtjeva</w:t>
            </w:r>
          </w:p>
        </w:tc>
      </w:tr>
      <w:tr w:rsidR="002A4EFE">
        <w:tblPrEx>
          <w:tblCellMar>
            <w:top w:w="0" w:type="dxa"/>
            <w:bottom w:w="0" w:type="dxa"/>
          </w:tblCellMar>
        </w:tblPrEx>
        <w:tc>
          <w:tcPr>
            <w:tcW w:w="3096" w:type="dxa"/>
          </w:tcPr>
          <w:p w:rsidR="002A4EFE" w:rsidRDefault="002A4EFE" w:rsidP="002A4EFE">
            <w:r>
              <w:t>Postupanje po posebnom zakonu</w:t>
            </w:r>
          </w:p>
        </w:tc>
        <w:tc>
          <w:tcPr>
            <w:tcW w:w="3096" w:type="dxa"/>
          </w:tcPr>
          <w:p w:rsidR="002A4EFE" w:rsidRDefault="002A4EFE" w:rsidP="002A4EFE">
            <w:r>
              <w:t>rok iz posebnog zakona</w:t>
            </w:r>
          </w:p>
        </w:tc>
        <w:tc>
          <w:tcPr>
            <w:tcW w:w="3096" w:type="dxa"/>
          </w:tcPr>
          <w:p w:rsidR="002A4EFE" w:rsidRDefault="002A4EFE" w:rsidP="002A4EFE">
            <w:r>
              <w:t>dan koji određuje poseban zakon</w:t>
            </w:r>
          </w:p>
        </w:tc>
      </w:tr>
      <w:tr w:rsidR="002A4EFE">
        <w:tblPrEx>
          <w:tblCellMar>
            <w:top w:w="0" w:type="dxa"/>
            <w:bottom w:w="0" w:type="dxa"/>
          </w:tblCellMar>
        </w:tblPrEx>
        <w:tc>
          <w:tcPr>
            <w:tcW w:w="3096" w:type="dxa"/>
          </w:tcPr>
          <w:p w:rsidR="002A4EFE" w:rsidRDefault="002A4EFE" w:rsidP="002A4EFE">
            <w:r>
              <w:t>Odlučivanje o žalbi</w:t>
            </w:r>
          </w:p>
        </w:tc>
        <w:tc>
          <w:tcPr>
            <w:tcW w:w="3096" w:type="dxa"/>
          </w:tcPr>
          <w:p w:rsidR="002A4EFE" w:rsidRDefault="002A4EFE" w:rsidP="002A4EFE">
            <w:r>
              <w:t>šezdeset dana</w:t>
            </w:r>
          </w:p>
        </w:tc>
        <w:tc>
          <w:tcPr>
            <w:tcW w:w="3096" w:type="dxa"/>
          </w:tcPr>
          <w:p w:rsidR="002A4EFE" w:rsidRDefault="002A4EFE" w:rsidP="002A4EFE">
            <w:r>
              <w:t>dan predaje uredne žalbe</w:t>
            </w:r>
          </w:p>
        </w:tc>
      </w:tr>
    </w:tbl>
    <w:p w:rsidR="002A4EFE" w:rsidRDefault="002A4EFE" w:rsidP="002A4EFE">
      <w:r>
        <w:rPr>
          <w:rStyle w:val="FootnoteReference"/>
        </w:rPr>
        <w:footnoteReference w:id="1"/>
      </w:r>
      <w:r>
        <w:rPr>
          <w:rStyle w:val="FootnoteReference"/>
        </w:rPr>
        <w:footnoteReference w:id="2"/>
      </w:r>
      <w:r>
        <w:rPr>
          <w:rStyle w:val="FootnoteReference"/>
        </w:rPr>
        <w:footnoteReference w:id="3"/>
      </w:r>
      <w:r>
        <w:rPr>
          <w:rStyle w:val="FootnoteReference"/>
        </w:rPr>
        <w:footnoteReference w:id="4"/>
      </w:r>
      <w:r>
        <w:rPr>
          <w:rStyle w:val="FootnoteReference"/>
        </w:rPr>
        <w:footnoteReference w:id="5"/>
      </w:r>
      <w:r>
        <w:rPr>
          <w:rStyle w:val="FootnoteReference"/>
        </w:rPr>
        <w:footnoteReference w:id="6"/>
      </w:r>
      <w:r>
        <w:rPr>
          <w:rStyle w:val="FootnoteReference"/>
        </w:rPr>
        <w:footnoteReference w:id="7"/>
      </w:r>
      <w:r>
        <w:rPr>
          <w:rStyle w:val="FootnoteReference"/>
        </w:rPr>
        <w:footnoteReference w:id="8"/>
      </w:r>
      <w:r>
        <w:rPr>
          <w:rStyle w:val="FootnoteReference"/>
        </w:rPr>
        <w:footnoteReference w:id="9"/>
      </w:r>
      <w:r>
        <w:rPr>
          <w:rStyle w:val="FootnoteReference"/>
        </w:rPr>
        <w:footnoteReference w:id="10"/>
      </w:r>
      <w:r>
        <w:rPr>
          <w:rStyle w:val="FootnoteReference"/>
        </w:rPr>
        <w:footnoteReference w:id="11"/>
      </w:r>
      <w:r>
        <w:rPr>
          <w:rStyle w:val="FootnoteReference"/>
        </w:rPr>
        <w:footnoteReference w:id="12"/>
      </w:r>
      <w:r>
        <w:rPr>
          <w:rStyle w:val="FootnoteReference"/>
        </w:rPr>
        <w:footnoteReference w:id="13"/>
      </w:r>
      <w:r>
        <w:rPr>
          <w:rStyle w:val="FootnoteReference"/>
        </w:rPr>
        <w:footnoteReference w:id="14"/>
      </w:r>
      <w:r>
        <w:rPr>
          <w:rStyle w:val="FootnoteReference"/>
        </w:rPr>
        <w:footnoteReference w:id="15"/>
      </w:r>
      <w:r>
        <w:rPr>
          <w:rStyle w:val="FootnoteReference"/>
        </w:rPr>
        <w:footnoteReference w:id="16"/>
      </w:r>
    </w:p>
    <w:p w:rsidR="002A4EFE" w:rsidRDefault="002A4EFE" w:rsidP="002A4EFE">
      <w:r>
        <w:lastRenderedPageBreak/>
        <w:t>Izvor: Izrada autorice prema odredbama Zakona o općem upravnom postupku.</w:t>
      </w:r>
    </w:p>
    <w:p w:rsidR="002A4EFE" w:rsidRDefault="002A4EFE" w:rsidP="002A4EFE">
      <w:r>
        <w:t>Tablica 2. Sredstva protiv šutnje uprave, njihove pretpostavke i mogući ishodi</w:t>
      </w:r>
    </w:p>
    <w:tbl>
      <w:tblPr>
        <w:tblW w:w="0" w:type="auto"/>
        <w:tblLayout w:type="fixed"/>
        <w:tblLook w:val="0000" w:firstRow="0" w:lastRow="0" w:firstColumn="0" w:lastColumn="0" w:noHBand="0" w:noVBand="0"/>
      </w:tblPr>
      <w:tblGrid>
        <w:gridCol w:w="3096"/>
        <w:gridCol w:w="3096"/>
        <w:gridCol w:w="3096"/>
      </w:tblGrid>
      <w:tr w:rsidR="002A4EFE">
        <w:tblPrEx>
          <w:tblCellMar>
            <w:top w:w="0" w:type="dxa"/>
            <w:bottom w:w="0" w:type="dxa"/>
          </w:tblCellMar>
        </w:tblPrEx>
        <w:tc>
          <w:tcPr>
            <w:tcW w:w="3096" w:type="dxa"/>
          </w:tcPr>
          <w:p w:rsidR="002A4EFE" w:rsidRDefault="002A4EFE" w:rsidP="002A4EFE">
            <w:r>
              <w:t>Sredstvo</w:t>
            </w:r>
          </w:p>
        </w:tc>
        <w:tc>
          <w:tcPr>
            <w:tcW w:w="3096" w:type="dxa"/>
          </w:tcPr>
          <w:p w:rsidR="002A4EFE" w:rsidRDefault="002A4EFE" w:rsidP="002A4EFE">
            <w:r>
              <w:t>Pretpostavka</w:t>
            </w:r>
          </w:p>
        </w:tc>
        <w:tc>
          <w:tcPr>
            <w:tcW w:w="3096" w:type="dxa"/>
          </w:tcPr>
          <w:p w:rsidR="002A4EFE" w:rsidRDefault="002A4EFE" w:rsidP="002A4EFE">
            <w:r>
              <w:t>Najdalji mogući ishod</w:t>
            </w:r>
          </w:p>
        </w:tc>
      </w:tr>
      <w:tr w:rsidR="002A4EFE">
        <w:tblPrEx>
          <w:tblCellMar>
            <w:top w:w="0" w:type="dxa"/>
            <w:bottom w:w="0" w:type="dxa"/>
          </w:tblCellMar>
        </w:tblPrEx>
        <w:tc>
          <w:tcPr>
            <w:tcW w:w="3096" w:type="dxa"/>
          </w:tcPr>
          <w:p w:rsidR="002A4EFE" w:rsidRDefault="002A4EFE" w:rsidP="002A4EFE">
            <w:r>
              <w:t>Žalba zbog nedonošenja</w:t>
            </w:r>
          </w:p>
        </w:tc>
        <w:tc>
          <w:tcPr>
            <w:tcW w:w="3096" w:type="dxa"/>
          </w:tcPr>
          <w:p w:rsidR="002A4EFE" w:rsidRDefault="002A4EFE" w:rsidP="002A4EFE">
            <w:r>
              <w:t>istek roka u prvom stupnju</w:t>
            </w:r>
          </w:p>
        </w:tc>
        <w:tc>
          <w:tcPr>
            <w:tcW w:w="3096" w:type="dxa"/>
          </w:tcPr>
          <w:p w:rsidR="002A4EFE" w:rsidRDefault="002A4EFE" w:rsidP="002A4EFE">
            <w:r>
              <w:t>rješenje drugostupanjskog tijela o samoj stvari</w:t>
            </w:r>
          </w:p>
        </w:tc>
      </w:tr>
      <w:tr w:rsidR="002A4EFE">
        <w:tblPrEx>
          <w:tblCellMar>
            <w:top w:w="0" w:type="dxa"/>
            <w:bottom w:w="0" w:type="dxa"/>
          </w:tblCellMar>
        </w:tblPrEx>
        <w:tc>
          <w:tcPr>
            <w:tcW w:w="3096" w:type="dxa"/>
          </w:tcPr>
          <w:p w:rsidR="002A4EFE" w:rsidRDefault="002A4EFE" w:rsidP="002A4EFE">
            <w:r>
              <w:t>Prigovor</w:t>
            </w:r>
          </w:p>
        </w:tc>
        <w:tc>
          <w:tcPr>
            <w:tcW w:w="3096" w:type="dxa"/>
          </w:tcPr>
          <w:p w:rsidR="002A4EFE" w:rsidRDefault="002A4EFE" w:rsidP="002A4EFE">
            <w:r>
              <w:t>postupanje koje se ne dovršava rješenjem</w:t>
            </w:r>
          </w:p>
        </w:tc>
        <w:tc>
          <w:tcPr>
            <w:tcW w:w="3096" w:type="dxa"/>
          </w:tcPr>
          <w:p w:rsidR="002A4EFE" w:rsidRDefault="002A4EFE" w:rsidP="002A4EFE">
            <w:r>
              <w:t>otklanjanje nepravilnosti u postupanju</w:t>
            </w:r>
          </w:p>
        </w:tc>
      </w:tr>
      <w:tr w:rsidR="002A4EFE">
        <w:tblPrEx>
          <w:tblCellMar>
            <w:top w:w="0" w:type="dxa"/>
            <w:bottom w:w="0" w:type="dxa"/>
          </w:tblCellMar>
        </w:tblPrEx>
        <w:tc>
          <w:tcPr>
            <w:tcW w:w="3096" w:type="dxa"/>
          </w:tcPr>
          <w:p w:rsidR="002A4EFE" w:rsidRDefault="002A4EFE" w:rsidP="002A4EFE">
            <w:r>
              <w:t>Tužba zbog nedonošenja</w:t>
            </w:r>
          </w:p>
        </w:tc>
        <w:tc>
          <w:tcPr>
            <w:tcW w:w="3096" w:type="dxa"/>
          </w:tcPr>
          <w:p w:rsidR="002A4EFE" w:rsidRDefault="002A4EFE" w:rsidP="002A4EFE">
            <w:r>
              <w:t>iscrpljen ili nedostupan drugi stupanj</w:t>
            </w:r>
          </w:p>
        </w:tc>
        <w:tc>
          <w:tcPr>
            <w:tcW w:w="3096" w:type="dxa"/>
          </w:tcPr>
          <w:p w:rsidR="002A4EFE" w:rsidRDefault="002A4EFE" w:rsidP="002A4EFE">
            <w:r>
              <w:t>presuda kojom sud sam rješava stvar</w:t>
            </w:r>
          </w:p>
        </w:tc>
      </w:tr>
      <w:tr w:rsidR="002A4EFE">
        <w:tblPrEx>
          <w:tblCellMar>
            <w:top w:w="0" w:type="dxa"/>
            <w:bottom w:w="0" w:type="dxa"/>
          </w:tblCellMar>
        </w:tblPrEx>
        <w:tc>
          <w:tcPr>
            <w:tcW w:w="3096" w:type="dxa"/>
          </w:tcPr>
          <w:p w:rsidR="002A4EFE" w:rsidRDefault="002A4EFE" w:rsidP="002A4EFE">
            <w:r>
              <w:t>Nadzor nad zakonitošću rada</w:t>
            </w:r>
          </w:p>
        </w:tc>
        <w:tc>
          <w:tcPr>
            <w:tcW w:w="3096" w:type="dxa"/>
          </w:tcPr>
          <w:p w:rsidR="002A4EFE" w:rsidRDefault="002A4EFE" w:rsidP="002A4EFE">
            <w:r>
              <w:t>ponovljen propust istoga tijela</w:t>
            </w:r>
          </w:p>
        </w:tc>
        <w:tc>
          <w:tcPr>
            <w:tcW w:w="3096" w:type="dxa"/>
          </w:tcPr>
          <w:p w:rsidR="002A4EFE" w:rsidRDefault="002A4EFE" w:rsidP="002A4EFE">
            <w:r>
              <w:t>mjere prema tijelu i odgovornoj osobi</w:t>
            </w:r>
          </w:p>
        </w:tc>
      </w:tr>
    </w:tbl>
    <w:p w:rsidR="002A4EFE" w:rsidRDefault="002A4EFE" w:rsidP="002A4EFE"/>
    <w:p w:rsidR="002A4EFE" w:rsidRDefault="002A4EFE" w:rsidP="002A4EFE">
      <w:r>
        <w:t>Izvor: Izrada autorice prema Zakonu o općem upravnom postupku i Zakonu o upravnim sporovima.</w:t>
      </w:r>
    </w:p>
    <w:p w:rsidR="002A4EFE" w:rsidRDefault="002A4EFE" w:rsidP="002A4EFE">
      <w:r>
        <w:rPr>
          <w:noProof/>
        </w:rPr>
        <w:drawing>
          <wp:inline distT="0" distB="0" distL="0" distR="0">
            <wp:extent cx="1524213" cy="952633"/>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524213" cy="952633"/>
                    </a:xfrm>
                    <a:prstGeom prst="rect">
                      <a:avLst/>
                    </a:prstGeom>
                  </pic:spPr>
                </pic:pic>
              </a:graphicData>
            </a:graphic>
          </wp:inline>
        </w:drawing>
      </w:r>
    </w:p>
    <w:p w:rsidR="002A4EFE" w:rsidRDefault="002A4EFE" w:rsidP="002A4EFE">
      <w:r>
        <w:t>Slika 1. Put predmeta od isteka roka do konačne odluke</w:t>
      </w:r>
    </w:p>
    <w:p w:rsidR="002A4EFE" w:rsidRDefault="002A4EFE" w:rsidP="002A4EFE">
      <w:r>
        <w:t>Izvor: Izrada autorice.</w:t>
      </w:r>
    </w:p>
    <w:p w:rsidR="002A4EFE" w:rsidRDefault="002A4EFE" w:rsidP="002A4EFE">
      <w:r>
        <w:rPr>
          <w:noProof/>
        </w:rPr>
        <w:drawing>
          <wp:inline distT="0" distB="0" distL="0" distR="0">
            <wp:extent cx="1524213" cy="952633"/>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524213" cy="952633"/>
                    </a:xfrm>
                    <a:prstGeom prst="rect">
                      <a:avLst/>
                    </a:prstGeom>
                  </pic:spPr>
                </pic:pic>
              </a:graphicData>
            </a:graphic>
          </wp:inline>
        </w:drawing>
      </w:r>
    </w:p>
    <w:p w:rsidR="002A4EFE" w:rsidRDefault="002A4EFE" w:rsidP="002A4EFE">
      <w:r>
        <w:t>Slika 2. Tri mjesta na kojima se vrijeme gubi: prijelaz na drugi stupanj, nalog bez roka i vraćanje predmeta</w:t>
      </w:r>
    </w:p>
    <w:p w:rsidR="002A4EFE" w:rsidRDefault="002A4EFE" w:rsidP="002A4EFE">
      <w:r>
        <w:t>Izvor: Izrada autorice.</w:t>
      </w:r>
    </w:p>
    <w:p w:rsidR="002A4EFE" w:rsidRDefault="002A4EFE" w:rsidP="002A4EFE">
      <w:pPr>
        <w:pStyle w:val="Heading1"/>
      </w:pPr>
      <w:r>
        <w:t>Popis tablica</w:t>
      </w:r>
    </w:p>
    <w:p w:rsidR="002A4EFE" w:rsidRDefault="002A4EFE" w:rsidP="002A4EFE">
      <w:r>
        <w:t>Tablica 1. Rokovi za rješavanje i trenutak od kojega teku</w:t>
      </w:r>
    </w:p>
    <w:p w:rsidR="002A4EFE" w:rsidRDefault="002A4EFE" w:rsidP="002A4EFE">
      <w:r>
        <w:t>Tablica 2. Sredstva protiv šutnje uprave, njihove pretpostavke i mogući ishodi</w:t>
      </w:r>
    </w:p>
    <w:p w:rsidR="002A4EFE" w:rsidRDefault="002A4EFE" w:rsidP="002A4EFE">
      <w:pPr>
        <w:pStyle w:val="Heading1"/>
      </w:pPr>
      <w:r>
        <w:t>Popis slika</w:t>
      </w:r>
    </w:p>
    <w:p w:rsidR="002A4EFE" w:rsidRDefault="002A4EFE" w:rsidP="002A4EFE">
      <w:r>
        <w:t>Slika 1. Put predmeta od isteka roka do konačne odluke</w:t>
      </w:r>
    </w:p>
    <w:p w:rsidR="002A4EFE" w:rsidRDefault="002A4EFE" w:rsidP="002A4EFE">
      <w:r>
        <w:t>Slika 2. Tri mjesta na kojima se vrijeme gubi: prijelaz na drugi stupanj, nalog bez roka i vraćanje predmeta</w:t>
      </w:r>
    </w:p>
    <w:p w:rsidR="002A4EFE" w:rsidRDefault="002A4EFE" w:rsidP="002A4EFE">
      <w:pPr>
        <w:pStyle w:val="Heading1"/>
      </w:pPr>
      <w:r>
        <w:t>Literatura</w:t>
      </w:r>
    </w:p>
    <w:p w:rsidR="002A4EFE" w:rsidRDefault="002A4EFE" w:rsidP="002A4EFE">
      <w:r>
        <w:t>1. Quackelbeen, L. (2026). Judicial Discretion in the Interpretation of International Crimes. Oxford: Hart Publishing. https://doi.org/10.5040/9781509985203</w:t>
      </w:r>
    </w:p>
    <w:p w:rsidR="002A4EFE" w:rsidRDefault="002A4EFE" w:rsidP="002A4EFE">
      <w:r>
        <w:t>2. Cogan, D. (2011). Tax, Discretion and the Rule of Law. U: The Delicate Balance: Tax, Discretion and the Rule of Law. Amsterdam: IBFD. https://doi.org/10.59403/e81zxe001</w:t>
      </w:r>
    </w:p>
    <w:p w:rsidR="002A4EFE" w:rsidRDefault="002A4EFE" w:rsidP="002A4EFE">
      <w:r>
        <w:t>3. Matanović, K. (2023). Šutnja uprave i pravo na odluku u razumnom roku. Zbornik Pravnog fakulteta u Zagrebu, 73(4), 511-540. https://doi.org/10.3935/zpf.2023.744</w:t>
      </w:r>
    </w:p>
    <w:p w:rsidR="002A4EFE" w:rsidRDefault="002A4EFE" w:rsidP="002A4EFE">
      <w:r>
        <w:t>4. Vukelić, S. (2022). Rokovi u općem upravnom postupku: normativni okvir i praksa. Hrvatska i komparativna javna uprava, 22(3), 401-428. https://doi.org/10.31297/hkju.22.3.4</w:t>
      </w:r>
    </w:p>
    <w:p w:rsidR="002A4EFE" w:rsidRDefault="002A4EFE" w:rsidP="002A4EFE">
      <w:r>
        <w:t>5. Pavić, R. (2024). Presuda umjesto rješenja: doseg reformacijske ovlasti upravnoga suda. Pravni vjesnik, 40(1), 55-82. https://doi.org/10.25234/pv.40.1.3</w:t>
      </w:r>
    </w:p>
    <w:p w:rsidR="002A4EFE" w:rsidRDefault="002A4EFE" w:rsidP="002A4EFE">
      <w:r>
        <w:t>6. Ustav Republike Hrvatske, Narodne novine, pročišćeni tekst.</w:t>
      </w:r>
    </w:p>
    <w:p w:rsidR="002A4EFE" w:rsidRDefault="002A4EFE" w:rsidP="002A4EFE">
      <w:r>
        <w:t>7. Zakon o općem upravnom postupku, Narodne novine.</w:t>
      </w:r>
    </w:p>
    <w:p w:rsidR="002A4EFE" w:rsidRDefault="002A4EFE" w:rsidP="002A4EFE">
      <w:r>
        <w:t>8. Zakon o upravnim sporovima, Narodne novine.</w:t>
      </w:r>
    </w:p>
    <w:p w:rsidR="002A4EFE" w:rsidRDefault="002A4EFE" w:rsidP="002A4EFE">
      <w:r>
        <w:t>9. Zakon o sustavu državne uprave, Narodne novine.</w:t>
      </w:r>
    </w:p>
    <w:p w:rsidR="002A4EFE" w:rsidRDefault="002A4EFE" w:rsidP="002A4EFE">
      <w:r>
        <w:t>10. Zakon o pravu na pristup informacijama, Narodne novine.</w:t>
      </w:r>
    </w:p>
    <w:p w:rsidR="002A4EFE" w:rsidRDefault="002A4EFE" w:rsidP="002A4EFE">
      <w:r>
        <w:t>11. Konvencija za zaštitu ljudskih prava i temeljnih sloboda, Narodne novine, Međunarodni ugovori.</w:t>
      </w:r>
    </w:p>
    <w:p w:rsidR="002A4EFE" w:rsidRDefault="002A4EFE" w:rsidP="002A4EFE">
      <w:r>
        <w:t>12. Borković, I. (2002). Upravno pravo. Zagreb: Narodne novine.</w:t>
      </w:r>
    </w:p>
    <w:p w:rsidR="002A4EFE" w:rsidRDefault="002A4EFE" w:rsidP="002A4EFE">
      <w:r>
        <w:t>13. Đerđa, D. (2010). Opći upravni postupak u Republici Hrvatskoj. Zagreb: Inženjerski biro.</w:t>
      </w:r>
    </w:p>
    <w:p w:rsidR="002A4EFE" w:rsidRDefault="002A4EFE" w:rsidP="002A4EFE">
      <w:r>
        <w:t>14. Aviani, D. (2008). Diskrecijska ocjena u upravnom pravu. Split: Pravni fakultet.</w:t>
      </w:r>
    </w:p>
    <w:p w:rsidR="002A4EFE" w:rsidRDefault="002A4EFE" w:rsidP="002A4EFE">
      <w:r>
        <w:t>15. Koprić, I. i Musa, A. (2019). Upravno postupanje i dobra uprava. Zagreb: Institut za javnu upravu.</w:t>
      </w:r>
    </w:p>
    <w:p w:rsidR="002A4EFE" w:rsidRDefault="002A4EFE" w:rsidP="002A4EFE">
      <w:r>
        <w:t>16. Staničić, F. (2020). Upravni spor u praksi. Zagreb: Narodne novine.</w:t>
      </w:r>
    </w:p>
    <w:p w:rsidR="002A4EFE" w:rsidRDefault="002A4EFE" w:rsidP="002A4EFE">
      <w:r>
        <w:t>17. Britvić Vetma, B. (2018). Pravo na dobru upravu i upravni postupak. Split: Pravni fakultet.</w:t>
      </w:r>
    </w:p>
    <w:p w:rsidR="002A4EFE" w:rsidRDefault="002A4EFE" w:rsidP="002A4EFE">
      <w:r>
        <w:t>18. Ljubanović, B. (2016). Rokovi i procesna disciplina u upravnom postupku. Osijek: Pravni fakultet.</w:t>
      </w:r>
    </w:p>
    <w:p w:rsidR="002A4EFE" w:rsidRPr="002A4EFE" w:rsidRDefault="002A4EFE" w:rsidP="002A4EFE">
      <w:bookmarkStart w:id="0" w:name="_GoBack"/>
      <w:bookmarkEnd w:id="0"/>
    </w:p>
    <w:sectPr w:rsidR="002A4EFE" w:rsidRPr="002A4EFE" w:rsidSect="002A4EFE">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A4EFE" w:rsidRDefault="002A4EFE" w:rsidP="002A4EFE">
      <w:pPr>
        <w:spacing w:after="0" w:line="240" w:lineRule="auto"/>
      </w:pPr>
      <w:r>
        <w:separator/>
      </w:r>
    </w:p>
  </w:endnote>
  <w:endnote w:type="continuationSeparator" w:id="0">
    <w:p w:rsidR="002A4EFE" w:rsidRDefault="002A4EFE" w:rsidP="002A4E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4EFE" w:rsidRDefault="002A4EF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4EFE" w:rsidRPr="002A4EFE" w:rsidRDefault="002A4EFE" w:rsidP="002A4EFE">
    <w:pPr>
      <w:pStyle w:val="Footer"/>
    </w:pPr>
    <w:r>
      <w:fldChar w:fldCharType="begin"/>
    </w:r>
    <w:r>
      <w:instrText xml:space="preserve"> PAGE  \* MERGEFORMAT </w:instrText>
    </w:r>
    <w:r>
      <w:fldChar w:fldCharType="separate"/>
    </w:r>
    <w:r>
      <w:rPr>
        <w:noProof/>
      </w:rPr>
      <w:t>16</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4EFE" w:rsidRDefault="002A4EF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A4EFE" w:rsidRDefault="002A4EFE" w:rsidP="002A4EFE">
      <w:pPr>
        <w:spacing w:after="0" w:line="240" w:lineRule="auto"/>
      </w:pPr>
      <w:r>
        <w:separator/>
      </w:r>
    </w:p>
  </w:footnote>
  <w:footnote w:type="continuationSeparator" w:id="0">
    <w:p w:rsidR="002A4EFE" w:rsidRDefault="002A4EFE" w:rsidP="002A4EFE">
      <w:pPr>
        <w:spacing w:after="0" w:line="240" w:lineRule="auto"/>
      </w:pPr>
      <w:r>
        <w:continuationSeparator/>
      </w:r>
    </w:p>
  </w:footnote>
  <w:footnote w:id="1">
    <w:p w:rsidR="002A4EFE" w:rsidRPr="002A4EFE" w:rsidRDefault="002A4EFE">
      <w:pPr>
        <w:pStyle w:val="FootnoteText"/>
        <w:rPr>
          <w:lang w:val="hr-HR"/>
        </w:rPr>
      </w:pPr>
      <w:r>
        <w:rPr>
          <w:rStyle w:val="FootnoteReference"/>
        </w:rPr>
        <w:footnoteRef/>
      </w:r>
      <w:r>
        <w:t xml:space="preserve"> </w:t>
      </w:r>
      <w:r>
        <w:rPr>
          <w:lang w:val="hr-HR"/>
        </w:rPr>
        <w:t>Zakon o pravu na pristup informacijama, Narodne novine, čl. 25. st. 2., kao primjer posebnoga roka i posebnoga pravnog sredstva.</w:t>
      </w:r>
    </w:p>
  </w:footnote>
  <w:footnote w:id="2">
    <w:p w:rsidR="002A4EFE" w:rsidRPr="002A4EFE" w:rsidRDefault="002A4EFE">
      <w:pPr>
        <w:pStyle w:val="FootnoteText"/>
        <w:rPr>
          <w:lang w:val="hr-HR"/>
        </w:rPr>
      </w:pPr>
      <w:r>
        <w:rPr>
          <w:rStyle w:val="FootnoteReference"/>
        </w:rPr>
        <w:footnoteRef/>
      </w:r>
      <w:r>
        <w:t xml:space="preserve"> </w:t>
      </w:r>
      <w:r>
        <w:rPr>
          <w:lang w:val="hr-HR"/>
        </w:rPr>
        <w:t>Zakon o sustavu državne uprave, Narodne novine, čl. 74., o nadzoru nad zakonitošću rada javnopravnih tijela.</w:t>
      </w:r>
    </w:p>
  </w:footnote>
  <w:footnote w:id="3">
    <w:p w:rsidR="002A4EFE" w:rsidRPr="002A4EFE" w:rsidRDefault="002A4EFE">
      <w:pPr>
        <w:pStyle w:val="FootnoteText"/>
        <w:rPr>
          <w:lang w:val="hr-HR"/>
        </w:rPr>
      </w:pPr>
      <w:r>
        <w:rPr>
          <w:rStyle w:val="FootnoteReference"/>
        </w:rPr>
        <w:footnoteRef/>
      </w:r>
      <w:r>
        <w:t xml:space="preserve"> </w:t>
      </w:r>
      <w:r>
        <w:rPr>
          <w:lang w:val="hr-HR"/>
        </w:rPr>
        <w:t>Ibid., str. 238., o instruktivnoj naravi roka i o valjanosti zakašnjeloga rješenja.</w:t>
      </w:r>
    </w:p>
  </w:footnote>
  <w:footnote w:id="4">
    <w:p w:rsidR="002A4EFE" w:rsidRPr="002A4EFE" w:rsidRDefault="002A4EFE">
      <w:pPr>
        <w:pStyle w:val="FootnoteText"/>
        <w:rPr>
          <w:lang w:val="hr-HR"/>
        </w:rPr>
      </w:pPr>
      <w:r>
        <w:rPr>
          <w:rStyle w:val="FootnoteReference"/>
        </w:rPr>
        <w:footnoteRef/>
      </w:r>
      <w:r>
        <w:t xml:space="preserve"> </w:t>
      </w:r>
      <w:r>
        <w:rPr>
          <w:lang w:val="hr-HR"/>
        </w:rPr>
        <w:t>Đerđa, D., Opći upravni postupak u Republici Hrvatskoj, Zagreb, 2010., str. 231. i dalje, o rokovima za rješavanje.</w:t>
      </w:r>
    </w:p>
  </w:footnote>
  <w:footnote w:id="5">
    <w:p w:rsidR="002A4EFE" w:rsidRPr="002A4EFE" w:rsidRDefault="002A4EFE">
      <w:pPr>
        <w:pStyle w:val="FootnoteText"/>
        <w:rPr>
          <w:lang w:val="hr-HR"/>
        </w:rPr>
      </w:pPr>
      <w:r>
        <w:rPr>
          <w:rStyle w:val="FootnoteReference"/>
        </w:rPr>
        <w:footnoteRef/>
      </w:r>
      <w:r>
        <w:t xml:space="preserve"> </w:t>
      </w:r>
      <w:r>
        <w:rPr>
          <w:lang w:val="hr-HR"/>
        </w:rPr>
        <w:t>Borković, I., Upravno pravo, Zagreb, 2002., str. 412., o naravi upravnog akta i posljedicama njegova izostanka.</w:t>
      </w:r>
    </w:p>
  </w:footnote>
  <w:footnote w:id="6">
    <w:p w:rsidR="002A4EFE" w:rsidRPr="002A4EFE" w:rsidRDefault="002A4EFE">
      <w:pPr>
        <w:pStyle w:val="FootnoteText"/>
        <w:rPr>
          <w:lang w:val="hr-HR"/>
        </w:rPr>
      </w:pPr>
      <w:r>
        <w:rPr>
          <w:rStyle w:val="FootnoteReference"/>
        </w:rPr>
        <w:footnoteRef/>
      </w:r>
      <w:r>
        <w:t xml:space="preserve"> </w:t>
      </w:r>
      <w:r>
        <w:rPr>
          <w:lang w:val="hr-HR"/>
        </w:rPr>
        <w:t>Konvencija za zaštitu ljudskih prava i temeljnih sloboda, Narodne novine, Međunarodni ugovori, čl. 6. st. 1., o odlučivanju u razumnom roku.</w:t>
      </w:r>
    </w:p>
  </w:footnote>
  <w:footnote w:id="7">
    <w:p w:rsidR="002A4EFE" w:rsidRPr="002A4EFE" w:rsidRDefault="002A4EFE">
      <w:pPr>
        <w:pStyle w:val="FootnoteText"/>
        <w:rPr>
          <w:lang w:val="hr-HR"/>
        </w:rPr>
      </w:pPr>
      <w:r>
        <w:rPr>
          <w:rStyle w:val="FootnoteReference"/>
        </w:rPr>
        <w:footnoteRef/>
      </w:r>
      <w:r>
        <w:t xml:space="preserve"> </w:t>
      </w:r>
      <w:r>
        <w:rPr>
          <w:lang w:val="hr-HR"/>
        </w:rPr>
        <w:t>Ustav Republike Hrvatske, Narodne novine, pročišćeni tekst, čl. 19. st. 2., o sudskoj kontroli zakonitosti pojedinačnih akata.</w:t>
      </w:r>
    </w:p>
  </w:footnote>
  <w:footnote w:id="8">
    <w:p w:rsidR="002A4EFE" w:rsidRPr="002A4EFE" w:rsidRDefault="002A4EFE">
      <w:pPr>
        <w:pStyle w:val="FootnoteText"/>
        <w:rPr>
          <w:lang w:val="hr-HR"/>
        </w:rPr>
      </w:pPr>
      <w:r>
        <w:rPr>
          <w:rStyle w:val="FootnoteReference"/>
        </w:rPr>
        <w:footnoteRef/>
      </w:r>
      <w:r>
        <w:t xml:space="preserve"> </w:t>
      </w:r>
      <w:r>
        <w:rPr>
          <w:lang w:val="hr-HR"/>
        </w:rPr>
        <w:t>Ibid., čl. 58. st. 1., o ovlasti suda da sam riješi stvar kada narav stvari to dopušta.</w:t>
      </w:r>
    </w:p>
  </w:footnote>
  <w:footnote w:id="9">
    <w:p w:rsidR="002A4EFE" w:rsidRPr="002A4EFE" w:rsidRDefault="002A4EFE">
      <w:pPr>
        <w:pStyle w:val="FootnoteText"/>
        <w:rPr>
          <w:lang w:val="hr-HR"/>
        </w:rPr>
      </w:pPr>
      <w:r>
        <w:rPr>
          <w:rStyle w:val="FootnoteReference"/>
        </w:rPr>
        <w:footnoteRef/>
      </w:r>
      <w:r>
        <w:t xml:space="preserve"> </w:t>
      </w:r>
      <w:r>
        <w:rPr>
          <w:lang w:val="hr-HR"/>
        </w:rPr>
        <w:t>Ibid., čl. 22. st. 2., o pretpostavkama za podnošenje tužbe zbog nedonošenja odluke.</w:t>
      </w:r>
    </w:p>
  </w:footnote>
  <w:footnote w:id="10">
    <w:p w:rsidR="002A4EFE" w:rsidRPr="002A4EFE" w:rsidRDefault="002A4EFE">
      <w:pPr>
        <w:pStyle w:val="FootnoteText"/>
        <w:rPr>
          <w:lang w:val="hr-HR"/>
        </w:rPr>
      </w:pPr>
      <w:r>
        <w:rPr>
          <w:rStyle w:val="FootnoteReference"/>
        </w:rPr>
        <w:footnoteRef/>
      </w:r>
      <w:r>
        <w:t xml:space="preserve"> </w:t>
      </w:r>
      <w:r>
        <w:rPr>
          <w:lang w:val="hr-HR"/>
        </w:rPr>
        <w:t>Zakon o upravnim sporovima, Narodne novine, čl. 3. st. 1. t. 2., o predmetu spora kada pojedinačna odluka nije donesena.</w:t>
      </w:r>
    </w:p>
  </w:footnote>
  <w:footnote w:id="11">
    <w:p w:rsidR="002A4EFE" w:rsidRPr="002A4EFE" w:rsidRDefault="002A4EFE">
      <w:pPr>
        <w:pStyle w:val="FootnoteText"/>
        <w:rPr>
          <w:lang w:val="hr-HR"/>
        </w:rPr>
      </w:pPr>
      <w:r>
        <w:rPr>
          <w:rStyle w:val="FootnoteReference"/>
        </w:rPr>
        <w:footnoteRef/>
      </w:r>
      <w:r>
        <w:t xml:space="preserve"> </w:t>
      </w:r>
      <w:r>
        <w:rPr>
          <w:lang w:val="hr-HR"/>
        </w:rPr>
        <w:t>Ibid., čl. 155. st. 1., o prigovoru zbog postupanja koje se ne dovršava rješenjem.</w:t>
      </w:r>
    </w:p>
  </w:footnote>
  <w:footnote w:id="12">
    <w:p w:rsidR="002A4EFE" w:rsidRPr="002A4EFE" w:rsidRDefault="002A4EFE">
      <w:pPr>
        <w:pStyle w:val="FootnoteText"/>
        <w:rPr>
          <w:lang w:val="hr-HR"/>
        </w:rPr>
      </w:pPr>
      <w:r>
        <w:rPr>
          <w:rStyle w:val="FootnoteReference"/>
        </w:rPr>
        <w:footnoteRef/>
      </w:r>
      <w:r>
        <w:t xml:space="preserve"> </w:t>
      </w:r>
      <w:r>
        <w:rPr>
          <w:lang w:val="hr-HR"/>
        </w:rPr>
        <w:t>Ibid., čl. 122., o ovlasti drugostupanjskog tijela da naloži odlučivanje ili da samo riješi stvar.</w:t>
      </w:r>
    </w:p>
  </w:footnote>
  <w:footnote w:id="13">
    <w:p w:rsidR="002A4EFE" w:rsidRPr="002A4EFE" w:rsidRDefault="002A4EFE">
      <w:pPr>
        <w:pStyle w:val="FootnoteText"/>
        <w:rPr>
          <w:lang w:val="hr-HR"/>
        </w:rPr>
      </w:pPr>
      <w:r>
        <w:rPr>
          <w:rStyle w:val="FootnoteReference"/>
        </w:rPr>
        <w:footnoteRef/>
      </w:r>
      <w:r>
        <w:t xml:space="preserve"> </w:t>
      </w:r>
      <w:r>
        <w:rPr>
          <w:lang w:val="hr-HR"/>
        </w:rPr>
        <w:t>Ibid., čl. 119. st. 1., o žalbi zbog nedonošenja rješenja u propisanom roku.</w:t>
      </w:r>
    </w:p>
  </w:footnote>
  <w:footnote w:id="14">
    <w:p w:rsidR="002A4EFE" w:rsidRPr="002A4EFE" w:rsidRDefault="002A4EFE">
      <w:pPr>
        <w:pStyle w:val="FootnoteText"/>
        <w:rPr>
          <w:lang w:val="hr-HR"/>
        </w:rPr>
      </w:pPr>
      <w:r>
        <w:rPr>
          <w:rStyle w:val="FootnoteReference"/>
        </w:rPr>
        <w:footnoteRef/>
      </w:r>
      <w:r>
        <w:t xml:space="preserve"> </w:t>
      </w:r>
      <w:r>
        <w:rPr>
          <w:lang w:val="hr-HR"/>
        </w:rPr>
        <w:t>Ibid., čl. 47., o pozivu stranci da otkloni nedostatke podneska i o učinku na tijek roka.</w:t>
      </w:r>
    </w:p>
  </w:footnote>
  <w:footnote w:id="15">
    <w:p w:rsidR="002A4EFE" w:rsidRPr="002A4EFE" w:rsidRDefault="002A4EFE">
      <w:pPr>
        <w:pStyle w:val="FootnoteText"/>
        <w:rPr>
          <w:lang w:val="hr-HR"/>
        </w:rPr>
      </w:pPr>
      <w:r>
        <w:rPr>
          <w:rStyle w:val="FootnoteReference"/>
        </w:rPr>
        <w:footnoteRef/>
      </w:r>
      <w:r>
        <w:t xml:space="preserve"> </w:t>
      </w:r>
      <w:r>
        <w:rPr>
          <w:lang w:val="hr-HR"/>
        </w:rPr>
        <w:t>Ibid., čl. 101. st. 2., o duljem roku kada se provodi ispitni postupak.</w:t>
      </w:r>
    </w:p>
  </w:footnote>
  <w:footnote w:id="16">
    <w:p w:rsidR="002A4EFE" w:rsidRPr="002A4EFE" w:rsidRDefault="002A4EFE">
      <w:pPr>
        <w:pStyle w:val="FootnoteText"/>
        <w:rPr>
          <w:lang w:val="hr-HR"/>
        </w:rPr>
      </w:pPr>
      <w:r>
        <w:rPr>
          <w:rStyle w:val="FootnoteReference"/>
        </w:rPr>
        <w:footnoteRef/>
      </w:r>
      <w:r>
        <w:t xml:space="preserve"> </w:t>
      </w:r>
      <w:r>
        <w:rPr>
          <w:lang w:val="hr-HR"/>
        </w:rPr>
        <w:t>Zakon o općem upravnom postupku, Narodne novine, čl. 101. st. 1., o roku za rješavanje kada se odlučuje neposredno.</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4EFE" w:rsidRDefault="002A4EF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4EFE" w:rsidRDefault="002A4EF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4EFE" w:rsidRDefault="002A4EF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4EFE"/>
    <w:rsid w:val="002A4EFE"/>
    <w:rsid w:val="005A73EC"/>
    <w:rsid w:val="006702EF"/>
    <w:rsid w:val="00D11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360" w:lineRule="auto"/>
      <w:jc w:val="both"/>
    </w:pPr>
    <w:rPr>
      <w:rFonts w:ascii="Times New Roman" w:hAnsi="Times New Roman" w:cs="Times New Roman"/>
      <w:sz w:val="24"/>
    </w:rPr>
  </w:style>
  <w:style w:type="paragraph" w:styleId="Heading1">
    <w:name w:val="heading 1"/>
    <w:basedOn w:val="Normal"/>
    <w:next w:val="Normal"/>
    <w:link w:val="Heading1Char"/>
    <w:uiPriority w:val="9"/>
    <w:qFormat/>
    <w:rsid w:val="002A4EF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A4EF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EFE"/>
    <w:rPr>
      <w:rFonts w:asciiTheme="majorHAnsi" w:eastAsiaTheme="majorEastAsia" w:hAnsiTheme="majorHAnsi" w:cstheme="majorBidi"/>
      <w:b/>
      <w:bCs/>
      <w:color w:val="365F91" w:themeColor="accent1" w:themeShade="BF"/>
      <w:sz w:val="28"/>
      <w:szCs w:val="28"/>
    </w:rPr>
  </w:style>
  <w:style w:type="paragraph" w:styleId="FootnoteText">
    <w:name w:val="footnote text"/>
    <w:basedOn w:val="Normal"/>
    <w:link w:val="FootnoteTextChar"/>
    <w:uiPriority w:val="99"/>
    <w:semiHidden/>
    <w:unhideWhenUsed/>
    <w:rsid w:val="002A4EF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A4EFE"/>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2A4EFE"/>
    <w:rPr>
      <w:vertAlign w:val="superscript"/>
    </w:rPr>
  </w:style>
  <w:style w:type="character" w:customStyle="1" w:styleId="Heading2Char">
    <w:name w:val="Heading 2 Char"/>
    <w:basedOn w:val="DefaultParagraphFont"/>
    <w:link w:val="Heading2"/>
    <w:uiPriority w:val="9"/>
    <w:rsid w:val="002A4EFE"/>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2A4E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4EFE"/>
    <w:rPr>
      <w:rFonts w:ascii="Times New Roman" w:hAnsi="Times New Roman" w:cs="Times New Roman"/>
      <w:sz w:val="24"/>
    </w:rPr>
  </w:style>
  <w:style w:type="paragraph" w:styleId="Footer">
    <w:name w:val="footer"/>
    <w:basedOn w:val="Normal"/>
    <w:link w:val="FooterChar"/>
    <w:uiPriority w:val="99"/>
    <w:unhideWhenUsed/>
    <w:rsid w:val="002A4E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4EFE"/>
    <w:rPr>
      <w:rFonts w:ascii="Times New Roman" w:hAnsi="Times New Roman" w:cs="Times New Roman"/>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360" w:lineRule="auto"/>
      <w:jc w:val="both"/>
    </w:pPr>
    <w:rPr>
      <w:rFonts w:ascii="Times New Roman" w:hAnsi="Times New Roman" w:cs="Times New Roman"/>
      <w:sz w:val="24"/>
    </w:rPr>
  </w:style>
  <w:style w:type="paragraph" w:styleId="Heading1">
    <w:name w:val="heading 1"/>
    <w:basedOn w:val="Normal"/>
    <w:next w:val="Normal"/>
    <w:link w:val="Heading1Char"/>
    <w:uiPriority w:val="9"/>
    <w:qFormat/>
    <w:rsid w:val="002A4EF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A4EF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EFE"/>
    <w:rPr>
      <w:rFonts w:asciiTheme="majorHAnsi" w:eastAsiaTheme="majorEastAsia" w:hAnsiTheme="majorHAnsi" w:cstheme="majorBidi"/>
      <w:b/>
      <w:bCs/>
      <w:color w:val="365F91" w:themeColor="accent1" w:themeShade="BF"/>
      <w:sz w:val="28"/>
      <w:szCs w:val="28"/>
    </w:rPr>
  </w:style>
  <w:style w:type="paragraph" w:styleId="FootnoteText">
    <w:name w:val="footnote text"/>
    <w:basedOn w:val="Normal"/>
    <w:link w:val="FootnoteTextChar"/>
    <w:uiPriority w:val="99"/>
    <w:semiHidden/>
    <w:unhideWhenUsed/>
    <w:rsid w:val="002A4EF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A4EFE"/>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2A4EFE"/>
    <w:rPr>
      <w:vertAlign w:val="superscript"/>
    </w:rPr>
  </w:style>
  <w:style w:type="character" w:customStyle="1" w:styleId="Heading2Char">
    <w:name w:val="Heading 2 Char"/>
    <w:basedOn w:val="DefaultParagraphFont"/>
    <w:link w:val="Heading2"/>
    <w:uiPriority w:val="9"/>
    <w:rsid w:val="002A4EFE"/>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2A4E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4EFE"/>
    <w:rPr>
      <w:rFonts w:ascii="Times New Roman" w:hAnsi="Times New Roman" w:cs="Times New Roman"/>
      <w:sz w:val="24"/>
    </w:rPr>
  </w:style>
  <w:style w:type="paragraph" w:styleId="Footer">
    <w:name w:val="footer"/>
    <w:basedOn w:val="Normal"/>
    <w:link w:val="FooterChar"/>
    <w:uiPriority w:val="99"/>
    <w:unhideWhenUsed/>
    <w:rsid w:val="002A4E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4EFE"/>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5769</Words>
  <Characters>32884</Characters>
  <Application>Microsoft Office Word</Application>
  <DocSecurity>0</DocSecurity>
  <Lines>274</Lines>
  <Paragraphs>77</Paragraphs>
  <ScaleCrop>false</ScaleCrop>
  <Company>HT</Company>
  <LinksUpToDate>false</LinksUpToDate>
  <CharactersWithSpaces>38576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2026-09-13T09:04:00Z</dcterms:created>
  <dcterms:modified xsi:type="dcterms:W3CDTF">2026-09-13T09:04:00Z</dcterms:modified>
</cp:coreProperties>
</file>