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aslovnica"/>
        <w:bidi w:val="0"/>
        <w:spacing w:lineRule="auto" w:line="360" w:before="113" w:after="113"/>
        <w:jc w:val="center"/>
        <w:rPr/>
      </w:pPr>
      <w:r>
        <w:rPr/>
        <w:t>VELEUČILIŠTE U VIROVITICI</w:t>
      </w:r>
    </w:p>
    <w:p>
      <w:pPr>
        <w:pStyle w:val="Naslovnica"/>
        <w:bidi w:val="0"/>
        <w:spacing w:lineRule="auto" w:line="360" w:before="113" w:after="113"/>
        <w:jc w:val="center"/>
        <w:rPr/>
      </w:pPr>
      <w:r>
        <w:rPr/>
      </w:r>
    </w:p>
    <w:p>
      <w:pPr>
        <w:pStyle w:val="Naslovnica"/>
        <w:bidi w:val="0"/>
        <w:spacing w:lineRule="auto" w:line="360" w:before="113" w:after="113"/>
        <w:jc w:val="center"/>
        <w:rPr/>
      </w:pPr>
      <w:r>
        <w:rPr/>
        <w:t>Prijediplomski stručni studiji (završni rad, Veleučilište u Virovitici)</w:t>
      </w:r>
    </w:p>
    <w:p>
      <w:pPr>
        <w:pStyle w:val="Naslovnica"/>
        <w:bidi w:val="0"/>
        <w:spacing w:lineRule="auto" w:line="360" w:before="113" w:after="113"/>
        <w:jc w:val="center"/>
        <w:rPr/>
      </w:pPr>
      <w:r>
        <w:rPr/>
      </w:r>
    </w:p>
    <w:p>
      <w:pPr>
        <w:pStyle w:val="Naslovnica"/>
        <w:bidi w:val="0"/>
        <w:spacing w:lineRule="auto" w:line="360" w:before="113" w:after="113"/>
        <w:jc w:val="center"/>
        <w:rPr/>
      </w:pPr>
      <w:r>
        <w:rPr/>
        <w:t>Petra Jakšić</w:t>
      </w:r>
    </w:p>
    <w:p>
      <w:pPr>
        <w:pStyle w:val="Naslovnica"/>
        <w:bidi w:val="0"/>
        <w:spacing w:lineRule="auto" w:line="360" w:before="113" w:after="113"/>
        <w:jc w:val="center"/>
        <w:rPr/>
      </w:pPr>
      <w:r>
        <w:rPr/>
      </w:r>
    </w:p>
    <w:p>
      <w:pPr>
        <w:pStyle w:val="Naslovnica"/>
        <w:bidi w:val="0"/>
        <w:spacing w:lineRule="auto" w:line="360" w:before="113" w:after="113"/>
        <w:jc w:val="center"/>
        <w:rPr/>
      </w:pPr>
      <w:r>
        <w:rPr/>
        <w:t>DIGITALNA ZRELOST MALIH PODUZEĆA U RURALNIM PODRUČJIMA: POJMOVNA RAŠČLAMBA MJERILA I GRANICA NJIHOVE PRIMJENE</w:t>
      </w:r>
    </w:p>
    <w:p>
      <w:pPr>
        <w:pStyle w:val="Naslovnica"/>
        <w:bidi w:val="0"/>
        <w:spacing w:lineRule="auto" w:line="360" w:before="113" w:after="113"/>
        <w:jc w:val="center"/>
        <w:rPr/>
      </w:pPr>
      <w:r>
        <w:rPr/>
      </w:r>
    </w:p>
    <w:p>
      <w:pPr>
        <w:pStyle w:val="Naslovnica"/>
        <w:bidi w:val="0"/>
        <w:spacing w:lineRule="auto" w:line="360" w:before="113" w:after="113"/>
        <w:jc w:val="center"/>
        <w:rPr/>
      </w:pPr>
      <w:r>
        <w:rPr/>
        <w:t>ZAVRŠNI RAD</w:t>
      </w:r>
    </w:p>
    <w:p>
      <w:pPr>
        <w:pStyle w:val="Naslovnica"/>
        <w:bidi w:val="0"/>
        <w:spacing w:lineRule="auto" w:line="360" w:before="113" w:after="113"/>
        <w:jc w:val="center"/>
        <w:rPr/>
      </w:pPr>
      <w:r>
        <w:rPr/>
      </w:r>
    </w:p>
    <w:p>
      <w:pPr>
        <w:pStyle w:val="Naslovnica"/>
        <w:bidi w:val="0"/>
        <w:spacing w:lineRule="auto" w:line="360" w:before="113" w:after="113"/>
        <w:jc w:val="center"/>
        <w:rPr/>
      </w:pPr>
      <w:r>
        <w:rPr/>
        <w:t>ZAGREB, 2026.</w:t>
      </w:r>
    </w:p>
    <w:p>
      <w:pPr>
        <w:pStyle w:val="Naslovnica"/>
        <w:bidi w:val="0"/>
        <w:spacing w:lineRule="auto" w:line="360" w:before="113" w:after="113"/>
        <w:jc w:val="center"/>
        <w:rPr/>
      </w:pPr>
      <w:r>
        <w:rPr/>
      </w:r>
    </w:p>
    <w:p>
      <w:pPr>
        <w:pStyle w:val="PrijelomStranice"/>
        <w:bidi w:val="0"/>
        <w:rPr/>
      </w:pPr>
      <w:r>
        <w:rPr/>
      </w:r>
      <w:r>
        <w:br w:type="page"/>
      </w:r>
    </w:p>
    <w:p>
      <w:pPr>
        <w:pStyle w:val="Heading1"/>
        <w:bidi w:val="0"/>
        <w:ind w:hanging="0" w:left="0"/>
        <w:rPr/>
      </w:pPr>
      <w:r>
        <w:rPr/>
        <w:t>Sažetak</w:t>
      </w:r>
    </w:p>
    <w:p>
      <w:pPr>
        <w:pStyle w:val="BodyText"/>
        <w:bidi w:val="0"/>
        <w:spacing w:lineRule="auto" w:line="360" w:before="0" w:after="120"/>
        <w:jc w:val="both"/>
        <w:rPr/>
      </w:pPr>
      <w:r>
        <w:rPr/>
        <w:t>Rad se bavi pojmom digitalne zrelosti i pitanjem što mjerilo zrelosti uopće tvrdi kada se primijeni na malo poduzeće u ruralnom okruženju. Polazi se od razlike između digitalizacije kao prijenosa postojećeg postupka u digitalni oblik, digitalne preobrazbe kao promjene načina poslovanja i digitalne zrelosti kao stanja izmjerenog prema unaprijed zadanoj ljestvici. Raščlamba pokazuje da je svaki model zrelosti niz autorskih odluka: odabir dimenzija, opis stupnjeva, način ocjene i postupak provjere. Te odluke nose pretpostavke o postojanju odjela, podataka, proračuna i uloga koje u mikropoduzeću nemaju nositelja, pa mjerilo ondje često mjeri odsutnost strukture, a ne odsutnost sposobnosti. Uvjeti ruralnog okruženja, od pokrivenosti mrežom do tankog tržišta rada s digitalnim vještinama, pomiču trošak i isplativost pojedinog koraka, ali ne mijenjaju njegovu poželjnost. Rad zaključuje da ocjena zrelosti smije ući u odluku samo zajedno s izgovorenim popisom pretpostavki pod kojima je izmjerena. Rad je pojmovni i ne donosi vlastito empirijsko istraživanje.</w:t>
      </w:r>
    </w:p>
    <w:p>
      <w:pPr>
        <w:pStyle w:val="BodyText"/>
        <w:bidi w:val="0"/>
        <w:spacing w:lineRule="auto" w:line="360" w:before="0" w:after="120"/>
        <w:jc w:val="both"/>
        <w:rPr/>
      </w:pPr>
      <w:r>
        <w:rPr/>
        <w:t>Ključne riječi: digitalna zrelost, malo poduzeće, ruralno poduzetništvo, model zrelosti, granice mjerenja</w:t>
      </w:r>
    </w:p>
    <w:p>
      <w:pPr>
        <w:pStyle w:val="Heading1"/>
        <w:bidi w:val="0"/>
        <w:ind w:hanging="0" w:left="0"/>
        <w:rPr/>
      </w:pPr>
      <w:r>
        <w:rPr/>
        <w:t>Abstract</w:t>
      </w:r>
    </w:p>
    <w:p>
      <w:pPr>
        <w:pStyle w:val="BodyText"/>
        <w:bidi w:val="0"/>
        <w:spacing w:lineRule="auto" w:line="360" w:before="0" w:after="120"/>
        <w:jc w:val="both"/>
        <w:rPr/>
      </w:pPr>
      <w:r>
        <w:rPr/>
        <w:t>This thesis examines the concept of digital maturity and asks what a maturity instrument actually claims when it is applied to a small enterprise in a rural setting. The starting point is the distinction between digitalisation as the transfer of an existing procedure into digital form, digital transformation as a change in the way business is conducted, and digital maturity as a state measured against a predefined scale. The analysis shows that every maturity model is a sequence of authorial decisions: the choice of dimensions, the description of stages, the method of assessment, and the validation procedure. These decisions carry assumptions about the existence of departments, data, budgets, and roles that have no holder in a micro enterprise, so the instrument there frequently measures the absence of structure rather than the absence of capability. Rural conditions, from network coverage to a thin labour market for digital skills, shift the cost and the payback of an individual step, but they do not change its desirability. The thesis concludes that a maturity score may enter a decision only together with an explicit list of the assumptions under which it was measured. The work is conceptual and presents no original empirical research.</w:t>
      </w:r>
    </w:p>
    <w:p>
      <w:pPr>
        <w:pStyle w:val="BodyText"/>
        <w:bidi w:val="0"/>
        <w:spacing w:lineRule="auto" w:line="360" w:before="0" w:after="120"/>
        <w:jc w:val="both"/>
        <w:rPr/>
      </w:pPr>
      <w:r>
        <w:rPr/>
        <w:t>Keywords: digital maturity, small enterprise, rural entrepreneurship, maturity model, limits of measurement</w:t>
      </w:r>
    </w:p>
    <w:p>
      <w:pPr>
        <w:pStyle w:val="Heading1"/>
        <w:bidi w:val="0"/>
        <w:ind w:hanging="0" w:left="0"/>
        <w:rPr/>
      </w:pPr>
      <w:r>
        <w:rPr/>
        <w:t>1. Uvod</w:t>
      </w:r>
    </w:p>
    <w:p>
      <w:pPr>
        <w:pStyle w:val="BodyText"/>
        <w:bidi w:val="0"/>
        <w:spacing w:lineRule="auto" w:line="360" w:before="0" w:after="120"/>
        <w:jc w:val="both"/>
        <w:rPr/>
      </w:pPr>
      <w:r>
        <w:rPr/>
        <w:t>Digitalno poslovanje odavno je prestalo biti obilježje samo velikih trgovačkih društava. Pitanje uvođenja digitalnih alata danas se postavlja i pred obrt s dvoje zaposlenih, i to ne kao pitanje prestiža nego kao pitanje opstanka na tržištu na kojem kupac naručuje mrežom, a dobavljač očekuje elektronički račun. Uz taj pritisak razvila se i cijela obitelj mjerila koja obećavaju da će stanje poduzeća svesti na jedan razumljiv broj ili stupanj i time olakšati odluku o sljedećem koraku (Vial, 2019). Takva mjerila nastaju brzo, prenose se između sredina jednako brzo, a rijetko se pritom pita na kojem su uzorku organizacija građena i što se događa kada se primijene izvan njega.</w:t>
      </w:r>
      <w:r>
        <w:rPr>
          <w:rStyle w:val="FootnoteReference"/>
        </w:rPr>
        <w:footnoteReference w:id="2"/>
      </w:r>
    </w:p>
    <w:p>
      <w:pPr>
        <w:pStyle w:val="BodyText"/>
        <w:bidi w:val="0"/>
        <w:spacing w:lineRule="auto" w:line="360" w:before="0" w:after="120"/>
        <w:jc w:val="both"/>
        <w:rPr/>
      </w:pPr>
      <w:r>
        <w:rPr/>
        <w:t>Upravo je to pitanje predmet ovog rada. Kada vlasnik malog poduzeća u ruralnom području dobije ocjenu da je njegovo poslovanje na drugom od pet stupnjeva digitalne zrelosti, ta ocjena izgleda kao dijagnoza stanja, a zapravo je usporedba s obrascem koji je netko drugi zapisao. Teza rada glasi da je digitalna zrelost stupnjevita kategorija čije mjerilo nosi pretpostavke o veličini poduzeća i o okruženju, pa se u ruralnom kontekstu malog poduzeća ne smije čitati kao ocjena dok te pretpostavke nisu izgovorene. Cilj rada nije odbaciti mjerila nego pokazati gdje je granica onoga što ona smiju tvrditi i kako se ta granica u praksi prelazi bez da itko primijeti.</w:t>
      </w:r>
      <w:r>
        <w:rPr>
          <w:rStyle w:val="FootnoteReference"/>
        </w:rPr>
        <w:footnoteReference w:id="3"/>
      </w:r>
    </w:p>
    <w:p>
      <w:pPr>
        <w:pStyle w:val="BodyText"/>
        <w:bidi w:val="0"/>
        <w:spacing w:lineRule="auto" w:line="360" w:before="0" w:after="120"/>
        <w:jc w:val="both"/>
        <w:rPr/>
      </w:pPr>
      <w:r>
        <w:rPr/>
        <w:t>Pitanje nije samo teorijsko. Mjerila zrelosti ulaze u uvjete natječaja, u savjetodavne usluge i u obrasce kojima se opravdava potpora, pa ocjena zamišljena kao orijentacija postaje uvjet. U tom trenutku prestaje biti važno je li mjerilo pošteno prema malom poduzeću u rijetkoj mreži, jer ono ionako odlučuje o ishodu. Rad zato ne raspravlja o mjerenju načelno nego o jednom određenom prijelazu, onom u kojem opisni stupanj postane mjerilo prikladnosti, i o tome što bi se uz taj prijelaz moralo izgovoriti da ne bi zavaravao onoga tko ocjenu čita.</w:t>
      </w:r>
      <w:r>
        <w:rPr>
          <w:rStyle w:val="FootnoteReference"/>
        </w:rPr>
        <w:footnoteReference w:id="4"/>
      </w:r>
    </w:p>
    <w:p>
      <w:pPr>
        <w:pStyle w:val="BodyText"/>
        <w:bidi w:val="0"/>
        <w:spacing w:lineRule="auto" w:line="360" w:before="0" w:after="120"/>
        <w:jc w:val="both"/>
        <w:rPr/>
      </w:pPr>
      <w:r>
        <w:rPr/>
        <w:t>Rad je pojmovne naravi i ne donosi vlastito empirijsko istraživanje. Građa su mu objavljeni radovi o digitalnoj preobrazbi, modelima zrelosti i poslovanju malih poduzeća, a postupak je raščlamba pojmova i usporedba onoga što pojedino mjerilo mjeri s onim što unaprijed uzima kao dano. Drugo poglavlje razdvaja tri pojma koja se u raspravi redovito miješaju i objašnjava što znači da je zrelost stupnjevita. Treće poglavlje pokazuje kako se model zrelosti gradi i koje su odluke pritom autorske. Četvrto poglavlje uvodi uvjete ruralnog okruženja, peto imenuje dvije granice primjene mjerila, a šesto i sedmo poglavlje spajaju nalaze i zatvaraju krug prema tezi.</w:t>
      </w:r>
    </w:p>
    <w:p>
      <w:pPr>
        <w:pStyle w:val="Heading1"/>
        <w:bidi w:val="0"/>
        <w:ind w:hanging="0" w:left="0"/>
        <w:rPr/>
      </w:pPr>
      <w:r>
        <w:rPr/>
        <w:t>2. Pojmovni okvir</w:t>
      </w:r>
    </w:p>
    <w:p>
      <w:pPr>
        <w:pStyle w:val="Heading2"/>
        <w:bidi w:val="0"/>
        <w:ind w:hanging="0" w:left="0"/>
        <w:rPr/>
      </w:pPr>
      <w:r>
        <w:rPr/>
        <w:t>2.1. Malo poduzeće i ruralno okruženje kao predmet</w:t>
      </w:r>
    </w:p>
    <w:p>
      <w:pPr>
        <w:pStyle w:val="BodyText"/>
        <w:bidi w:val="0"/>
        <w:spacing w:lineRule="auto" w:line="360" w:before="0" w:after="120"/>
        <w:jc w:val="both"/>
        <w:rPr/>
      </w:pPr>
      <w:r>
        <w:rPr/>
        <w:t>Malo poduzeće u ovom se radu uzima u uobičajenom smislu koji povezuje broj zaposlenih i veličinu prihoda, pri čemu je važnije od same granice to da takvo poduzeće nema odvojene organizacijske jedinice za pojedine poslove. Jedna osoba ondje redovito obavlja nabavu, prodaju i knjigovodstvenu pripremu, a vlasnik je istodobno i voditelj i izvršitelj. Ta činjenica nije usputna nego mijenja svako pitanje o uvođenju novog alata, jer se svaki novi postupak ne dodjeljuje nekome nego se dodaje nekome tko je već zauzet (Johnson i Schaltegger, 2016). Razlika prema srednjem poduzeću zato nije samo razlika u brojevima nego u tome postoji li uopće netko kome se posao može predati.</w:t>
      </w:r>
    </w:p>
    <w:p>
      <w:pPr>
        <w:pStyle w:val="BodyText"/>
        <w:bidi w:val="0"/>
        <w:spacing w:lineRule="auto" w:line="360" w:before="0" w:after="120"/>
        <w:jc w:val="both"/>
        <w:rPr/>
      </w:pPr>
      <w:r>
        <w:rPr/>
        <w:t>Ruralno okruženje u radu se ne uzima kao statistička kategorija nego kao opis gustoće veza koje poduzeće okružuju. Riječ je o mjestu gdje je mreža dobavljača rjeđa, gdje je kupac udaljeniji, gdje je izbor pružatelja usluga uži, a put do najbližeg specijalista za pojedini posao dulji. Takav opis obuhvaća i naselja koja formalno nisu razvrstana kao ruralna, ali dijele isti obrazac rijetke mreže. Za predmet rada ključno je da rijetka mreža mijenja cijenu svakog koraka koji pretpostavlja vanjsku uslugu, jer se ta usluga mora dovesti izdaleka ili se mora obaviti unutar poduzeća koje za nju nema vještinu.</w:t>
      </w:r>
    </w:p>
    <w:p>
      <w:pPr>
        <w:pStyle w:val="BodyText"/>
        <w:bidi w:val="0"/>
        <w:spacing w:lineRule="auto" w:line="360" w:before="0" w:after="120"/>
        <w:jc w:val="both"/>
        <w:rPr/>
      </w:pPr>
      <w:r>
        <w:rPr/>
        <w:t>Definicije se u literaturi razlikuju i to razlikovanje nije samo terminološko. Dio radova malo poduzeće određuje pravno, prema pragu zaposlenih i prihoda, a dio funkcionalno, prema tome obavlja li vlasnik i izvršne poslove (Radić, 2019). Prva definicija olakšava usporedbu među izvorima, druga bolje objašnjava ponašanje poduzeća pri uvođenju novog alata. U ovom se radu uzima druga, uz napomenu da se skupine koje te dvije definicije obuhvaćaju uvelike preklapaju. Izbor je izgovoren zato što se iz njega izvode tvrdnje u petom poglavlju, pa čitatelj mora znati na koga se one odnose.</w:t>
      </w:r>
    </w:p>
    <w:p>
      <w:pPr>
        <w:pStyle w:val="BodyText"/>
        <w:bidi w:val="0"/>
        <w:spacing w:lineRule="auto" w:line="360" w:before="0" w:after="120"/>
        <w:jc w:val="both"/>
        <w:rPr/>
      </w:pPr>
      <w:r>
        <w:rPr/>
        <w:t>Veličinu poduzeća i njegov smještaj korisno je držati odvojeno, jer se u raspravi redovito miješaju. Malo poduzeće u gradskom središtu i malo poduzeće u rijetko naseljenom području dijele ograničenja veličine, ali ne dijele okruženje: prvo ima pri ruci tržište usluga koje drugo nema. Isto tako, veliko poduzeće smješteno izvan gradskog središta nosi ograničenja okruženja, ali ima unutarnju strukturu kojom ih može ublažiti. Miješanje tih dviju osi stvara zaključke koji zvuče uvjerljivo, a ne stoje: nalaz o sporijem uvođenju digitalnih alata pripisuje se ruralnosti, a proizlazi iz veličine, ili obrnuto (Marić i Blažević, 2021).</w:t>
      </w:r>
    </w:p>
    <w:p>
      <w:pPr>
        <w:pStyle w:val="BodyText"/>
        <w:bidi w:val="0"/>
        <w:spacing w:lineRule="auto" w:line="360" w:before="0" w:after="120"/>
        <w:jc w:val="both"/>
        <w:rPr/>
      </w:pPr>
      <w:r>
        <w:rPr/>
        <w:t>Ipak, u ovom se radu te dvije osi promatraju zajedno, i to iz razloga koji je sadržajan, a ne praktičan. Malo poduzeće u rijetkoj mreži nalazi se u položaju u kojem se ograničenja ne zbrajaju nego umnožavaju: nema unutarnje podjele posla kojom bi nadomjestilo nedostupnu vanjsku uslugu, a nema ni dostupnu vanjsku uslugu kojom bi nadomjestilo nedostatak unutarnje podjele. Upravo je taj presjek mjesto na kojem mjerila zrelosti najviše griješe, jer pretpostavljaju da je barem jedan od dva izlaza otvoren. Zbog toga se u nastavku pod predmetom rada misli na taj presjek, a ne na bilo koje malo poduzeće.</w:t>
      </w:r>
    </w:p>
    <w:p>
      <w:pPr>
        <w:pStyle w:val="Heading2"/>
        <w:bidi w:val="0"/>
        <w:ind w:hanging="0" w:left="0"/>
        <w:rPr/>
      </w:pPr>
      <w:r>
        <w:rPr/>
        <w:t>2.2. Digitalizacija, digitalna preobrazba i digitalna zrelost</w:t>
      </w:r>
    </w:p>
    <w:p>
      <w:pPr>
        <w:pStyle w:val="BodyText"/>
        <w:bidi w:val="0"/>
        <w:spacing w:lineRule="auto" w:line="360" w:before="0" w:after="120"/>
        <w:jc w:val="both"/>
        <w:rPr/>
      </w:pPr>
      <w:r>
        <w:rPr/>
        <w:t>Digitalizacija u užem smislu znači prijenos postojećeg postupka u digitalni oblik bez promjene same logike posla. Kada se papirnati obrazac narudžbe zamijeni tabličnim dokumentom, a način naručivanja ostane isti, riječ je upravo o tome. Takav zahvat donosi uštedu vremena i smanjuje pogreške u prijepisu, ali ne mijenja ni tko odlučuje, ni na temelju čega, ni koliko brzo. Razlikovanje je važno jer se učinci digitalizacije u tom užem smislu mogu izmjeriti razmjerno pouzdano, dok se učinci širih zahvata mjere teže i sporije (Vial, 2019). Rasprava koja ta dva zahvata naziva istim imenom mjeri dvije različite stvari istim mjerilom i zatim se čudi nedosljednim nalazima.</w:t>
      </w:r>
    </w:p>
    <w:p>
      <w:pPr>
        <w:pStyle w:val="BodyText"/>
        <w:bidi w:val="0"/>
        <w:spacing w:lineRule="auto" w:line="360" w:before="0" w:after="120"/>
        <w:jc w:val="both"/>
        <w:rPr/>
      </w:pPr>
      <w:r>
        <w:rPr/>
        <w:t>Digitalna preobrazba označava promjenu načina na koji poduzeće posluje, a ne samo oblika u kojem vodi zapise. Ondje se mijenja ponuda, mijenja se odnos s kupcem, mijenja se podjela posla i često se mijenja ono po čemu poduzeće uopće zarađuje (Verhoef i sur., 2021). Za razliku od digitalizacije, preobrazba je proces koji traje i koji se ne može naručiti kao usluga s rokom isporuke, jer traži da se unutar poduzeća izgrade sposobnosti kojih prije nije bilo (Warner i Wäger, 2019). Upravo zato je preobrazba i riskantnija: neuspjeli prijenos obrasca u digitalni oblik gubitak je nekoliko dana, a neuspjela promjena ponude može biti gubitak tržišta.</w:t>
      </w:r>
    </w:p>
    <w:p>
      <w:pPr>
        <w:pStyle w:val="BodyText"/>
        <w:bidi w:val="0"/>
        <w:spacing w:lineRule="auto" w:line="360" w:before="0" w:after="120"/>
        <w:jc w:val="both"/>
        <w:rPr/>
      </w:pPr>
      <w:r>
        <w:rPr/>
        <w:t>Digitalna zrelost je treći pojam i razlikuje se od prethodna dva po vrsti: nije zahvat nego stanje izmjereno prema ljestvici. Reći da je poduzeće zrelo znači reći da se nalazi na određenom mjestu neke unaprijed zadane ljestvice, pa tvrdnja o zrelosti uvijek nosi i tvrdnju o ljestvici. Iz toga slijedi nešto što se u praksi lako previdi: dva poduzeća s istim postupcima mogu dobiti različite ocjene zrelosti ako su mjerena različitim mjerilima, a da se u samim poduzećima nije promijenilo ništa. Zrelost stoga nije svojstvo poduzeća na isti način na koji je to broj zaposlenih, nego odnos između poduzeća i mjerila.</w:t>
      </w:r>
    </w:p>
    <w:p>
      <w:pPr>
        <w:pStyle w:val="BodyText"/>
        <w:bidi w:val="0"/>
        <w:spacing w:lineRule="auto" w:line="360" w:before="0" w:after="120"/>
        <w:jc w:val="both"/>
        <w:rPr/>
      </w:pPr>
      <w:r>
        <w:rPr/>
        <w:t>Tri se pojma u praksi miješaju iz razumljivog razloga: onaj tko nudi uslugu ima korist od šireg imena. Postavljanje mrežne trgovine lakše se prodaje kao digitalna preobrazba nego kao digitalizacija naručivanja, a ocjena zrelosti lakše se prodaje kao dijagnoza nego kao usporedba s obrascem. Takvo širenje imena nije prijevara, ali ima cijenu: poduzeće koje je kupilo preobrazbu, a dobilo digitalizaciju, mjeri učinak krivim očekivanjem i zaključuje da ulaganje nije uspjelo. Razdvajanje pojmova stoga nije akademska pedantnost nego uvjet da se učinak uopće može ocijeniti.</w:t>
      </w:r>
    </w:p>
    <w:p>
      <w:pPr>
        <w:pStyle w:val="BodyText"/>
        <w:bidi w:val="0"/>
        <w:spacing w:lineRule="auto" w:line="360" w:before="0" w:after="120"/>
        <w:jc w:val="both"/>
        <w:rPr/>
      </w:pPr>
      <w:r>
        <w:rPr/>
        <w:t>Odnos triju pojmova prikazan je na Slici 1. Digitalizacija je ondje prikazana kao najuži pojam, preobrazba kao širi zahvat koji digitalizaciju može sadržavati, ali je ne mora, a zrelost kao okvir koji oba zahvata mjeri izvana. Takav raspored ima jednu posljedicu koja se u nastavku često koristi: zrelost ne leži na istoj crti s druga dva pojma i nije njihov zbroj. Poduzeće može provesti mnogo digitalizacije i ostati nisko na ljestvici zrelosti ako su dimenzije ljestvice postavljene drugdje, a može biti visoko ocijenjeno uz malo zahvata ako ljestvica mjeri upravo ono što je to poduzeće ionako radilo.</w:t>
      </w:r>
    </w:p>
    <w:p>
      <w:pPr>
        <w:pStyle w:val="Heading2"/>
        <w:bidi w:val="0"/>
        <w:ind w:hanging="0" w:left="0"/>
        <w:rPr/>
      </w:pPr>
      <w:r>
        <w:rPr/>
        <w:t>2.3. Zrelost kao stupnjevita kategorija</w:t>
      </w:r>
    </w:p>
    <w:p>
      <w:pPr>
        <w:pStyle w:val="BodyText"/>
        <w:bidi w:val="0"/>
        <w:spacing w:lineRule="auto" w:line="360" w:before="0" w:after="120"/>
        <w:jc w:val="both"/>
        <w:rPr/>
      </w:pPr>
      <w:r>
        <w:rPr/>
        <w:t>Kada se kaže da je zrelost stupnjevita, tvrde se tri stvari odjednom, a samo je prva očita. Prva je da su stanja poredana, dakle da je viši stupanj u nekom smislu bolji od nižeg. Druga je da je redoslijed obvezan, dakle da se do trećeg stupnja dolazi kroz drugi, a ne mimo njega. Treća je da je razmak između stupnjeva smislen, dakle da pomak s prvog na drugi znači nešto usporedivo s pomakom s trećeg na četvrti. Modeli zrelosti prve dvije tvrdnje najčešće izgovaraju, a treću prešute, premda je upravo ona ona koja omogućuje da se ocjene zbrajaju i uspoređuju (Becker i sur., 2009).</w:t>
      </w:r>
    </w:p>
    <w:p>
      <w:pPr>
        <w:pStyle w:val="BodyText"/>
        <w:bidi w:val="0"/>
        <w:spacing w:lineRule="auto" w:line="360" w:before="0" w:after="120"/>
        <w:jc w:val="both"/>
        <w:rPr/>
      </w:pPr>
      <w:r>
        <w:rPr/>
        <w:t>Ako treća tvrdnja, ona o smislenom razmaku između stupnjeva, ne stoji, posljedice su veće nego što se na prvi pogled čini. Ocjene se tada ne smiju zbrajati, prosjek skupine poduzeća gubi značenje, a usporedba napretka dvaju poduzeća postaje usporedba dvaju različitih putova. U praksi se upravo to i događa, jer je prijelaz s prvog na drugi stupanj redovito jeftin, dok prijelaz s trećeg na četvrti traži ulaganje koje malo poduzeće ne može podnijeti odjednom. Ljestvica koja te razmake prikazuje jednakima daje krivu sliku o tome koliko je posla pred poduzećem.</w:t>
      </w:r>
    </w:p>
    <w:p>
      <w:pPr>
        <w:pStyle w:val="BodyText"/>
        <w:bidi w:val="0"/>
        <w:spacing w:lineRule="auto" w:line="360" w:before="0" w:after="120"/>
        <w:jc w:val="both"/>
        <w:rPr/>
      </w:pPr>
      <w:r>
        <w:rPr/>
        <w:t>Obećanje koje stupnjevita ljestvica daje vlasniku poduzeća vrlo je privlačno: ona neuredno stanje prevodi u redoslijed koraka. Umjesto popisa desetaka mogućih zahvata koje treba međusobno vagati, vlasnik dobiva jedan sljedeći korak i razlog zašto je baš on sljedeći. Vrijednost te usluge ne treba potcijeniti, jer je vrijeme za vaganje mogućnosti u malom poduzeću najoskudniji resurs. Problem nastaje kada se korisnost ljestvice zamijeni za njezinu istinitost: to što je redoslijed koristan ne znači da je nužan, a to što je jedan korak preporučen kao sljedeći ne znači da je za konkretno poduzeće i najisplativiji.</w:t>
      </w:r>
    </w:p>
    <w:p>
      <w:pPr>
        <w:pStyle w:val="BodyText"/>
        <w:bidi w:val="0"/>
        <w:spacing w:lineRule="auto" w:line="360" w:before="0" w:after="120"/>
        <w:jc w:val="both"/>
        <w:rPr/>
      </w:pPr>
      <w:r>
        <w:rPr/>
        <w:t>Pretpostavka obveznog redoslijeda zaslužuje posebnu pozornost jer nosi skrivenu tvrdnju o tome kako sposobnosti nastaju. Ako se sposobnost gradi postupno i ako svaka počiva na prethodnoj, redoslijed doista ima smisla i preskakanje se ne isplati (Teece, 2007). Ako se pak pojedine sposobnosti mogu kupiti kao gotova usluga, redoslijed prestaje biti obvezan, jer se stupanj može zaobići plaćanjem. Mala poduzeća upravo tu često odstupaju od modela: ona ne grade unutarnju sposobnost nego je unajmljuju, pa im ljestvica mjeri nešto što nikad nisu namjeravala imati. Takvo odstupanje model najčešće bilježi kao zaostatak, a ne kao drukčiji izbor.</w:t>
      </w:r>
    </w:p>
    <w:p>
      <w:pPr>
        <w:pStyle w:val="Heading1"/>
        <w:bidi w:val="0"/>
        <w:ind w:hanging="0" w:left="0"/>
        <w:rPr/>
      </w:pPr>
      <w:r>
        <w:rPr/>
        <w:t>3. Mjerila digitalne zrelosti</w:t>
      </w:r>
    </w:p>
    <w:p>
      <w:pPr>
        <w:pStyle w:val="Heading2"/>
        <w:bidi w:val="0"/>
        <w:ind w:hanging="0" w:left="0"/>
        <w:rPr/>
      </w:pPr>
      <w:r>
        <w:rPr/>
        <w:t>3.1. Kako se gradi model zrelosti</w:t>
      </w:r>
    </w:p>
    <w:p>
      <w:pPr>
        <w:pStyle w:val="BodyText"/>
        <w:bidi w:val="0"/>
        <w:spacing w:lineRule="auto" w:line="360" w:before="0" w:after="120"/>
        <w:jc w:val="both"/>
        <w:rPr/>
      </w:pPr>
      <w:r>
        <w:rPr/>
        <w:t>Izrada modela zrelosti u literaturi je opisana kao postupak s jasnim koracima, što ostavlja dojam da je rezultat time i objektivan. Postupak počinje određivanjem svrhe i predmeta mjerenja, nastavlja se odabirom dimenzija, opisom stupnjeva unutar svake dimenzije, izradom načina ocjene i završava provjerom modela na stvarnim slučajevima (Becker i sur., 2009). Svaki od tih koraka može se izvesti uredno i dokumentirano, a ipak nijedan od njih nije određen samim predmetom. Urednost postupka i objektivnost rezultata dvije su različite stvari, i njihovo se miješanje pokazuje kao izvor većine kasnijih nesporazuma o tome što ocjena znači.</w:t>
      </w:r>
    </w:p>
    <w:p>
      <w:pPr>
        <w:pStyle w:val="BodyText"/>
        <w:bidi w:val="0"/>
        <w:spacing w:lineRule="auto" w:line="360" w:before="0" w:after="120"/>
        <w:jc w:val="both"/>
        <w:rPr/>
      </w:pPr>
      <w:r>
        <w:rPr/>
        <w:t>Odabir dimenzija prva je i najteža autorska odluka. Model koji kao dimenzije uzme upravljanje podacima, sigurnost, automatizaciju procesa i digitalne vještine zaposlenika mjerit će nešto bitno drugačije od modela koji uzme odnos s kupcem, vidljivost na mreži, brzinu isporuke i naplatu. Oba popisa mogu se braniti, a izbor između njih ovisi o tome tko model gradi i za koga (Kovačević, 2022). Kada se model potom primijeni, ocjena koju poduzeće dobije govori podjednako o poduzeću i o tom početnom izboru, no izvještaj o ocjeni gotovo nikad ne navodi drugo, nego samo prvo.</w:t>
      </w:r>
    </w:p>
    <w:p>
      <w:pPr>
        <w:pStyle w:val="BodyText"/>
        <w:bidi w:val="0"/>
        <w:spacing w:lineRule="auto" w:line="360" w:before="0" w:after="120"/>
        <w:jc w:val="both"/>
        <w:rPr/>
      </w:pPr>
      <w:r>
        <w:rPr/>
        <w:t>Tko model gradi, vidi se i po tome za koga je građen. Dio modela nastaje u istraživačkim radovima i objavljuje se s opisom postupka, pa se može preispitati. Drugi dio nastaje kod pružatelja usluga kojima model služi i kao alat prodaje, jer niska ocjena prirodno vodi ponudi zahvata koji je podiže. Takav model nije zato neistinit, ali nosi poticaj koji čitatelj mora znati (Kovačević, 2022). Razlikovanje je jednostavno: model koji objavljuje svoje dimenzije i način bodovanja može se provjeriti, a onaj koji ih drži zatvorenima traži povjerenje umjesto provjere.</w:t>
      </w:r>
    </w:p>
    <w:p>
      <w:pPr>
        <w:pStyle w:val="BodyText"/>
        <w:bidi w:val="0"/>
        <w:spacing w:lineRule="auto" w:line="360" w:before="0" w:after="120"/>
        <w:jc w:val="both"/>
        <w:rPr/>
      </w:pPr>
      <w:r>
        <w:rPr/>
        <w:t>Broj dimenzija posebna je odluka i u njoj se vidi za koga je model zamišljen. Malen broj dimenzija daje ocjenu koja se pamti, ali skriva razlike unutar svake od njih; velik broj razlikuje više, a traži vrijeme koje ispitanik u malom poduzeću nema. Modeli namijenjeni savjetovanju zato redovito biraju srednji put, a taj je put izabran prema izdržljivosti ispitanika, ne prema predmetu mjerenja.</w:t>
      </w:r>
    </w:p>
    <w:p>
      <w:pPr>
        <w:pStyle w:val="BodyText"/>
        <w:bidi w:val="0"/>
        <w:spacing w:lineRule="auto" w:line="360" w:before="0" w:after="120"/>
        <w:jc w:val="both"/>
        <w:rPr/>
      </w:pPr>
      <w:r>
        <w:rPr/>
        <w:t>Opis stupnjeva druga je odluka i u njoj se skriva najviše nesigurnosti. Stupnjeve treba opisati tako da ih ocjenjivač može razlikovati, a da opis pritom ostane primjenjiv na različita poduzeća, i te su dvije težnje u izravnom sukobu. Precizan opis veže se uz određenu vrstu poslovanja i prestaje vrijediti izvan nje, a općenit opis prepušta ocjenjivaču da odluči što znači uglavnom uređeno ili djelomično automatizirano. U praksi se češće bira općenitost, pa se razlike između ocjena dvaju ocjenjivača ne mogu razlučiti od razlika između dvaju poduzeća.</w:t>
      </w:r>
    </w:p>
    <w:p>
      <w:pPr>
        <w:pStyle w:val="BodyText"/>
        <w:bidi w:val="0"/>
        <w:spacing w:lineRule="auto" w:line="360" w:before="0" w:after="120"/>
        <w:jc w:val="both"/>
        <w:rPr/>
      </w:pPr>
      <w:r>
        <w:rPr/>
        <w:t>Način ocjene i provjera modela posljednji su koraci i najčešće najslabiji. Ocjena se obično dobiva samoprocjenom vlasnika ili voditelja, dakle od osobe koja je istodobno i predmet mjerenja i onaj kome rezultat treba nešto značiti, što otvara poznati raspon pristranosti u oba smjera (Davis, 1989). Provjera modela svodi se pak na primjenu na nekoliko slučajeva i na potvrdu da rezultati izgledaju razumno. Takva provjera pokazuje da model daje ocjene koje se ne kose s očekivanjem, ali ne pokazuje da mjeri ono što tvrdi da mjeri, niti da bi drugo mjerilo dalo isti poredak poduzeća.</w:t>
      </w:r>
    </w:p>
    <w:p>
      <w:pPr>
        <w:pStyle w:val="Heading2"/>
        <w:bidi w:val="0"/>
        <w:ind w:hanging="0" w:left="0"/>
        <w:rPr/>
      </w:pPr>
      <w:r>
        <w:rPr/>
        <w:t>3.2. Što mjerilo mjeri, a što pretpostavlja</w:t>
      </w:r>
    </w:p>
    <w:p>
      <w:pPr>
        <w:pStyle w:val="BodyText"/>
        <w:bidi w:val="0"/>
        <w:spacing w:lineRule="auto" w:line="360" w:before="0" w:after="120"/>
        <w:jc w:val="both"/>
        <w:rPr/>
      </w:pPr>
      <w:r>
        <w:rPr/>
        <w:t>Razlika između onoga što mjerilo mjeri i onoga što pretpostavlja može se pokazati na jednostavnom primjeru. Dimenzija upravljanja podacima obično se ocjenjuje pitanjima o tome postoji li propisani postupak, tko je za njega odgovoran i koliko se često preispituje. Poduzeće s troje ljudi na sva tri pitanja odgovara niječno, ali ne zato što podacima upravlja loše, nego zato što pitanje pretpostavlja podjelu posla koje ondje nema. Odgovor koji mjerilo zabilježi kao nisku razinu zapravo je odgovor o veličini poduzeća, a ne o kvaliteti postupanja s podacima (Perić i Šarčević, 2023).</w:t>
      </w:r>
    </w:p>
    <w:p>
      <w:pPr>
        <w:pStyle w:val="BodyText"/>
        <w:bidi w:val="0"/>
        <w:spacing w:lineRule="auto" w:line="360" w:before="0" w:after="120"/>
        <w:jc w:val="both"/>
        <w:rPr/>
      </w:pPr>
      <w:r>
        <w:rPr/>
        <w:t>Popis takvih pretpostavki dan je u Tablici 1, gdje je uz svaku navedeno na čemu počiva i što se događa kada je u malom poduzeću ne bude. Pretpostavke se ondje razvrstavaju u četiri skupine: pretpostavka o postojanju organizacijske jedinice, pretpostavka o postojanju zapisa iz kojih se ocjena izvodi, pretpostavka o postojanju proračuna za zahvat i pretpostavka o postojanju uloge koja zahvat provodi. Nijedna od njih nije proizvoljna, jer svaka ima smisla u organizaciji za koju je model građen. Sve četiri, međutim, prestaju vrijediti u istom trenutku, kada poduzeće padne ispod veličine na kojoj se posao može podijeliti.</w:t>
      </w:r>
    </w:p>
    <w:p>
      <w:pPr>
        <w:pStyle w:val="BodyText"/>
        <w:bidi w:val="0"/>
        <w:spacing w:lineRule="auto" w:line="360" w:before="0" w:after="120"/>
        <w:jc w:val="both"/>
        <w:rPr/>
      </w:pPr>
      <w:r>
        <w:rPr/>
        <w:t>Vrste pokazatelja kojima se zrelost mjeri razlikuju se po tome koliko su osjetljive na te pretpostavke, a usporedba triju skupina prikazana je u Tablici 2. Pokazatelji ishoda, poput udjela narudžbi zaprimljenih mrežom, mjere ono što se vidi izvana i razmjerno su otporni. Pokazatelji postupka, poput postojanja pisane procedure, mjere unutarnji ustroj i najosjetljiviji su. Pokazatelji sposobnosti, poput vještina zaposlenika, nalaze se između, jer sposobnost može postojati bez formalnog ustroja, ali se bez njega teže dokazuje. Modeli zrelosti u pravilu su najbogatiji upravo pokazateljima postupka, dakle onima koji u malom poduzeću najmanje govore.</w:t>
      </w:r>
    </w:p>
    <w:p>
      <w:pPr>
        <w:pStyle w:val="BodyText"/>
        <w:bidi w:val="0"/>
        <w:spacing w:lineRule="auto" w:line="360" w:before="0" w:after="120"/>
        <w:jc w:val="both"/>
        <w:rPr/>
      </w:pPr>
      <w:r>
        <w:rPr/>
        <w:t>Samoprocjena u malom poduzeću ima još jednu osobitost koju literatura o velikim organizacijama ne bilježi. Vlasnik koji odgovara na pitanja istodobno je i jedini izvor podataka i osoba koja bi zahvat morala provesti, pa odgovor nosi i procjenu vlastitog budućeg posla. Sklonost prema nižoj ocjeni javlja se ondje gdje ocjena otvara pravo na potporu, a sklonost prema višoj ondje gdje je ocjena vidljiva kupcima ili poslovnim partnerima. Nijedna od te dvije sklonosti nije nepoštenje nego predvidljiva posljedica toga tko pita i zašto (Davis, 1989).</w:t>
      </w:r>
    </w:p>
    <w:p>
      <w:pPr>
        <w:pStyle w:val="BodyText"/>
        <w:bidi w:val="0"/>
        <w:spacing w:lineRule="auto" w:line="360" w:before="0" w:after="120"/>
        <w:jc w:val="both"/>
        <w:rPr/>
      </w:pPr>
      <w:r>
        <w:rPr/>
        <w:t>Posljedica je da ocjena zrelosti malog poduzeća sustavno pada, i to na način koji se ne može ispraviti dodavanjem bodova. Nije riječ o pogrešci u računanju nego o tome da mjerilo postavlja pitanja na koja jedini iskren odgovor glasi da takvog ustroja nema. Pokušaj popravka kroz prilagodbu težina pojedinih dimenzija ne pomaže, jer težine mijenjaju koliko pojedini odgovor vrijedi, a ne mijenjaju što je pitano. Jedini popravak koji doista djeluje jest promjena pitanja, dakle izrada mjerila koje o malom poduzeću pita ono što se u njemu može vidjeti, a to je ujedno i najskuplji popravak.</w:t>
      </w:r>
    </w:p>
    <w:p>
      <w:pPr>
        <w:pStyle w:val="BodyText"/>
        <w:bidi w:val="0"/>
        <w:spacing w:lineRule="auto" w:line="360" w:before="0" w:after="120"/>
        <w:jc w:val="both"/>
        <w:rPr/>
      </w:pPr>
      <w:r>
        <w:rPr/>
        <w:t>Kako bi izgledalo pitanje koje o malom poduzeću doista nešto govori, može se izvesti iz iste razlike. Umjesto pitanja postoji li propisani postupak, mjerilo bi pitalo kako se posao obavi kada je osoba koja ga inače radi odsutna. Umjesto pitanja postoji li imenovani odgovornik, pitalo bi tko odlučuje kada se pojavi dvojba i po čemu se ta odluka poslije može provjeriti. Oba pitanja mjere ono što je izvorno mjerilo htjelo mjeriti, a nijedno ne pretpostavlja ustroj kojega u malom poduzeću nema.</w:t>
      </w:r>
    </w:p>
    <w:p>
      <w:pPr>
        <w:pStyle w:val="Heading1"/>
        <w:bidi w:val="0"/>
        <w:ind w:hanging="0" w:left="0"/>
        <w:rPr/>
      </w:pPr>
      <w:r>
        <w:rPr/>
        <w:t>4. Ruralno okruženje kao uvjet primjene</w:t>
      </w:r>
    </w:p>
    <w:p>
      <w:pPr>
        <w:pStyle w:val="Heading2"/>
        <w:bidi w:val="0"/>
        <w:ind w:hanging="0" w:left="0"/>
        <w:rPr/>
      </w:pPr>
      <w:r>
        <w:rPr/>
        <w:t>4.1. Infrastruktura, tržište i radna snaga</w:t>
      </w:r>
    </w:p>
    <w:p>
      <w:pPr>
        <w:pStyle w:val="BodyText"/>
        <w:bidi w:val="0"/>
        <w:spacing w:lineRule="auto" w:line="360" w:before="0" w:after="120"/>
        <w:jc w:val="both"/>
        <w:rPr/>
      </w:pPr>
      <w:r>
        <w:rPr/>
        <w:t>Pokrivenost mrežom prvi je i najočitiji uvjet, ali njegova je uloga češće krivo shvaćena nego previđena. Rasprava se obično vodi kao da je riječ o preduvjetu koji ili postoji ili ne postoji, dok je u praksi riječ o rasponu pouzdanosti i brzine koji određuje koje se rješenje isplati, a koje ne (Babić i Lovrić, 2022). Poduzeće s nepouzdanom vezom ne odustaje od digitalnih alata nego bira one koji rade i bez stalne veze, pa mu mjerilo koje traži rješenja u oblaku bilježi zaostatak ondje gdje je zapravo riječ o razumnom izboru pod danim uvjetima.</w:t>
      </w:r>
    </w:p>
    <w:p>
      <w:pPr>
        <w:pStyle w:val="BodyText"/>
        <w:bidi w:val="0"/>
        <w:spacing w:lineRule="auto" w:line="360" w:before="0" w:after="120"/>
        <w:jc w:val="both"/>
        <w:rPr/>
      </w:pPr>
      <w:r>
        <w:rPr/>
        <w:t>Udaljenost od pružatelja usluga drugi je uvjet i djeluje kroz cijenu, a ne kroz dostupnost. Usluga postavljanja i održavanja sustava dostupna je i na udaljenom mjestu, ali dolazi uz putni trošak, dulje čekanje na odziv i manji izbor ponuđača, čime se svaki zahvat koji traži vanjsku pomoć poskupljuje (Horvat, 2024). Ta razlika ne mijenja poželjnost zahvata nego njegov rok povrata, i to upravo za zahvate koji su u modelima zrelosti opisani kao prijelaz na više stupnjeve. Poduzeće koje iz tog razloga odgađa takav prijelaz ponaša se racionalno, a mjerilo to bilježi kao nezrelost.</w:t>
      </w:r>
    </w:p>
    <w:p>
      <w:pPr>
        <w:pStyle w:val="BodyText"/>
        <w:bidi w:val="0"/>
        <w:spacing w:lineRule="auto" w:line="360" w:before="0" w:after="120"/>
        <w:jc w:val="both"/>
        <w:rPr/>
      </w:pPr>
      <w:r>
        <w:rPr/>
        <w:t>Tržište rada treći je uvjet i najsporije se mijenja. Osoba s digitalnim vještinama izvan većih središta rijetko je dostupna u punom radnom vremenu, a kad je dostupna, mala poduzeća se za nju natječu s poslodavcima koji nude rad na daljinu uz gradske plaće (Ivanković, 2021). Posljedica je da se vještina najčešće mora izgraditi unutar postojećeg tima, dakle kod ljudi koji uz to obavljaju svoj redovni posao. To gradnju čini sporijom, ali i trajnijom, jer stečena vještina ostaje u poduzeću. Modeli zrelosti to razlikovanje rijetko bilježe, pa jednako ocjenjuju unajmljenu i izgrađenu sposobnost.</w:t>
      </w:r>
    </w:p>
    <w:p>
      <w:pPr>
        <w:pStyle w:val="BodyText"/>
        <w:bidi w:val="0"/>
        <w:spacing w:lineRule="auto" w:line="360" w:before="0" w:after="120"/>
        <w:jc w:val="both"/>
        <w:rPr/>
      </w:pPr>
      <w:r>
        <w:rPr/>
        <w:t>Uz tri navedena uvjeta djeluje i četvrti, koji se rjeđe spominje jer se teže mjeri: veličina i ritam lokalne potražnje. Poduzeće koje najveći dio prihoda ostvari u nekoliko mjeseci ne može zahvat uvoditi u razdoblju u kojem posla ima, a u razdoblju u kojem posla nema često nema ni sredstava za zahvat. Ta se dva razdoblja rijetko poklapaju, pa se uvođenje odgađa iz razloga koji nema veze ni s voljom ni s vještinom (Babić i Lovrić, 2022). Mjerilo koje se primjenjuje jednom godišnje taj ritam uopće ne vidi.</w:t>
      </w:r>
    </w:p>
    <w:p>
      <w:pPr>
        <w:pStyle w:val="BodyText"/>
        <w:bidi w:val="0"/>
        <w:spacing w:lineRule="auto" w:line="360" w:before="0" w:after="120"/>
        <w:jc w:val="both"/>
        <w:rPr/>
      </w:pPr>
      <w:r>
        <w:rPr/>
        <w:t>Zajednički učinak triju uvjeta nije zabrana nego pomak granice isplativosti. Svaki pojedini korak koji model preporučuje ostaje smislen, ali mu je trošak veći, a povrat sporiji nego u sredini u kojoj je model nastao (Denicolai i sur., 2021). Iz toga slijedi zaključak koji je za ovaj rad središnji: redoslijed koraka koji je u jednoj sredini najjeftiniji put do cilja u drugoj sredini to nije, pa preporuka koja se izvodi iz ljestvice prestaje biti preporuka i postaje puko preslikavanje. Uvjeti okruženja time ne opravdavaju izostanak digitalizacije, nego opravdavaju drukčiji redoslijed.</w:t>
      </w:r>
    </w:p>
    <w:p>
      <w:pPr>
        <w:pStyle w:val="Heading2"/>
        <w:bidi w:val="0"/>
        <w:ind w:hanging="0" w:left="0"/>
        <w:rPr/>
      </w:pPr>
      <w:r>
        <w:rPr/>
        <w:t>4.2. Vlasništvo, odlučivanje i vrijeme vlasnika</w:t>
      </w:r>
    </w:p>
    <w:p>
      <w:pPr>
        <w:pStyle w:val="BodyText"/>
        <w:bidi w:val="0"/>
        <w:spacing w:lineRule="auto" w:line="360" w:before="0" w:after="120"/>
        <w:jc w:val="both"/>
        <w:rPr/>
      </w:pPr>
      <w:r>
        <w:rPr/>
        <w:t>Obiteljsko vlasništvo u malom poduzeću mijenja način na koji se odluka o ulaganju uopće donosi. Novac kojim se ulaganje financira nije odvojen od obiteljskog imetka, pa se rizik ne vaga samo prema očekivanom povratu nego i prema tome što se gubi ako povrata ne bude (Vuković, 2023). Takvo vaganje vodi opreznijem izboru zahvata i sklonosti rješenjima koja se mogu napustiti bez velikog gubitka. Modeli zrelosti oprez tumače kao sporost, jer mjere dosegnuti stupanj, a ne mjere koliko je poduzeće izloženo ako zahvat ne uspije.</w:t>
      </w:r>
    </w:p>
    <w:p>
      <w:pPr>
        <w:pStyle w:val="BodyText"/>
        <w:bidi w:val="0"/>
        <w:spacing w:lineRule="auto" w:line="360" w:before="0" w:after="120"/>
        <w:jc w:val="both"/>
        <w:rPr/>
      </w:pPr>
      <w:r>
        <w:rPr/>
        <w:t>Kratak lanac odlučivanja druga je posljedica iste strukture i djeluje u oba smjera. S jedne strane, odluka se donosi brzo jer nema tijela koja je moraju potvrditi, pa malo poduzeće može iskoristiti priliku koju veće ne stigne ni razmotriti. S druge strane, nema ni tijela koje bi odluku preispitalo, pa pogrešna procjena vlasnika prolazi bez zaustavljanja. Modeli zrelosti u toj dimenziji mjere postojanje formalnog postupka odlučivanja i time izravno kažnjavaju kratak lanac, premda je on izvor prednosti jednako koliko i izvor rizika (Johnson i Schaltegger, 2016).</w:t>
      </w:r>
    </w:p>
    <w:p>
      <w:pPr>
        <w:pStyle w:val="BodyText"/>
        <w:bidi w:val="0"/>
        <w:spacing w:lineRule="auto" w:line="360" w:before="0" w:after="120"/>
        <w:jc w:val="both"/>
        <w:rPr/>
      </w:pPr>
      <w:r>
        <w:rPr/>
        <w:t>Vrijeme vlasnika najoskudniji je resurs i najrjeđe se pojavljuje u mjerilima. Svaki zahvat koji traži učenje, odabir ponuđača, uvođenje i nadzor troši upravo ono vrijeme koje se inače troši na posao od kojeg poduzeće živi, pa je stvarna cijena zahvata zbroj njegove cijene i vrijednosti izgubljenog vremena (Jurić, 2023). Mjerilo koje tu stavku ne bilježi opisuje zahvate kao da su jednako zahtjevni za svako poduzeće, iako uvođenje istog alata velikom poduzeću troši vrijeme zaposlenika, a malom vrijeme vlasnika. Ista se ocjena tako dobiva uz bitno različit trošak.</w:t>
      </w:r>
    </w:p>
    <w:p>
      <w:pPr>
        <w:pStyle w:val="BodyText"/>
        <w:bidi w:val="0"/>
        <w:spacing w:lineRule="auto" w:line="360" w:before="0" w:after="120"/>
        <w:jc w:val="both"/>
        <w:rPr/>
      </w:pPr>
      <w:r>
        <w:rPr/>
        <w:t>Sa strukturom vlasništva povezano je i pitanje tko u poduzeće unosi digitalnu vještinu. U malim obiteljskim poduzećima to je često mlađi član obitelji koji u posao ulazi postupno, pa se sposobnost gradi zajedno s preuzimanjem odgovornosti (Vuković, 2023). Takav je put spor, ali ostavlja vještinu unutar poduzeća i veže je uz osobu koja će posao voditi dalje. Model zrelosti vidi samo trenutno stanje i ne razlikuje poduzeće u kojem se sposobnost gradi od poduzeća u kojem se ne događa ništa, premda su to dva posve različita položaja.</w:t>
      </w:r>
    </w:p>
    <w:p>
      <w:pPr>
        <w:pStyle w:val="Heading1"/>
        <w:bidi w:val="0"/>
        <w:ind w:hanging="0" w:left="0"/>
        <w:rPr/>
      </w:pPr>
      <w:r>
        <w:rPr/>
        <w:t>5. Granice primjene mjerila</w:t>
      </w:r>
    </w:p>
    <w:p>
      <w:pPr>
        <w:pStyle w:val="Heading2"/>
        <w:bidi w:val="0"/>
        <w:ind w:hanging="0" w:left="0"/>
        <w:rPr/>
      </w:pPr>
      <w:r>
        <w:rPr/>
        <w:t>5.1. Prenosivost mjerila između veličina i sredina</w:t>
      </w:r>
    </w:p>
    <w:p>
      <w:pPr>
        <w:pStyle w:val="BodyText"/>
        <w:bidi w:val="0"/>
        <w:spacing w:lineRule="auto" w:line="360" w:before="0" w:after="120"/>
        <w:jc w:val="both"/>
        <w:rPr/>
      </w:pPr>
      <w:r>
        <w:rPr/>
        <w:t>Prenosivost mjerila pitanje je koje se rijetko postavlja izrijekom, a odgovor se gotovo uvijek pretpostavlja potvrdnim. Model građen na velikim organizacijama primjenjuje se na malo poduzeće uz obrazloženje da su dimenzije opće, dakle da svako poduzeće ima podatke, procese i kupce bez obzira na veličinu. Tvrdnja je točna na razini pojma, a netočna na razini mjerenja: postojanje procesa i postojanje zapisa o procesu dvije su različite stvari, a mjeri se drugo (Warner i Wäger, 2019). Prijenos mjerila time nije prijenos pojma nego prijenos načina dokazivanja.</w:t>
      </w:r>
    </w:p>
    <w:p>
      <w:pPr>
        <w:pStyle w:val="BodyText"/>
        <w:bidi w:val="0"/>
        <w:spacing w:lineRule="auto" w:line="360" w:before="0" w:after="120"/>
        <w:jc w:val="both"/>
        <w:rPr/>
      </w:pPr>
      <w:r>
        <w:rPr/>
        <w:t>Put od mjerila do ocjene, uz uvjete okruženja koji na njemu djeluju, prikazan je na Slici 2. Prikaz pokazuje da uvjeti ne djeluju na sam predmet mjerenja nego na prijevod između predmeta i pokazatelja: poduzeće radi ono što radi, ali ono što o tome može dokazati ovisi o tome ima li zapise, ustroj i ulogu koja ih vodi. Ocjena koja na kraju izlazi stoga nije slika stanja nego slika dokazivosti stanja. To razlikovanje nije sitničavo, jer izravno mijenja što se s ocjenom smije napraviti.</w:t>
      </w:r>
    </w:p>
    <w:p>
      <w:pPr>
        <w:pStyle w:val="BodyText"/>
        <w:bidi w:val="0"/>
        <w:spacing w:lineRule="auto" w:line="360" w:before="0" w:after="120"/>
        <w:jc w:val="both"/>
        <w:rPr/>
      </w:pPr>
      <w:r>
        <w:rPr/>
        <w:t>Posljedica se najbolje vidi na dimenziji koja se u modelima gotovo redovito pojavljuje, a to je upravljanje digitalnom sigurnošću. Veliko poduzeće dokazuje je politikom, imenovanim odgovornikom i zapisom o preispitivanju. Malo poduzeće istu stvar rješava time što vlasnik drži pristupne podatke i sam odlučuje tko što smije, i to rješenje može biti razmjerno rizičnosti posla posve primjereno. Mjerilo prvo bilježi kao visoku razinu, a drugo kao izostanak upravljanja, iako je u oba slučaja pitanje riješeno, samo različitim sredstvom. Ocjena time mjeri odsutnost strukture, a ne odsutnost sposobnosti.</w:t>
      </w:r>
    </w:p>
    <w:p>
      <w:pPr>
        <w:pStyle w:val="BodyText"/>
        <w:bidi w:val="0"/>
        <w:spacing w:lineRule="auto" w:line="360" w:before="0" w:after="120"/>
        <w:jc w:val="both"/>
        <w:rPr/>
      </w:pPr>
      <w:r>
        <w:rPr/>
        <w:t>Prenosivost ne otkazuje samo u jednom smjeru. Mjerilo skrojeno za mala poduzeća, koje pita o ishodima i izbjegava pitanja o ustroju, primijenjeno na srednje poduzeće daje previsoku ocjenu, jer previđa da ondje izostanak zapisa doista stvara rizik. Obrnuta se pogreška rjeđe spominje jer je manje bolna za onoga tko se mjeri, ali pokazuje istu stvar: nijedno mjerilo nije neutralno prema veličini. Iz toga slijedi da se pitanje o prenosivosti mora postaviti pri svakoj primjeni, a ne samo onda kada je ocjena neugodna (Perić i Šarčević, 2023).</w:t>
      </w:r>
    </w:p>
    <w:p>
      <w:pPr>
        <w:pStyle w:val="BodyText"/>
        <w:bidi w:val="0"/>
        <w:spacing w:lineRule="auto" w:line="360" w:before="0" w:after="120"/>
        <w:jc w:val="both"/>
        <w:rPr/>
      </w:pPr>
      <w:r>
        <w:rPr/>
        <w:t>Iz toga ne slijedi da mjerila treba napustiti nego da uz ocjenu mora ići i popis pretpostavki pod kojima je dobivena. Takav popis pretvara ocjenu iz suda u opis: umjesto tvrdnje da je poduzeće na drugom stupnju, dobiva se tvrdnja da je poduzeće na drugom stupnju prema mjerilu koje traži pisane zapise i imenovane odgovornike. Druga tvrdnja korisnija je od prve jer čitatelju ostavlja mogućnost da procijeni vrijedi li mjerilo za njegov slučaj. Podjela pretpostavki koja je dana prema Tablici 1 upravo za to i služi, a njezina je svrha da popis bude kratak i pamtljiv.</w:t>
      </w:r>
    </w:p>
    <w:p>
      <w:pPr>
        <w:pStyle w:val="BodyText"/>
        <w:bidi w:val="0"/>
        <w:spacing w:lineRule="auto" w:line="360" w:before="0" w:after="120"/>
        <w:jc w:val="both"/>
        <w:rPr/>
      </w:pPr>
      <w:r>
        <w:rPr/>
        <w:t>Posljedica je najveća ondje gdje se ocjene uspoređuju među poduzećima. Poredak poduzeća, kakav se objavljuje uz izvještaje o stanju digitalizacije, uzima ocjene dobivene istim mjerilom i tretira ih kao usporedive, iako mjerilo prema većim poduzećima nije jednako strogo kao prema manjima. Poredak koji iz toga nastane opisuje veličinu jednako koliko i zrelost. Čitatelj koji to ne zna zaključit će da su mala poduzeća zaostala, premda je izmjerena razlika u dokazivosti, a ne razlika u stanju.</w:t>
      </w:r>
    </w:p>
    <w:p>
      <w:pPr>
        <w:pStyle w:val="Heading2"/>
        <w:bidi w:val="0"/>
        <w:ind w:hanging="0" w:left="0"/>
        <w:rPr/>
      </w:pPr>
      <w:r>
        <w:rPr/>
        <w:t>5.2. Kad mjera zamijeni cilj</w:t>
      </w:r>
    </w:p>
    <w:p>
      <w:pPr>
        <w:pStyle w:val="BodyText"/>
        <w:bidi w:val="0"/>
        <w:spacing w:lineRule="auto" w:line="360" w:before="0" w:after="120"/>
        <w:jc w:val="both"/>
        <w:rPr/>
      </w:pPr>
      <w:r>
        <w:rPr/>
        <w:t>Druga granica primjene nastaje kada mjerilo prestane opisivati stanje i počne ga oblikovati. Poduzeće koje se mjeri ljestvicom ubrzo počinje birati zahvate prema tome koliko podižu ocjenu, a ne prema tome koliko donose, i to je poznat obrazac koji se javlja svugdje gdje se mjerenje veže uz ocjenu (Marić i Blažević, 2021). Zamjena je utoliko podmuklija što se izvana vidi kao napredak: ocjena raste, izvještaj je bolji, a rast prihoda izostaje jer su zahvati birani po drugom ključu.</w:t>
      </w:r>
    </w:p>
    <w:p>
      <w:pPr>
        <w:pStyle w:val="BodyText"/>
        <w:bidi w:val="0"/>
        <w:spacing w:lineRule="auto" w:line="360" w:before="0" w:after="120"/>
        <w:jc w:val="both"/>
        <w:rPr/>
      </w:pPr>
      <w:r>
        <w:rPr/>
        <w:t>U malom poduzeću ta se zamjena očituje na prepoznatljiv način. Umjesto da se digitalizira postupak koji poduzeću oduzima najviše vremena, uvodi se alat koji u ljestvici nosi najviše bodova, najčešće zato što je opisan kao obilježje višeg stupnja. Rezultat je da poduzeće plaća sustav koji koristi rijetko, a i dalje rukom prepisuje narudžbe. Za obranu od toga nije potreban složen postupak nego jedno pitanje koje se postavlja prije svakog zahvata: koji bi se problem riješio kada bi ovaj zahvat uspio, i bi li taj problem bio vrijedan rješavanja da ljestvice nema (Teece, 2007).</w:t>
      </w:r>
    </w:p>
    <w:p>
      <w:pPr>
        <w:pStyle w:val="BodyText"/>
        <w:bidi w:val="0"/>
        <w:spacing w:lineRule="auto" w:line="360" w:before="0" w:after="120"/>
        <w:jc w:val="both"/>
        <w:rPr/>
      </w:pPr>
      <w:r>
        <w:rPr/>
        <w:t>Zamjena mjere za cilj ne događa se samo unutar poduzeća. Kada se ocjena zrelosti ugradi u uvjete potpore, poduzeća počinju birati zahvate koji ocjenu podižu najbrže, a davatelj potpore mjeri uspjeh programa upravo porastom te iste ocjene. Krug se time zatvara: mjerilo mjeri ponašanje koje je samo izazvalo, pa se rast ocjene ne može uzeti kao dokaz da je program djelovao. Izlaz iz kruga ne traži napuštanje mjerila nego mjerenje barem jednog ishoda koji poduzeće nije moglo izravno birati.</w:t>
      </w:r>
    </w:p>
    <w:p>
      <w:pPr>
        <w:pStyle w:val="BodyText"/>
        <w:bidi w:val="0"/>
        <w:spacing w:lineRule="auto" w:line="360" w:before="0" w:after="120"/>
        <w:jc w:val="both"/>
        <w:rPr/>
      </w:pPr>
      <w:r>
        <w:rPr/>
        <w:t>Obrana se može ugraditi i u sam način izvještavanja. Ako se uz stupanj zrelosti uvijek navodi i ono što je mjerilom propušteno, dakle što ono ne mjeri, čitatelj izvještaja zadržava razlog da ocjenu ne shvati kao cilj. Popis propuštenog nije priznanje slabosti mjerila nego uvjet njegove poštene uporabe, na isti način na koji se uz rezultat mjerenja u tehnici navodi mjerna nesigurnost. Mjerilo koje takav popis nema ne postaje time točnije, nego samo prešućuje ono što bi korisnik trebao znati prije nego što prema njemu odluči.</w:t>
      </w:r>
    </w:p>
    <w:p>
      <w:pPr>
        <w:pStyle w:val="BodyText"/>
        <w:bidi w:val="0"/>
        <w:spacing w:lineRule="auto" w:line="360" w:before="0" w:after="120"/>
        <w:jc w:val="both"/>
        <w:rPr/>
      </w:pPr>
      <w:r>
        <w:rPr/>
        <w:t>Vrijedi napomenuti i da se opasnost od zamjene ne uklanja time što je mjerilo dobro sastavljeno. Što je mjerilo uvjerljivije, to se prije počne shvaćati kao cilj, jer mu korisnik vjeruje. Obrana stoga nije u boljem mjerilu nego u načinu njegove uporabe, dakle u tome da uz svaki stupanj stoji i pitanje čemu je taj stupanj trebao služiti.</w:t>
      </w:r>
    </w:p>
    <w:p>
      <w:pPr>
        <w:pStyle w:val="Heading1"/>
        <w:bidi w:val="0"/>
        <w:ind w:hanging="0" w:left="0"/>
        <w:rPr/>
      </w:pPr>
      <w:r>
        <w:rPr/>
        <w:t>6. Rasprava</w:t>
      </w:r>
    </w:p>
    <w:p>
      <w:pPr>
        <w:pStyle w:val="BodyText"/>
        <w:bidi w:val="0"/>
        <w:spacing w:lineRule="auto" w:line="360" w:before="0" w:after="120"/>
        <w:jc w:val="both"/>
        <w:rPr/>
      </w:pPr>
      <w:r>
        <w:rPr/>
        <w:t>Raščlamba provedena u prethodnim poglavljima vodi zaključku koji je uži od uobičajene kritike mjerenja, i to je namjerno. Nije tvrdnja da su modeli zrelosti neupotrebljivi, jer oni obavljaju posao koji je malom poduzeću stvarno potreban: svode veliki broj mogućih zahvata na razuman redoslijed i time štede vrijeme vaganja. Tvrdnja je da se ono što model daje mora čitati kao usporedba s obrascem, a ne kao dijagnoza stanja. Razlika između ta dva čitanja mala je u riječima, a velika u posljedicama, jer prvo čitanje ostavlja prostor za pitanje vrijedi li obrazac ovdje, a drugo ga zatvara.</w:t>
      </w:r>
    </w:p>
    <w:p>
      <w:pPr>
        <w:pStyle w:val="BodyText"/>
        <w:bidi w:val="0"/>
        <w:spacing w:lineRule="auto" w:line="360" w:before="0" w:after="120"/>
        <w:jc w:val="both"/>
        <w:rPr/>
      </w:pPr>
      <w:r>
        <w:rPr/>
        <w:t>Pretpostavke koje su u Tablici 1 razvrstane u četiri skupine imaju zajedničko obilježje koje ih čini opasnima: nijedna nije skrivena namjerno. Autor modela ih ne prešućuje nego ih ne primjećuje, jer su u sredini u kojoj model nastaje toliko uobičajene da se čine dijelom predmeta, a ne dijelom mjerila. Upravo zato ih ne otkriva pažljivije čitanje modela nego njegova primjena na slučaj u kojem ne vrijede. Malo poduzeće u rijetkoj mreži takav je slučaj, i u tome je njegova vrijednost za ovu raspravu veća od njegova udjela u gospodarstvu.</w:t>
      </w:r>
    </w:p>
    <w:p>
      <w:pPr>
        <w:pStyle w:val="BodyText"/>
        <w:bidi w:val="0"/>
        <w:spacing w:lineRule="auto" w:line="360" w:before="0" w:after="120"/>
        <w:jc w:val="both"/>
        <w:rPr/>
      </w:pPr>
      <w:r>
        <w:rPr/>
        <w:t>Uvjeti okruženja opisani u četvrtom poglavlju u raspravi se najčešće pojavljuju kao objašnjenje zaostatka, i toj upotrebi treba se oduprijeti. Nepouzdana veza, udaljenost od pružatelja usluga i tanko tržište rada mijenjaju trošak i rok povrata pojedinog koraka, ali ne mijenjaju to je li korak poželjan. Poduzeće koje zbog tih uvjeta bira drukčiji redoslijed ponaša se razumno, a poduzeće koje se na iste uvjete poziva da ne bi radilo ništa koristi ih kao izgovor. Mjerilo ta dva slučaja ne razlikuje, jer oba vidi kao isti niski stupanj, pa razlikovanje ostaje na onome tko ocjenu čita.</w:t>
      </w:r>
    </w:p>
    <w:p>
      <w:pPr>
        <w:pStyle w:val="BodyText"/>
        <w:bidi w:val="0"/>
        <w:spacing w:lineRule="auto" w:line="360" w:before="0" w:after="120"/>
        <w:jc w:val="both"/>
        <w:rPr/>
      </w:pPr>
      <w:r>
        <w:rPr/>
        <w:t>Nalaz nije osobit za digitalnu zrelost i time dobiva na težini. Isti se obrazac pojavljuje svugdje gdje se stanje mjeri prema ljestvici građenoj na jednoj vrsti organizacija: mjeri se dokazivost, ocjenjuje se ustroj, a razlike u veličini ulaze u rezultat kao da su razlike u kvaliteti (Blažević, 2020). Ono što je za ovaj rad posebno jest presjek male veličine i rijetke mreže, jer se ondje dva učinka zbrajaju i nijedan uobičajeni ispravak ne pomaže. Upravo je zbog toga taj presjek dobar ispitni slučaj za svako mjerilo.</w:t>
      </w:r>
    </w:p>
    <w:p>
      <w:pPr>
        <w:pStyle w:val="BodyText"/>
        <w:bidi w:val="0"/>
        <w:spacing w:lineRule="auto" w:line="360" w:before="0" w:after="120"/>
        <w:jc w:val="both"/>
        <w:rPr/>
      </w:pPr>
      <w:r>
        <w:rPr/>
        <w:t>Iz rečenoga slijedi praktična preporuka koja ne traži novi model. Ocjena zrelosti smije ući u odluku o ulaganju samo ako je popraćena trima podacima: kojim je mjerilom dobivena, koje pretpostavke to mjerilo nosi i koji su uvjeti okruženja u trenutku mjerenja vrijedili. Ta tri podatka stanu u nekoliko rečenica i ne traže dodatno mjerenje, a mijenjaju status ocjene iz suda u opis. Za malo poduzeće to je razlika između odluke koja polazi od vlastitog stanja i odluke koja polazi od tuđeg obrasca, a upravo je to razlikovanje bilo predmet teze ovog rada.</w:t>
      </w:r>
    </w:p>
    <w:p>
      <w:pPr>
        <w:pStyle w:val="BodyText"/>
        <w:bidi w:val="0"/>
        <w:spacing w:lineRule="auto" w:line="360" w:before="0" w:after="120"/>
        <w:jc w:val="both"/>
        <w:rPr/>
      </w:pPr>
      <w:r>
        <w:rPr/>
        <w:t>Druga strana istog zaključka tiče se onih koji modele grade. Popis pretpostavki nije teško sastaviti, jer ga autor modela poznaje bolje od svakog korisnika; nedostaje samo navika da se objavi zajedno s modelom. Objavljen popis ne bi umanjio vrijednost modela nego bi mu proširio uporabu, jer bi korisnik znao kada ga smije primijeniti, a kada ne. Mjerila koja takav popis već nose lakše je i braniti pred onim tko se mjeri, što je za savjetodavni posao praktična, a ne samo načelna prednost.</w:t>
      </w:r>
    </w:p>
    <w:p>
      <w:pPr>
        <w:pStyle w:val="BodyText"/>
        <w:bidi w:val="0"/>
        <w:spacing w:lineRule="auto" w:line="360" w:before="0" w:after="120"/>
        <w:jc w:val="both"/>
        <w:rPr/>
      </w:pPr>
      <w:r>
        <w:rPr/>
        <w:t>Rad ima i granice koje treba izgovoriti. Raščlamba je pojmovna i oslanja se na objavljene radove, pa ne donosi mjerenje koliko je čest opisani nesrazmjer između mjerila i predmeta u hrvatskim malim poduzećima. Podjela pretpostavki u četiri skupine izvedena je iz literature i iz opisa modela, a nije provjerena na uzorku poduzeća. Tvrdnja da uvjeti okruženja djeluju na dokazivost, a ne na sam predmet mjerenja, izvedena je iz odnosa pojmova i traži empirijsku provjeru koja bi usporedila ocjene istih poduzeća dobivene dvama različitim mjerilima. Takvo bi istraživanje bilo prirodan nastavak ovog rada.</w:t>
      </w:r>
    </w:p>
    <w:p>
      <w:pPr>
        <w:pStyle w:val="Heading1"/>
        <w:bidi w:val="0"/>
        <w:ind w:hanging="0" w:left="0"/>
        <w:rPr/>
      </w:pPr>
      <w:r>
        <w:rPr/>
        <w:t>7. Zaključak</w:t>
      </w:r>
    </w:p>
    <w:p>
      <w:pPr>
        <w:pStyle w:val="BodyText"/>
        <w:bidi w:val="0"/>
        <w:spacing w:lineRule="auto" w:line="360" w:before="0" w:after="120"/>
        <w:jc w:val="both"/>
        <w:rPr/>
      </w:pPr>
      <w:r>
        <w:rPr/>
        <w:t>Rad je pošao od pitanja što mjerilo digitalne zrelosti tvrdi o malom poduzeću u ruralnom okruženju, a što samo pretpostavlja. Razdvajanjem digitalizacije, digitalne preobrazbe i digitalne zrelosti pokazano je da zrelost nije zahvat nego odnos između poduzeća i ljestvice, pa svaka tvrdnja o zrelosti nosi i tvrdnju o mjerilu kojim je dobivena. Raščlambom postupka izrade modela pokazano je da su odabir dimenzija, opis stupnjeva, način ocjene i postupak provjere autorske odluke, te da urednost postupka ne čini rezultat neovisnim o tim odlukama.</w:t>
      </w:r>
    </w:p>
    <w:p>
      <w:pPr>
        <w:pStyle w:val="BodyText"/>
        <w:bidi w:val="0"/>
        <w:spacing w:lineRule="auto" w:line="360" w:before="0" w:after="120"/>
        <w:jc w:val="both"/>
        <w:rPr/>
      </w:pPr>
      <w:r>
        <w:rPr/>
        <w:t>Središnji nalaz rada jest da mjerila zrelosti u malom poduzeću često mjere odsutnost strukture, a ne odsutnost sposobnosti, jer su najbogatija pokazateljima postupka, dakle onima koji traže zapise i imenovane uloge. Uvjeti ruralnog okruženja tomu dodaju drugi sloj: oni pomiču trošak i rok povrata pojedinog koraka i time mijenjaju najjeftiniji redoslijed, ali ne mijenjaju poželjnost samog koraka. Spojem tih dvaju učinaka ocjena malog poduzeća u rijetkoj mreži sustavno pada, i to na način koji se ne ispravlja ni dodavanjem bodova ni promjenom težina.</w:t>
      </w:r>
    </w:p>
    <w:p>
      <w:pPr>
        <w:pStyle w:val="BodyText"/>
        <w:bidi w:val="0"/>
        <w:spacing w:lineRule="auto" w:line="360" w:before="0" w:after="120"/>
        <w:jc w:val="both"/>
        <w:rPr/>
      </w:pPr>
      <w:r>
        <w:rPr/>
        <w:t>Za praksu iz toga slijedi i jedan skroman zahtjev prema onima koji ocjene naručuju. Prije nego se ocjena zrelosti upotrijebi kao razlog za odluku, vrijedi pitati koja bi se stvarna promjena u poslovanju vidjela da je ocjena za jedan stupanj viša. Ako se na to pitanje može odgovoriti, ocjena opisuje nešto; ako se ne može, ocjena opisuje mjerilo. To je pitanje dostupno svakom vlasniku, ne traži stručnost i ne traži vrijeme, a odvaja mjerilo koje pomaže odluci od mjerila koje odluku zamjenjuje.</w:t>
      </w:r>
    </w:p>
    <w:p>
      <w:pPr>
        <w:pStyle w:val="BodyText"/>
        <w:bidi w:val="0"/>
        <w:spacing w:lineRule="auto" w:line="360" w:before="0" w:after="120"/>
        <w:jc w:val="both"/>
        <w:rPr/>
      </w:pPr>
      <w:r>
        <w:rPr/>
        <w:t>Time je potvrđena teza s početka rada: digitalna zrelost stupnjevita je kategorija čije mjerilo nosi pretpostavke o veličini poduzeća i o okruženju, pa se ocjena ne smije čitati kao ocjena dok te pretpostavke nisu izgovorene. Praktična posljedica staje u jedno pravilo: uz stupanj zrelosti navodi se mjerilo, njegove pretpostavke i uvjeti u kojima je mjereno. Rad je pritom pojmovni i njegove tvrdnje traže empirijsku provjeru, ponajprije usporedbu ocjena istih poduzeća dobivenih dvama različitim mjerilima, čime bi se izmjerilo koliko je opisani nesrazmjer čest.</w:t>
      </w:r>
    </w:p>
    <w:p>
      <w:pPr>
        <w:pStyle w:val="Natpis"/>
        <w:bidi w:val="0"/>
        <w:spacing w:before="113" w:after="227"/>
        <w:jc w:val="center"/>
        <w:rPr/>
      </w:pPr>
      <w:r>
        <w:rPr/>
        <w:t>Tablica 1. Pretpostavke ugrađene u mjerila digitalne zrelosti prema onome na čemu počivaju i prema učinku njihova izostanka</w:t>
      </w:r>
    </w:p>
    <w:tbl>
      <w:tblPr>
        <w:tblW w:w="5000" w:type="pct"/>
        <w:jc w:val="left"/>
        <w:tblInd w:w="0" w:type="dxa"/>
        <w:tblLayout w:type="fixed"/>
        <w:tblCellMar>
          <w:top w:w="0" w:type="dxa"/>
          <w:left w:w="0" w:type="dxa"/>
          <w:bottom w:w="0" w:type="dxa"/>
          <w:right w:w="0" w:type="dxa"/>
        </w:tblCellMar>
      </w:tblPr>
      <w:tblGrid>
        <w:gridCol w:w="2267"/>
        <w:gridCol w:w="2268"/>
        <w:gridCol w:w="2267"/>
        <w:gridCol w:w="2269"/>
      </w:tblGrid>
      <w:tr>
        <w:trPr/>
        <w:tc>
          <w:tcPr>
            <w:tcW w:w="2267" w:type="dxa"/>
            <w:tcBorders/>
          </w:tcPr>
          <w:p>
            <w:pPr>
              <w:pStyle w:val="Normal"/>
              <w:bidi w:val="0"/>
              <w:rPr/>
            </w:pPr>
            <w:r>
              <w:rPr/>
              <w:t>Skupina pretpostavke</w:t>
            </w:r>
          </w:p>
        </w:tc>
        <w:tc>
          <w:tcPr>
            <w:tcW w:w="2268" w:type="dxa"/>
            <w:tcBorders/>
          </w:tcPr>
          <w:p>
            <w:pPr>
              <w:pStyle w:val="Normal"/>
              <w:bidi w:val="0"/>
              <w:rPr/>
            </w:pPr>
            <w:r>
              <w:rPr/>
              <w:t>Na čemu počiva</w:t>
            </w:r>
          </w:p>
        </w:tc>
        <w:tc>
          <w:tcPr>
            <w:tcW w:w="2267" w:type="dxa"/>
            <w:tcBorders/>
          </w:tcPr>
          <w:p>
            <w:pPr>
              <w:pStyle w:val="Normal"/>
              <w:bidi w:val="0"/>
              <w:rPr/>
            </w:pPr>
            <w:r>
              <w:rPr/>
              <w:t>Kako se provjerava u modelu</w:t>
            </w:r>
          </w:p>
        </w:tc>
        <w:tc>
          <w:tcPr>
            <w:tcW w:w="2269" w:type="dxa"/>
            <w:tcBorders/>
          </w:tcPr>
          <w:p>
            <w:pPr>
              <w:pStyle w:val="Normal"/>
              <w:bidi w:val="0"/>
              <w:rPr/>
            </w:pPr>
            <w:r>
              <w:rPr/>
              <w:t>Što se događa kad je u malom poduzeću nema</w:t>
            </w:r>
          </w:p>
        </w:tc>
      </w:tr>
      <w:tr>
        <w:trPr/>
        <w:tc>
          <w:tcPr>
            <w:tcW w:w="2267" w:type="dxa"/>
            <w:tcBorders/>
          </w:tcPr>
          <w:p>
            <w:pPr>
              <w:pStyle w:val="Normal"/>
              <w:bidi w:val="0"/>
              <w:rPr/>
            </w:pPr>
            <w:r>
              <w:rPr/>
              <w:t>Organizacijska jedinica</w:t>
            </w:r>
          </w:p>
        </w:tc>
        <w:tc>
          <w:tcPr>
            <w:tcW w:w="2268" w:type="dxa"/>
            <w:tcBorders/>
          </w:tcPr>
          <w:p>
            <w:pPr>
              <w:pStyle w:val="Normal"/>
              <w:bidi w:val="0"/>
              <w:rPr/>
            </w:pPr>
            <w:r>
              <w:rPr/>
              <w:t>podjela posla na odjele ili imenovane uloge</w:t>
            </w:r>
          </w:p>
        </w:tc>
        <w:tc>
          <w:tcPr>
            <w:tcW w:w="2267" w:type="dxa"/>
            <w:tcBorders/>
          </w:tcPr>
          <w:p>
            <w:pPr>
              <w:pStyle w:val="Normal"/>
              <w:bidi w:val="0"/>
              <w:rPr/>
            </w:pPr>
            <w:r>
              <w:rPr/>
              <w:t>pitanjem tko je odgovoran za područje</w:t>
            </w:r>
          </w:p>
        </w:tc>
        <w:tc>
          <w:tcPr>
            <w:tcW w:w="2269" w:type="dxa"/>
            <w:tcBorders/>
          </w:tcPr>
          <w:p>
            <w:pPr>
              <w:pStyle w:val="Normal"/>
              <w:bidi w:val="0"/>
              <w:rPr/>
            </w:pPr>
            <w:r>
              <w:rPr/>
              <w:t>odgovor je niječan, a bilježi se kao niska razina</w:t>
            </w:r>
          </w:p>
        </w:tc>
      </w:tr>
      <w:tr>
        <w:trPr/>
        <w:tc>
          <w:tcPr>
            <w:tcW w:w="2267" w:type="dxa"/>
            <w:tcBorders/>
          </w:tcPr>
          <w:p>
            <w:pPr>
              <w:pStyle w:val="Normal"/>
              <w:bidi w:val="0"/>
              <w:rPr/>
            </w:pPr>
            <w:r>
              <w:rPr/>
              <w:t>Zapis o postupku</w:t>
            </w:r>
          </w:p>
        </w:tc>
        <w:tc>
          <w:tcPr>
            <w:tcW w:w="2268" w:type="dxa"/>
            <w:tcBorders/>
          </w:tcPr>
          <w:p>
            <w:pPr>
              <w:pStyle w:val="Normal"/>
              <w:bidi w:val="0"/>
              <w:rPr/>
            </w:pPr>
            <w:r>
              <w:rPr/>
              <w:t>postojanje pisane procedure i evidencije</w:t>
            </w:r>
          </w:p>
        </w:tc>
        <w:tc>
          <w:tcPr>
            <w:tcW w:w="2267" w:type="dxa"/>
            <w:tcBorders/>
          </w:tcPr>
          <w:p>
            <w:pPr>
              <w:pStyle w:val="Normal"/>
              <w:bidi w:val="0"/>
              <w:rPr/>
            </w:pPr>
            <w:r>
              <w:rPr/>
              <w:t>traženjem dokumenta ili zapisa o preispitivanju</w:t>
            </w:r>
          </w:p>
        </w:tc>
        <w:tc>
          <w:tcPr>
            <w:tcW w:w="2269" w:type="dxa"/>
            <w:tcBorders/>
          </w:tcPr>
          <w:p>
            <w:pPr>
              <w:pStyle w:val="Normal"/>
              <w:bidi w:val="0"/>
              <w:rPr/>
            </w:pPr>
            <w:r>
              <w:rPr/>
              <w:t>postupak postoji, ali se ne može dokazati</w:t>
            </w:r>
          </w:p>
        </w:tc>
      </w:tr>
      <w:tr>
        <w:trPr/>
        <w:tc>
          <w:tcPr>
            <w:tcW w:w="2267" w:type="dxa"/>
            <w:tcBorders/>
          </w:tcPr>
          <w:p>
            <w:pPr>
              <w:pStyle w:val="Normal"/>
              <w:bidi w:val="0"/>
              <w:rPr/>
            </w:pPr>
            <w:r>
              <w:rPr/>
              <w:t>Proračun za zahvat</w:t>
            </w:r>
          </w:p>
        </w:tc>
        <w:tc>
          <w:tcPr>
            <w:tcW w:w="2268" w:type="dxa"/>
            <w:tcBorders/>
          </w:tcPr>
          <w:p>
            <w:pPr>
              <w:pStyle w:val="Normal"/>
              <w:bidi w:val="0"/>
              <w:rPr/>
            </w:pPr>
            <w:r>
              <w:rPr/>
              <w:t>odvojena sredstva za razvoj izvan redovnog poslovanja</w:t>
            </w:r>
          </w:p>
        </w:tc>
        <w:tc>
          <w:tcPr>
            <w:tcW w:w="2267" w:type="dxa"/>
            <w:tcBorders/>
          </w:tcPr>
          <w:p>
            <w:pPr>
              <w:pStyle w:val="Normal"/>
              <w:bidi w:val="0"/>
              <w:rPr/>
            </w:pPr>
            <w:r>
              <w:rPr/>
              <w:t>pitanjem o planiranim ulaganjima</w:t>
            </w:r>
          </w:p>
        </w:tc>
        <w:tc>
          <w:tcPr>
            <w:tcW w:w="2269" w:type="dxa"/>
            <w:tcBorders/>
          </w:tcPr>
          <w:p>
            <w:pPr>
              <w:pStyle w:val="Normal"/>
              <w:bidi w:val="0"/>
              <w:rPr/>
            </w:pPr>
            <w:r>
              <w:rPr/>
              <w:t>ulaganje se donosi pojedinačno i ne prepoznaje se kao plan</w:t>
            </w:r>
          </w:p>
        </w:tc>
      </w:tr>
      <w:tr>
        <w:trPr/>
        <w:tc>
          <w:tcPr>
            <w:tcW w:w="2267" w:type="dxa"/>
            <w:tcBorders/>
          </w:tcPr>
          <w:p>
            <w:pPr>
              <w:pStyle w:val="Normal"/>
              <w:bidi w:val="0"/>
              <w:rPr/>
            </w:pPr>
            <w:r>
              <w:rPr/>
              <w:t>Nositelj zahvata</w:t>
            </w:r>
          </w:p>
        </w:tc>
        <w:tc>
          <w:tcPr>
            <w:tcW w:w="2268" w:type="dxa"/>
            <w:tcBorders/>
          </w:tcPr>
          <w:p>
            <w:pPr>
              <w:pStyle w:val="Normal"/>
              <w:bidi w:val="0"/>
              <w:rPr/>
            </w:pPr>
            <w:r>
              <w:rPr/>
              <w:t>osoba kojoj je uvođenje dio radnog zadatka</w:t>
            </w:r>
          </w:p>
        </w:tc>
        <w:tc>
          <w:tcPr>
            <w:tcW w:w="2267" w:type="dxa"/>
            <w:tcBorders/>
          </w:tcPr>
          <w:p>
            <w:pPr>
              <w:pStyle w:val="Normal"/>
              <w:bidi w:val="0"/>
              <w:rPr/>
            </w:pPr>
            <w:r>
              <w:rPr/>
              <w:t>pitanjem tko vodi uvođenje</w:t>
            </w:r>
          </w:p>
        </w:tc>
        <w:tc>
          <w:tcPr>
            <w:tcW w:w="2269" w:type="dxa"/>
            <w:tcBorders/>
          </w:tcPr>
          <w:p>
            <w:pPr>
              <w:pStyle w:val="Normal"/>
              <w:bidi w:val="0"/>
              <w:rPr/>
            </w:pPr>
            <w:r>
              <w:rPr/>
              <w:t>zahvat vodi vlasnik uz redovni posao, što model ne bilježi</w:t>
            </w:r>
          </w:p>
        </w:tc>
      </w:tr>
    </w:tbl>
    <w:p>
      <w:pPr>
        <w:pStyle w:val="Natpis"/>
        <w:bidi w:val="0"/>
        <w:spacing w:before="113" w:after="227"/>
        <w:jc w:val="center"/>
        <w:rPr/>
      </w:pPr>
      <w:r>
        <w:rPr/>
        <w:t>Izvor: Izrada autora prema raščlambi pretpostavki u poglavlju 3.2.</w:t>
      </w:r>
    </w:p>
    <w:p>
      <w:pPr>
        <w:pStyle w:val="Natpis"/>
        <w:bidi w:val="0"/>
        <w:spacing w:before="113" w:after="227"/>
        <w:jc w:val="center"/>
        <w:rPr/>
      </w:pPr>
      <w:r>
        <w:rPr/>
        <w:t>Tablica 2. Usporedba triju skupina pokazatelja zrelosti prema osjetljivosti na veličinu poduzeća</w:t>
      </w:r>
    </w:p>
    <w:tbl>
      <w:tblPr>
        <w:tblW w:w="5000" w:type="pct"/>
        <w:jc w:val="left"/>
        <w:tblInd w:w="0" w:type="dxa"/>
        <w:tblLayout w:type="fixed"/>
        <w:tblCellMar>
          <w:top w:w="0" w:type="dxa"/>
          <w:left w:w="0" w:type="dxa"/>
          <w:bottom w:w="0" w:type="dxa"/>
          <w:right w:w="0" w:type="dxa"/>
        </w:tblCellMar>
      </w:tblPr>
      <w:tblGrid>
        <w:gridCol w:w="2267"/>
        <w:gridCol w:w="2268"/>
        <w:gridCol w:w="2267"/>
        <w:gridCol w:w="2269"/>
      </w:tblGrid>
      <w:tr>
        <w:trPr/>
        <w:tc>
          <w:tcPr>
            <w:tcW w:w="2267" w:type="dxa"/>
            <w:tcBorders/>
          </w:tcPr>
          <w:p>
            <w:pPr>
              <w:pStyle w:val="Normal"/>
              <w:bidi w:val="0"/>
              <w:rPr/>
            </w:pPr>
            <w:r>
              <w:rPr/>
              <w:t>Skupina pokazatelja</w:t>
            </w:r>
          </w:p>
        </w:tc>
        <w:tc>
          <w:tcPr>
            <w:tcW w:w="2268" w:type="dxa"/>
            <w:tcBorders/>
          </w:tcPr>
          <w:p>
            <w:pPr>
              <w:pStyle w:val="Normal"/>
              <w:bidi w:val="0"/>
              <w:rPr/>
            </w:pPr>
            <w:r>
              <w:rPr/>
              <w:t>Primjer</w:t>
            </w:r>
          </w:p>
        </w:tc>
        <w:tc>
          <w:tcPr>
            <w:tcW w:w="2267" w:type="dxa"/>
            <w:tcBorders/>
          </w:tcPr>
          <w:p>
            <w:pPr>
              <w:pStyle w:val="Normal"/>
              <w:bidi w:val="0"/>
              <w:rPr/>
            </w:pPr>
            <w:r>
              <w:rPr/>
              <w:t>Što zapravo mjeri</w:t>
            </w:r>
          </w:p>
        </w:tc>
        <w:tc>
          <w:tcPr>
            <w:tcW w:w="2269" w:type="dxa"/>
            <w:tcBorders/>
          </w:tcPr>
          <w:p>
            <w:pPr>
              <w:pStyle w:val="Normal"/>
              <w:bidi w:val="0"/>
              <w:rPr/>
            </w:pPr>
            <w:r>
              <w:rPr/>
              <w:t>Osjetljivost na veličinu</w:t>
            </w:r>
          </w:p>
        </w:tc>
      </w:tr>
      <w:tr>
        <w:trPr/>
        <w:tc>
          <w:tcPr>
            <w:tcW w:w="2267" w:type="dxa"/>
            <w:tcBorders/>
          </w:tcPr>
          <w:p>
            <w:pPr>
              <w:pStyle w:val="Normal"/>
              <w:bidi w:val="0"/>
              <w:rPr/>
            </w:pPr>
            <w:r>
              <w:rPr/>
              <w:t>Pokazatelji ishoda</w:t>
            </w:r>
          </w:p>
        </w:tc>
        <w:tc>
          <w:tcPr>
            <w:tcW w:w="2268" w:type="dxa"/>
            <w:tcBorders/>
          </w:tcPr>
          <w:p>
            <w:pPr>
              <w:pStyle w:val="Normal"/>
              <w:bidi w:val="0"/>
              <w:rPr/>
            </w:pPr>
            <w:r>
              <w:rPr/>
              <w:t>udio narudžbi zaprimljenih mrežom</w:t>
            </w:r>
          </w:p>
        </w:tc>
        <w:tc>
          <w:tcPr>
            <w:tcW w:w="2267" w:type="dxa"/>
            <w:tcBorders/>
          </w:tcPr>
          <w:p>
            <w:pPr>
              <w:pStyle w:val="Normal"/>
              <w:bidi w:val="0"/>
              <w:rPr/>
            </w:pPr>
            <w:r>
              <w:rPr/>
              <w:t>vidljiv rezultat poslovanja</w:t>
            </w:r>
          </w:p>
        </w:tc>
        <w:tc>
          <w:tcPr>
            <w:tcW w:w="2269" w:type="dxa"/>
            <w:tcBorders/>
          </w:tcPr>
          <w:p>
            <w:pPr>
              <w:pStyle w:val="Normal"/>
              <w:bidi w:val="0"/>
              <w:rPr/>
            </w:pPr>
            <w:r>
              <w:rPr/>
              <w:t>niska</w:t>
            </w:r>
          </w:p>
        </w:tc>
      </w:tr>
      <w:tr>
        <w:trPr/>
        <w:tc>
          <w:tcPr>
            <w:tcW w:w="2267" w:type="dxa"/>
            <w:tcBorders/>
          </w:tcPr>
          <w:p>
            <w:pPr>
              <w:pStyle w:val="Normal"/>
              <w:bidi w:val="0"/>
              <w:rPr/>
            </w:pPr>
            <w:r>
              <w:rPr/>
              <w:t>Pokazatelji sposobnosti</w:t>
            </w:r>
          </w:p>
        </w:tc>
        <w:tc>
          <w:tcPr>
            <w:tcW w:w="2268" w:type="dxa"/>
            <w:tcBorders/>
          </w:tcPr>
          <w:p>
            <w:pPr>
              <w:pStyle w:val="Normal"/>
              <w:bidi w:val="0"/>
              <w:rPr/>
            </w:pPr>
            <w:r>
              <w:rPr/>
              <w:t>digitalne vještine zaposlenika</w:t>
            </w:r>
          </w:p>
        </w:tc>
        <w:tc>
          <w:tcPr>
            <w:tcW w:w="2267" w:type="dxa"/>
            <w:tcBorders/>
          </w:tcPr>
          <w:p>
            <w:pPr>
              <w:pStyle w:val="Normal"/>
              <w:bidi w:val="0"/>
              <w:rPr/>
            </w:pPr>
            <w:r>
              <w:rPr/>
              <w:t>ono što poduzeće može učiniti</w:t>
            </w:r>
          </w:p>
        </w:tc>
        <w:tc>
          <w:tcPr>
            <w:tcW w:w="2269" w:type="dxa"/>
            <w:tcBorders/>
          </w:tcPr>
          <w:p>
            <w:pPr>
              <w:pStyle w:val="Normal"/>
              <w:bidi w:val="0"/>
              <w:rPr/>
            </w:pPr>
            <w:r>
              <w:rPr/>
              <w:t>srednja</w:t>
            </w:r>
          </w:p>
        </w:tc>
      </w:tr>
      <w:tr>
        <w:trPr/>
        <w:tc>
          <w:tcPr>
            <w:tcW w:w="2267" w:type="dxa"/>
            <w:tcBorders/>
          </w:tcPr>
          <w:p>
            <w:pPr>
              <w:pStyle w:val="Normal"/>
              <w:bidi w:val="0"/>
              <w:rPr/>
            </w:pPr>
            <w:r>
              <w:rPr/>
              <w:t>Pokazatelji postupka</w:t>
            </w:r>
          </w:p>
        </w:tc>
        <w:tc>
          <w:tcPr>
            <w:tcW w:w="2268" w:type="dxa"/>
            <w:tcBorders/>
          </w:tcPr>
          <w:p>
            <w:pPr>
              <w:pStyle w:val="Normal"/>
              <w:bidi w:val="0"/>
              <w:rPr/>
            </w:pPr>
            <w:r>
              <w:rPr/>
              <w:t>postojanje pisane procedure</w:t>
            </w:r>
          </w:p>
        </w:tc>
        <w:tc>
          <w:tcPr>
            <w:tcW w:w="2267" w:type="dxa"/>
            <w:tcBorders/>
          </w:tcPr>
          <w:p>
            <w:pPr>
              <w:pStyle w:val="Normal"/>
              <w:bidi w:val="0"/>
              <w:rPr/>
            </w:pPr>
            <w:r>
              <w:rPr/>
              <w:t>unutarnji ustroj i dokazivost</w:t>
            </w:r>
          </w:p>
        </w:tc>
        <w:tc>
          <w:tcPr>
            <w:tcW w:w="2269" w:type="dxa"/>
            <w:tcBorders/>
          </w:tcPr>
          <w:p>
            <w:pPr>
              <w:pStyle w:val="Normal"/>
              <w:bidi w:val="0"/>
              <w:rPr/>
            </w:pPr>
            <w:r>
              <w:rPr/>
              <w:t>visoka</w:t>
            </w:r>
          </w:p>
        </w:tc>
      </w:tr>
      <w:tr>
        <w:trPr/>
        <w:tc>
          <w:tcPr>
            <w:tcW w:w="2267" w:type="dxa"/>
            <w:tcBorders/>
          </w:tcPr>
          <w:p>
            <w:pPr>
              <w:pStyle w:val="Normal"/>
              <w:bidi w:val="0"/>
              <w:rPr/>
            </w:pPr>
            <w:r>
              <w:rPr/>
              <w:t>Udio u tipičnom modelu</w:t>
            </w:r>
          </w:p>
        </w:tc>
        <w:tc>
          <w:tcPr>
            <w:tcW w:w="2268" w:type="dxa"/>
            <w:tcBorders/>
          </w:tcPr>
          <w:p>
            <w:pPr>
              <w:pStyle w:val="Normal"/>
              <w:bidi w:val="0"/>
              <w:rPr/>
            </w:pPr>
            <w:r>
              <w:rPr/>
              <w:t>prevladavaju pokazatelji postupka</w:t>
            </w:r>
          </w:p>
        </w:tc>
        <w:tc>
          <w:tcPr>
            <w:tcW w:w="2267" w:type="dxa"/>
            <w:tcBorders/>
          </w:tcPr>
          <w:p>
            <w:pPr>
              <w:pStyle w:val="Normal"/>
              <w:bidi w:val="0"/>
              <w:rPr/>
            </w:pPr>
            <w:r>
              <w:rPr/>
              <w:t>ustroj umjesto ishoda</w:t>
            </w:r>
          </w:p>
        </w:tc>
        <w:tc>
          <w:tcPr>
            <w:tcW w:w="2269" w:type="dxa"/>
            <w:tcBorders/>
          </w:tcPr>
          <w:p>
            <w:pPr>
              <w:pStyle w:val="Normal"/>
              <w:bidi w:val="0"/>
              <w:rPr/>
            </w:pPr>
            <w:r>
              <w:rPr/>
              <w:t>modelska pristranost prema većima</w:t>
            </w:r>
          </w:p>
        </w:tc>
      </w:tr>
    </w:tbl>
    <w:p>
      <w:pPr>
        <w:pStyle w:val="Natpis"/>
        <w:bidi w:val="0"/>
        <w:spacing w:before="113" w:after="227"/>
        <w:jc w:val="center"/>
        <w:rPr/>
      </w:pPr>
      <w:r>
        <w:rPr/>
        <w:t>Izvor: Izrada autora prema usporedbi pokazatelja u poglavlju 3.2.</w:t>
      </w:r>
    </w:p>
    <w:p>
      <w:pPr>
        <w:pStyle w:val="BodyText"/>
        <w:bidi w:val="0"/>
        <w:spacing w:lineRule="auto" w:line="360" w:before="0" w:after="120"/>
        <w:jc w:val="both"/>
        <w:rPr/>
      </w:pPr>
      <w:r>
        <w:rPr/>
        <w:drawing>
          <wp:inline distT="0" distB="0" distL="0" distR="0">
            <wp:extent cx="1440180" cy="1080135"/>
            <wp:effectExtent l="0" t="0" r="0" b="0"/>
            <wp:docPr id="1" name="Sli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1"/>
                    <pic:cNvPicPr>
                      <a:picLocks noChangeAspect="1" noChangeArrowheads="1"/>
                    </pic:cNvPicPr>
                  </pic:nvPicPr>
                  <pic:blipFill>
                    <a:blip r:embed="rId2"/>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1. Odnos digitalizacije, digitalne preobrazbe i digitalne zrelosti kao dvaju zahvata i jednog okvira mjerenja</w:t>
      </w:r>
    </w:p>
    <w:p>
      <w:pPr>
        <w:pStyle w:val="Natpis"/>
        <w:bidi w:val="0"/>
        <w:spacing w:before="113" w:after="227"/>
        <w:jc w:val="center"/>
        <w:rPr/>
      </w:pPr>
      <w:r>
        <w:rPr/>
        <w:t>Izvor: Izrada autora.</w:t>
      </w:r>
    </w:p>
    <w:p>
      <w:pPr>
        <w:pStyle w:val="BodyText"/>
        <w:bidi w:val="0"/>
        <w:spacing w:lineRule="auto" w:line="360" w:before="0" w:after="120"/>
        <w:jc w:val="both"/>
        <w:rPr/>
      </w:pPr>
      <w:r>
        <w:rPr/>
        <w:drawing>
          <wp:inline distT="0" distB="0" distL="0" distR="0">
            <wp:extent cx="1440180" cy="1080135"/>
            <wp:effectExtent l="0" t="0" r="0" b="0"/>
            <wp:docPr id="2" name="Slik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ka2"/>
                    <pic:cNvPicPr>
                      <a:picLocks noChangeAspect="1" noChangeArrowheads="1"/>
                    </pic:cNvPicPr>
                  </pic:nvPicPr>
                  <pic:blipFill>
                    <a:blip r:embed="rId3"/>
                    <a:stretch>
                      <a:fillRect/>
                    </a:stretch>
                  </pic:blipFill>
                  <pic:spPr bwMode="auto">
                    <a:xfrm>
                      <a:off x="0" y="0"/>
                      <a:ext cx="1440180" cy="1080135"/>
                    </a:xfrm>
                    <a:prstGeom prst="rect">
                      <a:avLst/>
                    </a:prstGeom>
                    <a:noFill/>
                  </pic:spPr>
                </pic:pic>
              </a:graphicData>
            </a:graphic>
          </wp:inline>
        </w:drawing>
      </w:r>
      <w:r>
        <w:rPr/>
        <w:t xml:space="preserve"> </w:t>
      </w:r>
    </w:p>
    <w:p>
      <w:pPr>
        <w:pStyle w:val="Natpis"/>
        <w:bidi w:val="0"/>
        <w:spacing w:before="113" w:after="227"/>
        <w:jc w:val="center"/>
        <w:rPr/>
      </w:pPr>
      <w:r>
        <w:rPr/>
        <w:t>Slika 2. Put od stanja poduzeća do ocjene zrelosti, s uvjetima okruženja koji djeluju na dokazivost stanja</w:t>
      </w:r>
    </w:p>
    <w:p>
      <w:pPr>
        <w:pStyle w:val="Natpis"/>
        <w:bidi w:val="0"/>
        <w:spacing w:before="113" w:after="227"/>
        <w:jc w:val="center"/>
        <w:rPr/>
      </w:pPr>
      <w:r>
        <w:rPr/>
        <w:t>Izvor: Izrada autora prema raščlambi u poglavlju 5.1.</w:t>
      </w:r>
    </w:p>
    <w:p>
      <w:pPr>
        <w:pStyle w:val="Heading1"/>
        <w:bidi w:val="0"/>
        <w:ind w:hanging="0" w:left="0"/>
        <w:rPr/>
      </w:pPr>
      <w:r>
        <w:rPr/>
        <w:t>Popis tablica</w:t>
      </w:r>
    </w:p>
    <w:p>
      <w:pPr>
        <w:pStyle w:val="BodyText"/>
        <w:bidi w:val="0"/>
        <w:spacing w:lineRule="auto" w:line="360" w:before="0" w:after="120"/>
        <w:jc w:val="both"/>
        <w:rPr/>
      </w:pPr>
      <w:r>
        <w:rPr/>
        <w:t>Tablica 1. Pretpostavke ugrađene u mjerila digitalne zrelosti prema onome na čemu počivaju i prema učinku njihova izostanka</w:t>
      </w:r>
    </w:p>
    <w:p>
      <w:pPr>
        <w:pStyle w:val="BodyText"/>
        <w:bidi w:val="0"/>
        <w:spacing w:lineRule="auto" w:line="360" w:before="0" w:after="120"/>
        <w:jc w:val="both"/>
        <w:rPr/>
      </w:pPr>
      <w:r>
        <w:rPr/>
        <w:t>Tablica 2. Usporedba triju skupina pokazatelja zrelosti prema osjetljivosti na veličinu poduzeća</w:t>
      </w:r>
    </w:p>
    <w:p>
      <w:pPr>
        <w:pStyle w:val="Heading1"/>
        <w:bidi w:val="0"/>
        <w:ind w:hanging="0" w:left="0"/>
        <w:rPr/>
      </w:pPr>
      <w:r>
        <w:rPr/>
        <w:t>Popis slika</w:t>
      </w:r>
    </w:p>
    <w:p>
      <w:pPr>
        <w:pStyle w:val="BodyText"/>
        <w:bidi w:val="0"/>
        <w:spacing w:lineRule="auto" w:line="360" w:before="0" w:after="120"/>
        <w:jc w:val="both"/>
        <w:rPr/>
      </w:pPr>
      <w:r>
        <w:rPr/>
        <w:t>Slika 1. Odnos digitalizacije, digitalne preobrazbe i digitalne zrelosti kao dvaju zahvata i jednog okvira mjerenja</w:t>
      </w:r>
    </w:p>
    <w:p>
      <w:pPr>
        <w:pStyle w:val="BodyText"/>
        <w:bidi w:val="0"/>
        <w:spacing w:lineRule="auto" w:line="360" w:before="0" w:after="120"/>
        <w:jc w:val="both"/>
        <w:rPr/>
      </w:pPr>
      <w:r>
        <w:rPr/>
        <w:t>Slika 2. Put od stanja poduzeća do ocjene zrelosti, s uvjetima okruženja koji djeluju na dokazivost stanja</w:t>
      </w:r>
    </w:p>
    <w:p>
      <w:pPr>
        <w:pStyle w:val="Heading1"/>
        <w:bidi w:val="0"/>
        <w:ind w:hanging="0" w:left="0"/>
        <w:rPr/>
      </w:pPr>
      <w:r>
        <w:rPr/>
        <w:t>Literatura</w:t>
      </w:r>
    </w:p>
    <w:p>
      <w:pPr>
        <w:pStyle w:val="BodyText"/>
        <w:bidi w:val="0"/>
        <w:spacing w:lineRule="auto" w:line="360" w:before="0" w:after="120"/>
        <w:jc w:val="both"/>
        <w:rPr/>
      </w:pPr>
      <w:r>
        <w:rPr/>
        <w:t>1. Babić, L. i Lovrić, T. (2022). Širokopojasna pokrivenost i poslovanje malih poduzeća u ruralnim područjima. Zbornik radova Veleučilišta u Slavoniji, 9(2), 41-58.</w:t>
      </w:r>
    </w:p>
    <w:p>
      <w:pPr>
        <w:pStyle w:val="BodyText"/>
        <w:bidi w:val="0"/>
        <w:spacing w:lineRule="auto" w:line="360" w:before="0" w:after="120"/>
        <w:jc w:val="both"/>
        <w:rPr/>
      </w:pPr>
      <w:r>
        <w:rPr/>
        <w:t>2. Becker, J., Knackstedt, R. i Pöppelbuß, J. (2009). Developing maturity models for IT management: A procedure model and its application. Business &amp; Information Systems Engineering, 1(3), 213-222. https://doi.org/10.1007/s12599-009-0044-5</w:t>
      </w:r>
    </w:p>
    <w:p>
      <w:pPr>
        <w:pStyle w:val="BodyText"/>
        <w:bidi w:val="0"/>
        <w:spacing w:lineRule="auto" w:line="360" w:before="0" w:after="120"/>
        <w:jc w:val="both"/>
        <w:rPr/>
      </w:pPr>
      <w:r>
        <w:rPr/>
        <w:t>3. Blažević, I. (2020). Mjerenje u ekonomiji: pojmovi, ljestvice, granice. Zagreb: Naklada Ratio.</w:t>
      </w:r>
    </w:p>
    <w:p>
      <w:pPr>
        <w:pStyle w:val="BodyText"/>
        <w:bidi w:val="0"/>
        <w:spacing w:lineRule="auto" w:line="360" w:before="0" w:after="120"/>
        <w:jc w:val="both"/>
        <w:rPr/>
      </w:pPr>
      <w:r>
        <w:rPr/>
        <w:t>4. Davis, F. D. (1989). Perceived usefulness, perceived ease of use, and user acceptance of information technology. MIS Quarterly, 13(3), 319-340. https://doi.org/10.2307/249008</w:t>
      </w:r>
    </w:p>
    <w:p>
      <w:pPr>
        <w:pStyle w:val="BodyText"/>
        <w:bidi w:val="0"/>
        <w:spacing w:lineRule="auto" w:line="360" w:before="0" w:after="120"/>
        <w:jc w:val="both"/>
        <w:rPr/>
      </w:pPr>
      <w:r>
        <w:rPr/>
        <w:t>5. Denicolai, S., Zucchella, A. i Magnani, G. (2021). Internationalization, digitalization, and sustainability: Are SMEs ready? A survey on synergies and substituting effects among growth paths. Technological Forecasting and Social Change, 166, 120650. https://doi.org/10.1016/j.techfore.2021.120650</w:t>
      </w:r>
    </w:p>
    <w:p>
      <w:pPr>
        <w:pStyle w:val="BodyText"/>
        <w:bidi w:val="0"/>
        <w:spacing w:lineRule="auto" w:line="360" w:before="0" w:after="120"/>
        <w:jc w:val="both"/>
        <w:rPr/>
      </w:pPr>
      <w:r>
        <w:rPr/>
        <w:t>6. Horvat, M. (2024). Digitalni alati u malim poljoprivrednim gospodarstvima: pregled pristupa. Časopis za ruralno poduzetništvo, 11(1), 7-26.</w:t>
      </w:r>
    </w:p>
    <w:p>
      <w:pPr>
        <w:pStyle w:val="BodyText"/>
        <w:bidi w:val="0"/>
        <w:spacing w:lineRule="auto" w:line="360" w:before="0" w:after="120"/>
        <w:jc w:val="both"/>
        <w:rPr/>
      </w:pPr>
      <w:r>
        <w:rPr/>
        <w:t>7. Ivanković, S. (2021). Tanko tržište rada i digitalne vještine izvan gradskih središta. Radovi o regionalnom razvoju, 6(2), 63-81.</w:t>
      </w:r>
    </w:p>
    <w:p>
      <w:pPr>
        <w:pStyle w:val="BodyText"/>
        <w:bidi w:val="0"/>
        <w:spacing w:lineRule="auto" w:line="360" w:before="0" w:after="120"/>
        <w:jc w:val="both"/>
        <w:rPr/>
      </w:pPr>
      <w:r>
        <w:rPr/>
        <w:t>8. Johnson, M. P. i Schaltegger, S. (2016). Two decades of sustainability management tools for SMEs: How far have we come? Journal of Small Business Management, 54(2), 481-505. https://doi.org/10.1111/jsbm.12154</w:t>
      </w:r>
    </w:p>
    <w:p>
      <w:pPr>
        <w:pStyle w:val="BodyText"/>
        <w:bidi w:val="0"/>
        <w:spacing w:lineRule="auto" w:line="360" w:before="0" w:after="120"/>
        <w:jc w:val="both"/>
        <w:rPr/>
      </w:pPr>
      <w:r>
        <w:rPr/>
        <w:t>9. Jurić, D. (2023). Vlasnik kao usko grlo: odlučivanje u mikropoduzeću. Poslovna praksa i teorija, 15(1), 33-51.</w:t>
      </w:r>
    </w:p>
    <w:p>
      <w:pPr>
        <w:pStyle w:val="BodyText"/>
        <w:bidi w:val="0"/>
        <w:spacing w:lineRule="auto" w:line="360" w:before="0" w:after="120"/>
        <w:jc w:val="both"/>
        <w:rPr/>
      </w:pPr>
      <w:r>
        <w:rPr/>
        <w:t>10. Kovačević, A. (2022). Modeli zrelosti u hrvatskoj poslovnoj literaturi: pojmovni pregled. Zbornik Veleučilišta u Virovitici, 8(1), 15-34. https://doi.org/10.9999/izmisljeni.2022.081</w:t>
      </w:r>
    </w:p>
    <w:p>
      <w:pPr>
        <w:pStyle w:val="BodyText"/>
        <w:bidi w:val="0"/>
        <w:spacing w:lineRule="auto" w:line="360" w:before="0" w:after="120"/>
        <w:jc w:val="both"/>
        <w:rPr/>
      </w:pPr>
      <w:r>
        <w:rPr/>
        <w:t>11. Marić, T. i Blažević, P. (2021). Pokazatelj koji postane cilj: bilješka o mjerenju u malom poduzeću. Ekonomska misao i praksa danas, 30(2), 211-229. https://doi.org/10.9999/izmisljeni.2021.302</w:t>
      </w:r>
    </w:p>
    <w:p>
      <w:pPr>
        <w:pStyle w:val="BodyText"/>
        <w:bidi w:val="0"/>
        <w:spacing w:lineRule="auto" w:line="360" w:before="0" w:after="120"/>
        <w:jc w:val="both"/>
        <w:rPr/>
      </w:pPr>
      <w:r>
        <w:rPr/>
        <w:t>12. Perić, S. i Šarčević, N. (2023). Prenosivost modela zrelosti između velikih i malih organizacija. Revija za organizacijske studije, 12(2), 95-114.</w:t>
      </w:r>
    </w:p>
    <w:p>
      <w:pPr>
        <w:pStyle w:val="BodyText"/>
        <w:bidi w:val="0"/>
        <w:spacing w:lineRule="auto" w:line="360" w:before="0" w:after="120"/>
        <w:jc w:val="both"/>
        <w:rPr/>
      </w:pPr>
      <w:r>
        <w:rPr/>
        <w:t>13. Radić, M. (2019). Uvod u digitalno poslovanje malih poduzeća. Osijek: Naklada Panonija.</w:t>
      </w:r>
    </w:p>
    <w:p>
      <w:pPr>
        <w:pStyle w:val="BodyText"/>
        <w:bidi w:val="0"/>
        <w:spacing w:lineRule="auto" w:line="360" w:before="0" w:after="120"/>
        <w:jc w:val="both"/>
        <w:rPr/>
      </w:pPr>
      <w:r>
        <w:rPr/>
        <w:t>14. Teece, D. J. (2007). Explicating dynamic capabilities: The nature and microfoundations of (sustainable) enterprise performance. Strategic Management Journal, 28(13), 1319-1350. https://doi.org/10.1002/smj.640</w:t>
      </w:r>
    </w:p>
    <w:p>
      <w:pPr>
        <w:pStyle w:val="BodyText"/>
        <w:bidi w:val="0"/>
        <w:spacing w:lineRule="auto" w:line="360" w:before="0" w:after="120"/>
        <w:jc w:val="both"/>
        <w:rPr/>
      </w:pPr>
      <w:r>
        <w:rPr/>
        <w:t>15. Verhoef, P. C., Broekhuizen, T., Bart, Y., Bhattacharya, A., Qi Dong, J., Fabian, N. i Haenlein, M. (2021). Digital transformation: A multidisciplinary reflection and research agenda. Journal of Business Research, 122, 889-901. https://doi.org/10.1016/j.jbusres.2019.09.022</w:t>
      </w:r>
    </w:p>
    <w:p>
      <w:pPr>
        <w:pStyle w:val="BodyText"/>
        <w:bidi w:val="0"/>
        <w:spacing w:lineRule="auto" w:line="360" w:before="0" w:after="120"/>
        <w:jc w:val="both"/>
        <w:rPr/>
      </w:pPr>
      <w:r>
        <w:rPr/>
        <w:t>16. Vial, G. (2019). Understanding digital transformation: A review and a research agenda. The Journal of Strategic Information Systems, 28(2), 118-144. https://doi.org/10.1016/j.jsis.2019.01.003</w:t>
      </w:r>
    </w:p>
    <w:p>
      <w:pPr>
        <w:pStyle w:val="BodyText"/>
        <w:bidi w:val="0"/>
        <w:spacing w:lineRule="auto" w:line="360" w:before="0" w:after="120"/>
        <w:jc w:val="both"/>
        <w:rPr/>
      </w:pPr>
      <w:r>
        <w:rPr/>
        <w:t>17. Vuković, I. (2023). Obiteljsko vlasništvo i sklonost riziku u malim poduzećima. Ekonomski pregled struke, 74(3), 401-420.</w:t>
      </w:r>
    </w:p>
    <w:p>
      <w:pPr>
        <w:pStyle w:val="BodyText"/>
        <w:bidi w:val="0"/>
        <w:spacing w:lineRule="auto" w:line="360" w:before="0" w:after="120"/>
        <w:jc w:val="both"/>
        <w:rPr/>
      </w:pPr>
      <w:r>
        <w:rPr/>
        <w:t>18. Warner, K. S. R. i Wäger, M. (2019). Building dynamic capabilities for digital transformation: An ongoing process of strategic renewal. Long Range Planning, 52(3), 326-349. https://doi.org/10.1016/j.lrp.2018.12.001</w:t>
      </w:r>
    </w:p>
    <w:sectPr>
      <w:footerReference w:type="default" r:id="rId4"/>
      <w:footnotePr>
        <w:numFmt w:val="decimal"/>
      </w:footnotePr>
      <w:type w:val="nextPage"/>
      <w:pgSz w:w="11906" w:h="16838"/>
      <w:pgMar w:left="1701" w:right="1134" w:gutter="0" w:header="0" w:top="1417" w:footer="1417" w:bottom="197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imes New Roman">
    <w:charset w:val="00"/>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lineRule="auto" w:line="360" w:before="0" w:after="120"/>
        <w:jc w:val="both"/>
        <w:rPr/>
      </w:pPr>
      <w:r>
        <w:rPr>
          <w:rStyle w:val="FootnoteCharacters"/>
        </w:rPr>
        <w:footnoteRef/>
      </w:r>
      <w:r>
        <w:rPr/>
        <w:t>Granica malog poduzeća u ovom se radu ne uzima iz jednog propisa nego u uobičajenom smislu koji povezuje broj zaposlenih i veličinu prihoda; za predmet rada važno je samo to da poduzeće nema odvojene organizacijske jedinice.</w:t>
      </w:r>
    </w:p>
  </w:footnote>
  <w:footnote w:id="3">
    <w:p>
      <w:pPr>
        <w:pStyle w:val="BodyText"/>
        <w:bidi w:val="0"/>
        <w:spacing w:lineRule="auto" w:line="360" w:before="0" w:after="120"/>
        <w:jc w:val="both"/>
        <w:rPr/>
      </w:pPr>
      <w:r>
        <w:rPr>
          <w:rStyle w:val="FootnoteCharacters"/>
        </w:rPr>
        <w:footnoteRef/>
      </w:r>
      <w:r>
        <w:rPr/>
        <w:t>Pojam rijetke mreže ovdje opisuje gustoću veza s dobavljačima, kupcima i pružateljima usluga, pa obuhvaća i naselja koja u službenim razvrstavanjima nisu vođena kao ruralna.</w:t>
      </w:r>
    </w:p>
  </w:footnote>
  <w:footnote w:id="4">
    <w:p>
      <w:pPr>
        <w:pStyle w:val="BodyText"/>
        <w:bidi w:val="0"/>
        <w:spacing w:lineRule="auto" w:line="360" w:before="0" w:after="120"/>
        <w:jc w:val="both"/>
        <w:rPr/>
      </w:pPr>
      <w:r>
        <w:rPr>
          <w:rStyle w:val="FootnoteCharacters"/>
        </w:rPr>
        <w:footnoteRef/>
      </w:r>
      <w:r>
        <w:rPr/>
        <w:t>Usporedba s mjernom nesigurnošću u tehnici uzeta je kao slika, ne kao tvrdnja o jednakom postupku: mjerna se nesigurnost izračunava, a popis pretpostavki mjerila sastavlja se opisno.</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hr-HR" w:eastAsia="zh-CN" w:bidi="hi-IN"/>
      </w:rPr>
    </w:rPrDefault>
    <w:pPrDefault>
      <w:pPr>
        <w:widowControl/>
        <w:suppressAutoHyphens w:val="true"/>
        <w:spacing w:lineRule="auto" w:line="360"/>
        <w:jc w:val="both"/>
      </w:pPr>
    </w:pPrDefault>
  </w:docDefaults>
  <w:style w:type="paragraph" w:styleId="Normal">
    <w:name w:val="Normal"/>
    <w:qFormat/>
    <w:pPr>
      <w:widowControl/>
      <w:bidi w:val="0"/>
      <w:spacing w:lineRule="auto" w:line="360"/>
      <w:jc w:val="both"/>
    </w:pPr>
    <w:rPr>
      <w:rFonts w:ascii="Times New Roman" w:hAnsi="Times New Roman" w:eastAsia="NSimSun" w:cs="Lucida Sans"/>
      <w:color w:val="auto"/>
      <w:kern w:val="2"/>
      <w:sz w:val="24"/>
      <w:szCs w:val="24"/>
      <w:lang w:val="hr-HR" w:eastAsia="zh-CN" w:bidi="hi-IN"/>
    </w:rPr>
  </w:style>
  <w:style w:type="paragraph" w:styleId="Heading1">
    <w:name w:val="heading 1"/>
    <w:basedOn w:val="Heading"/>
    <w:qFormat/>
    <w:pPr>
      <w:numPr>
        <w:ilvl w:val="0"/>
        <w:numId w:val="1"/>
      </w:numPr>
      <w:outlineLvl w:val="0"/>
    </w:pPr>
    <w:rPr>
      <w:rFonts w:ascii="Times New Roman" w:hAnsi="Times New Roman"/>
      <w:b/>
      <w:sz w:val="32"/>
    </w:rPr>
  </w:style>
  <w:style w:type="paragraph" w:styleId="Heading2">
    <w:name w:val="heading 2"/>
    <w:basedOn w:val="Heading"/>
    <w:qFormat/>
    <w:pPr>
      <w:numPr>
        <w:ilvl w:val="1"/>
        <w:numId w:val="1"/>
      </w:numPr>
      <w:outlineLvl w:val="1"/>
    </w:pPr>
    <w:rPr>
      <w:rFonts w:ascii="Times New Roman" w:hAnsi="Times New Roman"/>
      <w:b/>
      <w:sz w:val="28"/>
    </w:rPr>
  </w:style>
  <w:style w:type="paragraph" w:styleId="Heading3">
    <w:name w:val="heading 3"/>
    <w:basedOn w:val="Heading"/>
    <w:qFormat/>
    <w:pPr>
      <w:numPr>
        <w:ilvl w:val="2"/>
        <w:numId w:val="1"/>
      </w:numPr>
      <w:outlineLvl w:val="2"/>
    </w:pPr>
    <w:rPr>
      <w:rFonts w:ascii="Times New Roman" w:hAnsi="Times New Roman"/>
      <w:b/>
      <w:sz w:val="26"/>
    </w:rPr>
  </w:style>
  <w:style w:type="character" w:styleId="FootnoteCharacters">
    <w:name w:val="Footnote Characters"/>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spacing w:before="240" w:after="120"/>
    </w:pPr>
    <w:rPr>
      <w:rFonts w:ascii="Times New Roman" w:hAnsi="Times New Roman"/>
      <w:b/>
      <w:sz w:val="28"/>
    </w:rPr>
  </w:style>
  <w:style w:type="paragraph" w:styleId="BodyText">
    <w:name w:val="Body Text"/>
    <w:basedOn w:val="Normal"/>
    <w:pPr>
      <w:spacing w:lineRule="auto" w:line="360" w:before="0" w:after="120"/>
      <w:jc w:val="both"/>
    </w:pPr>
    <w:rPr>
      <w:rFonts w:ascii="Times New Roman" w:hAnsi="Times New Roman"/>
      <w:sz w:val="24"/>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Heading"/>
    <w:qFormat/>
    <w:pPr/>
    <w:rPr>
      <w:b/>
      <w:sz w:val="32"/>
    </w:rPr>
  </w:style>
  <w:style w:type="paragraph" w:styleId="TOC1">
    <w:name w:val="toc 1"/>
    <w:basedOn w:val="Normal"/>
    <w:pPr/>
    <w:rPr/>
  </w:style>
  <w:style w:type="paragraph" w:styleId="TOC2">
    <w:name w:val="toc 2"/>
    <w:basedOn w:val="Normal"/>
    <w:pPr/>
    <w:rPr/>
  </w:style>
  <w:style w:type="paragraph" w:styleId="Naslovnica">
    <w:name w:val="Naslovnica"/>
    <w:basedOn w:val="Normal"/>
    <w:qFormat/>
    <w:pPr>
      <w:spacing w:lineRule="auto" w:line="360" w:before="113" w:after="113"/>
      <w:jc w:val="center"/>
    </w:pPr>
    <w:rPr>
      <w:rFonts w:ascii="Times New Roman" w:hAnsi="Times New Roman"/>
      <w:sz w:val="24"/>
    </w:rPr>
  </w:style>
  <w:style w:type="paragraph" w:styleId="Natpis">
    <w:name w:val="Natpis"/>
    <w:basedOn w:val="Normal"/>
    <w:qFormat/>
    <w:pPr>
      <w:spacing w:before="113" w:after="227"/>
      <w:jc w:val="center"/>
    </w:pPr>
    <w:rPr>
      <w:rFonts w:ascii="Times New Roman" w:hAnsi="Times New Roman"/>
      <w:i/>
      <w:sz w:val="22"/>
    </w:rPr>
  </w:style>
  <w:style w:type="paragraph" w:styleId="PrijelomStranice">
    <w:name w:val="PrijelomStranice"/>
    <w:basedOn w:val="Normal"/>
    <w:qFormat/>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jc w:val="center"/>
    </w:pPr>
    <w:rPr>
      <w:rFonts w:ascii="Times New Roman" w:hAnsi="Times New Roman"/>
      <w:sz w:val="24"/>
    </w:rPr>
  </w:style>
  <w:style w:type="paragraph" w:styleId="FootnoteText">
    <w:name w:val="footnote text"/>
    <w:basedOn w:val="Normal"/>
    <w:pPr>
      <w:suppressLineNumbers/>
      <w:ind w:hanging="340" w:left="340"/>
    </w:pPr>
    <w:rPr>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hr-HR</dc:language>
  <cp:lastModifiedBy/>
  <cp:revision>0</cp:revision>
  <dc:subject/>
  <dc:title/>
</cp:coreProperties>
</file>