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0000"/>
          <w:sz w:val="40"/>
        </w:rPr>
        <w:t>Laura Gomez</w:t>
      </w:r>
    </w:p>
    <w:p>
      <w:r>
        <w:rPr>
          <w:rFonts w:ascii="Arial" w:hAnsi="Arial"/>
          <w:b/>
          <w:color w:val="000000"/>
          <w:sz w:val="21"/>
        </w:rPr>
        <w:t>Data Engineer</w:t>
      </w:r>
    </w:p>
    <w:p>
      <w:pPr>
        <w:spacing w:after="80"/>
      </w:pPr>
      <w:r>
        <w:rPr>
          <w:rFonts w:ascii="Arial" w:hAnsi="Arial"/>
          <w:i/>
          <w:color w:val="444444"/>
          <w:sz w:val="17"/>
        </w:rPr>
        <w:t>I turn complex data into reliable products and decisions</w:t>
      </w:r>
    </w:p>
    <w:p>
      <w:pPr>
        <w:pBdr>
          <w:bottom w:val="single" w:sz="6" w:space="4" w:color="DCDDE1"/>
        </w:pBdr>
      </w:pPr>
      <w:r>
        <w:rPr>
          <w:rFonts w:ascii="Arial" w:hAnsi="Arial"/>
          <w:color w:val="444444"/>
          <w:sz w:val="17"/>
        </w:rPr>
        <w:t>laura.gomez@ejemplo.com  |  +34 600 000 000  |  Madrid, Spain</w:t>
        <w:br/>
        <w:t>https://linkedin.com/in/lauragomez  |  https://lauragomez.dev</w:t>
      </w:r>
    </w:p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r>
        <w:rPr>
          <w:rFonts w:ascii="Arial" w:hAnsi="Arial"/>
          <w:color w:val="111111"/>
          <w:sz w:val="19"/>
        </w:rPr>
        <w:t>Data Engineer with over 5 years designing scalable data pipelines and platforms for healthcare and fintech. Specialist in transforming scattered sources into reliable, governed, high-performance analytical models. I combine product sense and engineering rigor to deliver data people actually use in their decisions.</w:t>
      </w:r>
    </w:p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000000"/>
          <w:sz w:val="22"/>
        </w:rPr>
        <w:t>WORK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</w:tcPr>
          <w:p>
            <w:r>
              <w:rPr>
                <w:rFonts w:ascii="Arial" w:hAnsi="Arial"/>
                <w:b/>
                <w:sz w:val="20"/>
              </w:rPr>
              <w:t>Senior Data Engineer</w:t>
            </w:r>
            <w:r>
              <w:rPr>
                <w:rFonts w:ascii="Arial" w:hAnsi="Arial"/>
                <w:color w:val="444444"/>
                <w:sz w:val="20"/>
              </w:rPr>
              <w:t xml:space="preserve"> | HealthData Labs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b/>
                <w:sz w:val="0"/>
              </w:rPr>
              <w:t>2022 - Present | Madrid</w:t>
            </w:r>
          </w:p>
        </w:tc>
      </w:tr>
    </w:tbl>
    <w:p>
      <w:pPr>
        <w:spacing w:after="40"/>
      </w:pPr>
      <w:r>
        <w:rPr>
          <w:rFonts w:ascii="Arial" w:hAnsi="Arial"/>
          <w:i/>
          <w:color w:val="444444"/>
          <w:sz w:val="16"/>
        </w:rPr>
        <w:t>Owner of the company's data platform and data governance model.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Designed and operated ingestion pipelines that cut critical report latency from 24h to 15 minutes.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Led the migration to a governed lakehouse, reducing storage costs by 38%.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Implemented data quality controls that lowered erroneous-report incidents by 70%.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</w:tcPr>
          <w:p>
            <w:r>
              <w:rPr>
                <w:rFonts w:ascii="Arial" w:hAnsi="Arial"/>
                <w:b/>
                <w:sz w:val="20"/>
              </w:rPr>
              <w:t>Data Engineer</w:t>
            </w:r>
            <w:r>
              <w:rPr>
                <w:rFonts w:ascii="Arial" w:hAnsi="Arial"/>
                <w:color w:val="444444"/>
                <w:sz w:val="20"/>
              </w:rPr>
              <w:t xml:space="preserve"> | Banco Nube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b/>
                <w:sz w:val="0"/>
              </w:rPr>
              <w:t>2020 - 2022 | Barcelona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19"/>
        </w:rPr>
        <w:t>Built the credit-risk data model used daily by 12 analysts.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Automated recurring ETL tasks, freeing ~10 team hours per week.</w:t>
      </w:r>
    </w:p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000000"/>
          <w:sz w:val="22"/>
        </w:rPr>
        <w:t>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</w:tcPr>
          <w:p>
            <w:r>
              <w:rPr>
                <w:rFonts w:ascii="Arial" w:hAnsi="Arial"/>
                <w:b/>
                <w:sz w:val="20"/>
              </w:rPr>
              <w:t>Self-Service Data Platform</w:t>
            </w:r>
            <w:r>
              <w:rPr>
                <w:rFonts w:ascii="Arial" w:hAnsi="Arial"/>
                <w:color w:val="444444"/>
                <w:sz w:val="20"/>
              </w:rPr>
              <w:t xml:space="preserve"> | Tech Lead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b/>
                <w:sz w:val="0"/>
              </w:rPr>
              <w:t xml:space="preserve">2023 | </w:t>
            </w:r>
          </w:p>
        </w:tc>
      </w:tr>
    </w:tbl>
    <w:p>
      <w:pPr>
        <w:spacing w:after="40"/>
      </w:pPr>
      <w:r>
        <w:rPr>
          <w:rFonts w:ascii="Arial" w:hAnsi="Arial"/>
          <w:i/>
          <w:color w:val="444444"/>
          <w:sz w:val="16"/>
        </w:rPr>
        <w:t>Internal portal where analysts query data without writing SQL.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Adopted by 80+ users within the first 3 months.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Reduced dependency on the data team by 45%.</w:t>
      </w:r>
    </w:p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000000"/>
          <w:sz w:val="22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</w:tcPr>
          <w:p>
            <w:r>
              <w:rPr>
                <w:rFonts w:ascii="Arial" w:hAnsi="Arial"/>
                <w:b/>
                <w:sz w:val="20"/>
              </w:rPr>
              <w:t>MSc in Data Science</w:t>
            </w:r>
            <w:r>
              <w:rPr>
                <w:rFonts w:ascii="Arial" w:hAnsi="Arial"/>
                <w:color w:val="444444"/>
                <w:sz w:val="20"/>
              </w:rPr>
              <w:t xml:space="preserve"> | Universidad Politécnica de Madrid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b/>
                <w:sz w:val="0"/>
              </w:rPr>
              <w:t>2019 - 2020 | Madrid</w:t>
            </w:r>
          </w:p>
        </w:tc>
      </w:tr>
    </w:tbl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Data Engineering: </w:t>
      </w:r>
      <w:r>
        <w:rPr>
          <w:rFonts w:ascii="Arial" w:hAnsi="Arial"/>
          <w:color w:val="111111"/>
          <w:sz w:val="19"/>
        </w:rPr>
        <w:t>Python, SQL, Spark, Airflow, dbt, Kafka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Platform &amp; Cloud: </w:t>
      </w:r>
      <w:r>
        <w:rPr>
          <w:rFonts w:ascii="Arial" w:hAnsi="Arial"/>
          <w:color w:val="111111"/>
          <w:sz w:val="19"/>
        </w:rPr>
        <w:t>AWS, Snowflake, Databricks, Docker, Terraform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Governance &amp; Quality: </w:t>
      </w:r>
      <w:r>
        <w:rPr>
          <w:rFonts w:ascii="Arial" w:hAnsi="Arial"/>
          <w:color w:val="111111"/>
          <w:sz w:val="19"/>
        </w:rPr>
        <w:t>Data Contracts, Data testing, Data catalog, Lineage</w:t>
      </w:r>
    </w:p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000000"/>
          <w:sz w:val="22"/>
        </w:rPr>
        <w:t>PUBLICATIONS</w:t>
      </w:r>
    </w:p>
    <w:p>
      <w:pPr>
        <w:pStyle w:val="ListBullet"/>
        <w:spacing w:after="40"/>
      </w:pPr>
      <w:r>
        <w:rPr>
          <w:rFonts w:ascii="Arial" w:hAnsi="Arial"/>
          <w:i/>
          <w:sz w:val="19"/>
        </w:rPr>
        <w:t>Gomez, L., Ruiz, M.. Data governance models for healthcare lakehouses</w:t>
      </w:r>
      <w:r>
        <w:rPr>
          <w:rFonts w:ascii="Arial" w:hAnsi="Arial"/>
          <w:sz w:val="19"/>
        </w:rPr>
        <w:t>. National Data Conference (2024)</w:t>
      </w:r>
      <w:r>
        <w:rPr>
          <w:rFonts w:ascii="Arial" w:hAnsi="Arial"/>
          <w:color w:val="000000"/>
          <w:sz w:val="17"/>
        </w:rPr>
        <w:t xml:space="preserve">  |  https://example.com/pub/2024</w:t>
      </w:r>
    </w:p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000000"/>
          <w:sz w:val="22"/>
        </w:rPr>
        <w:t>CERTIFICATIONS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AWS Certified Data Analytics — Associate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dbt Analytics Engineering</w:t>
      </w:r>
    </w:p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000000"/>
          <w:sz w:val="22"/>
        </w:rPr>
        <w:t>LANGUAGES</w:t>
      </w:r>
    </w:p>
    <w:p>
      <w:pPr>
        <w:spacing w:after="40"/>
      </w:pPr>
      <w:r>
        <w:rPr>
          <w:rFonts w:ascii="Arial" w:hAnsi="Arial"/>
          <w:b/>
          <w:sz w:val="19"/>
        </w:rPr>
        <w:t>Spanish</w:t>
      </w:r>
      <w:r>
        <w:rPr>
          <w:rFonts w:ascii="Arial" w:hAnsi="Arial"/>
          <w:color w:val="111111"/>
          <w:sz w:val="19"/>
        </w:rPr>
        <w:t xml:space="preserve"> — Native</w:t>
      </w:r>
    </w:p>
    <w:p>
      <w:pPr>
        <w:spacing w:after="40"/>
      </w:pPr>
      <w:r>
        <w:rPr>
          <w:rFonts w:ascii="Arial" w:hAnsi="Arial"/>
          <w:b/>
          <w:sz w:val="19"/>
        </w:rPr>
        <w:t>English</w:t>
      </w:r>
      <w:r>
        <w:rPr>
          <w:rFonts w:ascii="Arial" w:hAnsi="Arial"/>
          <w:color w:val="111111"/>
          <w:sz w:val="19"/>
        </w:rPr>
        <w:t xml:space="preserve"> — Advanced (C1)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