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Project Status and Architectural Analysis Report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Topic:</w:t>
      </w:r>
      <w:r w:rsidDel="00000000" w:rsidR="00000000" w:rsidRPr="00000000">
        <w:rPr>
          <w:rFonts w:ascii="Arial" w:cs="Arial" w:eastAsia="Arial" w:hAnsi="Arial"/>
          <w:color w:val="1f1f1f"/>
          <w:rtl w:val="0"/>
        </w:rPr>
        <w:t xml:space="preserve"> Unsupervised 3D Anomaly Detection in MRI via Generative Frameworks and Vision Transformers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Dataset:</w:t>
      </w:r>
      <w:r w:rsidDel="00000000" w:rsidR="00000000" w:rsidRPr="00000000">
        <w:rPr>
          <w:rFonts w:ascii="Arial" w:cs="Arial" w:eastAsia="Arial" w:hAnsi="Arial"/>
          <w:color w:val="1f1f1f"/>
          <w:rtl w:val="0"/>
        </w:rPr>
        <w:t xml:space="preserve"> BraTS 2021 (Brain Tumor Segmentation)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Project Scope and Theoretical Objective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objective of this project is to construct a robust, unsupervised anomaly detection pipeline for 3D medical imaging (MRI) without relying on voxel-level pathological annotations during the training phase.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methodology leverages the </w:t>
      </w:r>
      <w:r w:rsidDel="00000000" w:rsidR="00000000" w:rsidRPr="00000000">
        <w:rPr>
          <w:rFonts w:ascii="Arial" w:cs="Arial" w:eastAsia="Arial" w:hAnsi="Arial"/>
          <w:b w:val="1"/>
          <w:bCs w:val="1"/>
          <w:color w:val="1f1f1f"/>
          <w:rtl w:val="0"/>
        </w:rPr>
        <w:t xml:space="preserve">f-AnoGAN (Fast Unsupervised Anomaly Detection with Generative Adversarial Networks)</w:t>
      </w:r>
      <w:r w:rsidDel="00000000" w:rsidR="00000000" w:rsidRPr="00000000">
        <w:rPr>
          <w:rFonts w:ascii="Arial" w:cs="Arial" w:eastAsia="Arial" w:hAnsi="Arial"/>
          <w:color w:val="1f1f1f"/>
          <w:rtl w:val="0"/>
        </w:rPr>
        <w:t xml:space="preserve"> framework. The theoretical premise dictates that a generative model trained exclusively on a distribution of healthy anatomical structures will fail to reconstruct pathological anomalies (e.g., tumors). By projecting a pathological scan into the latent space and generating its closest "healthy" approximation, the anomaly can be isolated mathematically by calculating the residual difference between the original input and the generated output.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Architectural Baseline and Hardware Constraints: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original f-AnoGAN literature (Schlegl et al., 2019) successfully mitigated mode collapse by employing a Wasserstein GAN with Gradient Penalty (WGAN-GP). However, computing second-order derivatives (gradient penalties) across highly dimensional 3D volumes imposes exorbitant computational and VRAM requirements. Due to the hardware constraints of the local compute environment—specifically, the unified memory architecture of an Apple M5 Mac system—training a 3D WGAN-GP over 1,250+ volumetric scans was computationally prohibitive.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Consequently, the initial comparative benchmark was explicitly scoped to utilize a standard 3D Convolutional Neural Network (CNN). This decision established a computationally feasible baseline while serving to empirically isolate and document the structural deficiencies of standard convolutions (i.e., local receptive fields and the lack of global spatial attention) before introducing the proposed Transformer-based solution.</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Current Progress and Implementation Status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project has successfully executed the initial phases of the f-AnoGAN pipeline, establishing a comparative benchmark utilizing a standard 3D CNN architecture.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Phase 1: Generative Adversarial Training (Completed):</w:t>
      </w:r>
      <w:r w:rsidDel="00000000" w:rsidR="00000000" w:rsidRPr="00000000">
        <w:rPr>
          <w:rFonts w:ascii="Arial" w:cs="Arial" w:eastAsia="Arial" w:hAnsi="Arial"/>
          <w:color w:val="1f1f1f"/>
          <w:rtl w:val="0"/>
        </w:rPr>
        <w:t xml:space="preserve"> A 3D CNN Generator and Discriminator were trained to map latent noise vectors to the distribution of healthy 3D MRI volumes (T1ce modality).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Phase 2: Latent Space Mapping (Completed):</w:t>
      </w:r>
      <w:r w:rsidDel="00000000" w:rsidR="00000000" w:rsidRPr="00000000">
        <w:rPr>
          <w:rFonts w:ascii="Arial" w:cs="Arial" w:eastAsia="Arial" w:hAnsi="Arial"/>
          <w:color w:val="1f1f1f"/>
          <w:rtl w:val="0"/>
        </w:rPr>
        <w:t xml:space="preserve"> An Encoder architecture was trained using the </w:t>
      </w:r>
      <w:r w:rsidDel="00000000" w:rsidR="00000000" w:rsidRPr="00000000">
        <w:rPr>
          <w:rFonts w:ascii="Arial" w:cs="Arial" w:eastAsia="Arial" w:hAnsi="Arial"/>
          <w:color w:val="1f1f1f"/>
        </w:rPr>
        <w:drawing>
          <wp:inline distB="19050" distT="19050" distL="19050" distR="19050">
            <wp:extent cx="428699" cy="2286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8699" cy="228640"/>
                    </a:xfrm>
                    <a:prstGeom prst="rect"/>
                    <a:ln/>
                  </pic:spPr>
                </pic:pic>
              </a:graphicData>
            </a:graphic>
          </wp:inline>
        </w:drawing>
      </w:r>
      <w:r w:rsidDel="00000000" w:rsidR="00000000" w:rsidRPr="00000000">
        <w:rPr>
          <w:rFonts w:ascii="Arial" w:cs="Arial" w:eastAsia="Arial" w:hAnsi="Arial"/>
          <w:color w:val="1f1f1f"/>
          <w:rtl w:val="0"/>
        </w:rPr>
        <w:t xml:space="preserve"> mapping strategy. This objective function minimizes both the image-level mean squared error (MSE) and the feature-level MSE extracted from the Discriminator's intermediate layers, enabling the projection of real 3D volumes into the learned latent space.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Phase 3: Anomaly Scoring &amp; Inference (Completed):</w:t>
      </w:r>
      <w:r w:rsidDel="00000000" w:rsidR="00000000" w:rsidRPr="00000000">
        <w:rPr>
          <w:rFonts w:ascii="Arial" w:cs="Arial" w:eastAsia="Arial" w:hAnsi="Arial"/>
          <w:color w:val="1f1f1f"/>
          <w:rtl w:val="0"/>
        </w:rPr>
        <w:t xml:space="preserve"> The inference pipeline was established to calculate the final anomaly score. A test volume containing a pathology was encoded, reconstructed, and subtracted from the original volume to produce a residual anomaly map.</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Empirical Analysis of Benchmark Architecture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empirical results from the CNN-based architecture validate the theoretical limitations of standard convolutions in highly complex 3D feature spaces.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Loss Curve Analysis and Mode Collapse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Analysis of the Phase 1 training curves indicates a severe destabilization of the min-max adversarial game.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Vanishing Gradients:</w:t>
      </w:r>
      <w:r w:rsidDel="00000000" w:rsidR="00000000" w:rsidRPr="00000000">
        <w:rPr>
          <w:rFonts w:ascii="Arial" w:cs="Arial" w:eastAsia="Arial" w:hAnsi="Arial"/>
          <w:color w:val="1f1f1f"/>
          <w:rtl w:val="0"/>
        </w:rPr>
        <w:t xml:space="preserve"> By Epoch 40, the Discriminator loss (</w:t>
      </w:r>
      <w:r w:rsidDel="00000000" w:rsidR="00000000" w:rsidRPr="00000000">
        <w:rPr>
          <w:rFonts w:ascii="Arial" w:cs="Arial" w:eastAsia="Arial" w:hAnsi="Arial"/>
          <w:color w:val="1f1f1f"/>
        </w:rPr>
        <w:drawing>
          <wp:inline distB="19050" distT="19050" distL="19050" distR="19050">
            <wp:extent cx="643160" cy="22699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3160" cy="226998"/>
                    </a:xfrm>
                    <a:prstGeom prst="rect"/>
                    <a:ln/>
                  </pic:spPr>
                </pic:pic>
              </a:graphicData>
            </a:graphic>
          </wp:inline>
        </w:drawing>
      </w:r>
      <w:r w:rsidDel="00000000" w:rsidR="00000000" w:rsidRPr="00000000">
        <w:rPr>
          <w:rFonts w:ascii="Arial" w:cs="Arial" w:eastAsia="Arial" w:hAnsi="Arial"/>
          <w:color w:val="1f1f1f"/>
          <w:rtl w:val="0"/>
        </w:rPr>
        <w:t xml:space="preserve">) converged to an absolute zero state, indicating perfect classification confidence between real and generated distributions.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Generator Divergence:</w:t>
      </w:r>
      <w:r w:rsidDel="00000000" w:rsidR="00000000" w:rsidRPr="00000000">
        <w:rPr>
          <w:rFonts w:ascii="Arial" w:cs="Arial" w:eastAsia="Arial" w:hAnsi="Arial"/>
          <w:color w:val="1f1f1f"/>
          <w:rtl w:val="0"/>
        </w:rPr>
        <w:t xml:space="preserve"> Concurrently, the Generator loss (</w:t>
      </w:r>
      <w:r w:rsidDel="00000000" w:rsidR="00000000" w:rsidRPr="00000000">
        <w:rPr>
          <w:rFonts w:ascii="Arial" w:cs="Arial" w:eastAsia="Arial" w:hAnsi="Arial"/>
          <w:color w:val="1f1f1f"/>
        </w:rPr>
        <w:drawing>
          <wp:inline distB="19050" distT="19050" distL="19050" distR="19050">
            <wp:extent cx="630362" cy="22922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0362" cy="229222"/>
                    </a:xfrm>
                    <a:prstGeom prst="rect"/>
                    <a:ln/>
                  </pic:spPr>
                </pic:pic>
              </a:graphicData>
            </a:graphic>
          </wp:inline>
        </w:drawing>
      </w:r>
      <w:r w:rsidDel="00000000" w:rsidR="00000000" w:rsidRPr="00000000">
        <w:rPr>
          <w:rFonts w:ascii="Arial" w:cs="Arial" w:eastAsia="Arial" w:hAnsi="Arial"/>
          <w:color w:val="1f1f1f"/>
          <w:rtl w:val="0"/>
        </w:rPr>
        <w:t xml:space="preserve">) exhibited exponential divergence. Deprived of informative gradients from the Discriminator, the Generator succumbed to </w:t>
      </w:r>
      <w:r w:rsidDel="00000000" w:rsidR="00000000" w:rsidRPr="00000000">
        <w:rPr>
          <w:rFonts w:ascii="Arial" w:cs="Arial" w:eastAsia="Arial" w:hAnsi="Arial"/>
          <w:b w:val="1"/>
          <w:bCs w:val="1"/>
          <w:color w:val="1f1f1f"/>
          <w:rtl w:val="0"/>
        </w:rPr>
        <w:t xml:space="preserve">Mode Collapse</w:t>
      </w:r>
      <w:r w:rsidDel="00000000" w:rsidR="00000000" w:rsidRPr="00000000">
        <w:rPr>
          <w:rFonts w:ascii="Arial" w:cs="Arial" w:eastAsia="Arial" w:hAnsi="Arial"/>
          <w:color w:val="1f1f1f"/>
          <w:rtl w:val="0"/>
        </w:rPr>
        <w:t xml:space="preserve">. It ceased learning diverse anatomical structures and reverted to producing a single, spatially averaged, low-resolution output (the "mean" brain).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Spatial Misalignment and False Positives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architectural failure in Phase 1 directly corrupted the Phase 3 inference pipeline.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Structural Smoothing:</w:t>
      </w:r>
      <w:r w:rsidDel="00000000" w:rsidR="00000000" w:rsidRPr="00000000">
        <w:rPr>
          <w:rFonts w:ascii="Arial" w:cs="Arial" w:eastAsia="Arial" w:hAnsi="Arial"/>
          <w:color w:val="1f1f1f"/>
          <w:rtl w:val="0"/>
        </w:rPr>
        <w:t xml:space="preserve"> Due to the localized nature of 3x3x3 convolutional kernels, the network failed to model long-range spatial dependencies. Consequently, the reconstructed "healthy" volume exhibited severe structural smoothing, completely failing to preserve high-frequency details such as cortical folds (sulci/gyri) and cranial boundaries.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Residual Error:</w:t>
      </w:r>
      <w:r w:rsidDel="00000000" w:rsidR="00000000" w:rsidRPr="00000000">
        <w:rPr>
          <w:rFonts w:ascii="Arial" w:cs="Arial" w:eastAsia="Arial" w:hAnsi="Arial"/>
          <w:color w:val="1f1f1f"/>
          <w:rtl w:val="0"/>
        </w:rPr>
        <w:t xml:space="preserve"> Because the generated reconstruction was spatially misaligned and structurally blurred compared to the high-resolution input, the pixel-wise subtraction yielded massive regions of false-positive residual error. The entire perimeter of the brain registered as an anomaly, rendering the true pathological mask indistinguishable from the architectural noise.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Conclusion on Current Architecture:</w:t>
      </w:r>
      <w:r w:rsidDel="00000000" w:rsidR="00000000" w:rsidRPr="00000000">
        <w:rPr>
          <w:rFonts w:ascii="Arial" w:cs="Arial" w:eastAsia="Arial" w:hAnsi="Arial"/>
          <w:color w:val="1f1f1f"/>
          <w:rtl w:val="0"/>
        </w:rPr>
        <w:t xml:space="preserve"> The standard 3D CNN lacks the global spatial awareness and edge-preservation capabilities required for the f-AnoGAN framework to function effectively on dense medical volumes.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Strategic Pivot: The Swin-UNET Architecture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resolve the documented spatial and structural limitations, the project methodology dictates transitioning the generative backbone to a </w:t>
      </w:r>
      <w:r w:rsidDel="00000000" w:rsidR="00000000" w:rsidRPr="00000000">
        <w:rPr>
          <w:rFonts w:ascii="Arial" w:cs="Arial" w:eastAsia="Arial" w:hAnsi="Arial"/>
          <w:b w:val="1"/>
          <w:bCs w:val="1"/>
          <w:color w:val="1f1f1f"/>
          <w:rtl w:val="0"/>
        </w:rPr>
        <w:t xml:space="preserve">3D Shifted Window Transformer UNET (Swin-UNET)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Swin-UNET architecture introduces three critical theoretical advantages:</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Global Attention via Patch Partitioning:</w:t>
      </w:r>
      <w:r w:rsidDel="00000000" w:rsidR="00000000" w:rsidRPr="00000000">
        <w:rPr>
          <w:rFonts w:ascii="Arial" w:cs="Arial" w:eastAsia="Arial" w:hAnsi="Arial"/>
          <w:color w:val="1f1f1f"/>
          <w:rtl w:val="0"/>
        </w:rPr>
        <w:t xml:space="preserve"> Rather than processing localized pixel clusters, the Vision Transformer partitions the 3D volume into non-overlapping tokenized patches. Multi-Head Self-Attention (MSA) computes the mathematical relationship between all patches simultaneously, granting the network global spatial context and preventing the mode collapse associated with localized averaging.</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Computational Feasibility (Shifted Windows):</w:t>
      </w:r>
      <w:r w:rsidDel="00000000" w:rsidR="00000000" w:rsidRPr="00000000">
        <w:rPr>
          <w:rFonts w:ascii="Arial" w:cs="Arial" w:eastAsia="Arial" w:hAnsi="Arial"/>
          <w:color w:val="1f1f1f"/>
          <w:rtl w:val="0"/>
        </w:rPr>
        <w:t xml:space="preserve"> Standard Vision Transformers suffer from quadratic computational complexity relative to image size, which is prohibitive for 3D volumes. The Swin architecture computes self-attention within localized windows and shifts these windows in subsequent layers. This facilitates cross-window communication and global modeling while maintaining linear computational complexity.</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High-Frequency Edge Preservation (UNET Topology):</w:t>
      </w:r>
      <w:r w:rsidDel="00000000" w:rsidR="00000000" w:rsidRPr="00000000">
        <w:rPr>
          <w:rFonts w:ascii="Arial" w:cs="Arial" w:eastAsia="Arial" w:hAnsi="Arial"/>
          <w:color w:val="1f1f1f"/>
          <w:rtl w:val="0"/>
        </w:rPr>
        <w:t xml:space="preserve"> The fundamental flaw of the benchmark model was the loss of spatial resolution during latent compression. By structuring the Swin Transformer blocks within a symmetric UNET topology, skip connections will bridge the encoding and decoding layers. This explicitly propagates high-resolution spatial boundaries (e.g., skull edges) directly to the output, ensuring exact structural alignment during the anomaly subtraction phase and eliminating the false-positive residual map.</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Complete Project Roadmap to Final Evaluation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engineering and evaluation trajectory for the remainder of the project is structured across the following distinct phases: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4: Swin-UNET Architectural Implementation</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Micro-Architecture (swin_layers.py):</w:t>
      </w:r>
      <w:r w:rsidDel="00000000" w:rsidR="00000000" w:rsidRPr="00000000">
        <w:rPr>
          <w:rFonts w:ascii="Arial" w:cs="Arial" w:eastAsia="Arial" w:hAnsi="Arial"/>
          <w:color w:val="1f1f1f"/>
          <w:rtl w:val="0"/>
        </w:rPr>
        <w:t xml:space="preserve"> Develop foundational tensor operations, including 3D Patch Partitioning, Patch Embedding, and linear Patch Merging/Expanding transformations.</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Transformer Engine (swin_transformer.py):</w:t>
      </w:r>
      <w:r w:rsidDel="00000000" w:rsidR="00000000" w:rsidRPr="00000000">
        <w:rPr>
          <w:rFonts w:ascii="Arial" w:cs="Arial" w:eastAsia="Arial" w:hAnsi="Arial"/>
          <w:color w:val="1f1f1f"/>
          <w:rtl w:val="0"/>
        </w:rPr>
        <w:t xml:space="preserve"> Implement the core 3D Window Multi-Head Self-Attention (W-MSA) and Shifted Window Multi-Head Self-Attention (SW-MSA) mechanisms.</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Macro-Architecture (swin_unet.py):</w:t>
      </w:r>
      <w:r w:rsidDel="00000000" w:rsidR="00000000" w:rsidRPr="00000000">
        <w:rPr>
          <w:rFonts w:ascii="Arial" w:cs="Arial" w:eastAsia="Arial" w:hAnsi="Arial"/>
          <w:color w:val="1f1f1f"/>
          <w:rtl w:val="0"/>
        </w:rPr>
        <w:t xml:space="preserve"> Synthesize the layers into a hierarchical Encoder-Decoder framework, integrating skip connections to finalize the Swin-UNET generator class.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5: Transformer-Based Generative Training</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color w:val="1f1f1f"/>
          <w:rtl w:val="0"/>
        </w:rPr>
        <w:t xml:space="preserve">Re-execute the adversarial training loop (Phase 1) utilizing the newly constructed Swin-UNET generator. The objective is to establish a stable, high-fidelity model of the healthy BraTS 2021 anatomical distribution without succumbing to mode collapse.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6: Latent Space Re-mapping (</w:t>
      </w:r>
      <w:r w:rsidDel="00000000" w:rsidR="00000000" w:rsidRPr="00000000">
        <w:rPr>
          <w:rFonts w:ascii="Arial" w:cs="Arial" w:eastAsia="Arial" w:hAnsi="Arial"/>
          <w:b w:val="1"/>
          <w:bCs w:val="1"/>
          <w:color w:val="1f1f1f"/>
        </w:rPr>
        <w:drawing>
          <wp:inline distB="19050" distT="19050" distL="19050" distR="19050">
            <wp:extent cx="428699" cy="22864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8699" cy="228640"/>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color w:val="1f1f1f"/>
          <w:rtl w:val="0"/>
        </w:rPr>
        <w:t xml:space="preserve">Train a secondary 3D Encoder network specifically optimized to map real volumes into the Swin-UNET's stabilized latent space, minimizing both image-level and feature-level residuals.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Phase 7: Final Inference and Quantitative Comparison</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Execute the anomaly scoring pipeline on the BraTS 2021 test set utilizing the Swin-UNET pipeline.</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Conduct a comprehensive quantitative comparison (e.g., measuring Dice Coefficients and overall Anomaly Scores) and qualitative visual analysis between the standard 3D CNN baseline and the 3D Swin-UNET architecture. This final evaluation will definitively assert the efficacy of Vision Transformers in high-resolution, unsupervised 3D medical anomaly detection.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