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Ejemplo S.A.S. · Circular vigente de ganancia de la asesora</w:t>
      </w:r>
    </w:p>
    <w:p>
      <w:r>
        <w:t>DOCUMENTO 100 % FICTICIO para el programa IA-abilities. Empresa, cargos, cifras y fechas son inventados. No corresponde a ninguna empresa real.</w:t>
      </w:r>
    </w:p>
    <w:p>
      <w:pPr>
        <w:pStyle w:val="Heading2"/>
      </w:pPr>
      <w:r>
        <w:t>Sección única. Circular Comercial CC-2025-07 · Nueva tabla de ganancia de la asesora</w:t>
      </w:r>
    </w:p>
    <w:p>
      <w:r>
        <w:t>Desde la campaña 12 de 2025, esta circular reemplaza la tabla de ganancia de la condición GC-2023-01.</w:t>
      </w:r>
    </w:p>
    <w:p>
      <w:r>
        <w:t>En pedidos de más de $600.000 a precio de catálogo, la ganancia de la asesora es del 30 %.</w:t>
      </w:r>
    </w:p>
    <w:p>
      <w:r>
        <w:t>Los productos de la línea Básicos se liquidan siempre al 20 %, sin importar el valor del pedido.</w:t>
      </w:r>
    </w:p>
    <w:p>
      <w:r>
        <w:t>En pedidos de $600.000 o menos se mantiene la tabla de la condición GC-2023-01.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