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Compañía Ejemplo S.A.S. · Circular vigente de teletrabajo</w:t>
      </w:r>
    </w:p>
    <w:p>
      <w:r>
        <w:t>DOCUMENTO 100 % FICTICIO para el programa IA-abilities (Coknow). Empresa, cargos, cifras y fechas son inventados. No corresponde a ninguna empresa real.</w:t>
      </w:r>
    </w:p>
    <w:p>
      <w:pPr>
        <w:pStyle w:val="Heading2"/>
      </w:pPr>
      <w:r>
        <w:t>Sección única. Circular de Talento C-2025-07 · Actualización del esquema de teletrabajo</w:t>
      </w:r>
    </w:p>
    <w:p>
      <w:r>
        <w:t>A partir del 1 de agosto de 2025, esta circular reemplaza lo dicho sobre días de teletrabajo en la política T-2023-02.</w:t>
      </w:r>
    </w:p>
    <w:p>
      <w:r>
        <w:t>Los analistas con más de seis meses de antigüedad pueden teletrabajar hasta tres (3) días a la semana, previa aprobación de su jefe.</w:t>
      </w:r>
    </w:p>
    <w:p>
      <w:r>
        <w:t>El viernes es día presencial obligatorio para todo el personal, sin excepción, porque concentra los comités de área.</w:t>
      </w:r>
    </w:p>
    <w:p>
      <w:r>
        <w:t>Los demás cargos conservan las condiciones de la política T-2023-02 mientras no se expida una circular para ellos.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