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60"/>
          <w:szCs w:val="60"/>
        </w:rPr>
        <w:t xml:space="preserve">Radar de Licitaciones</w:t>
      </w:r>
    </w:p>
    <w:p>
      <w:pPr>
        <w:spacing w:after="0" w:before="160"/>
        <w:jc w:val="center"/>
      </w:pPr>
      <w:r>
        <w:rPr>
          <w:color w:val="595959"/>
          <w:sz w:val="24"/>
          <w:szCs w:val="24"/>
        </w:rPr>
        <w:t xml:space="preserve">Detección de licitaciones públicas de concienciación en ciberseguridad y protección del correo electrónico</w:t>
      </w:r>
    </w:p>
    <w:p>
      <w:pPr>
        <w:spacing w:after="0" w:before="700"/>
        <w:jc w:val="center"/>
      </w:pPr>
      <w:r>
        <w:rPr>
          <w:b/>
          <w:bCs/>
          <w:sz w:val="26"/>
          <w:szCs w:val="26"/>
        </w:rPr>
        <w:t xml:space="preserve">Descripción funcional y arquitectura</w:t>
      </w:r>
    </w:p>
    <w:p>
      <w:pPr>
        <w:spacing w:after="0" w:before="1400"/>
        <w:jc w:val="center"/>
      </w:pPr>
      <w:r>
        <w:rPr>
          <w:color w:val="595959"/>
          <w:sz w:val="20"/>
          <w:szCs w:val="20"/>
        </w:rPr>
        <w:t xml:space="preserve">Agosto de 2026</w:t>
      </w:r>
    </w:p>
    <w:p>
      <w:pPr>
        <w:spacing w:before="60"/>
        <w:jc w:val="center"/>
      </w:pPr>
      <w:r>
        <w:rPr>
          <w:color w:val="595959"/>
          <w:sz w:val="20"/>
          <w:szCs w:val="20"/>
        </w:rPr>
        <w:t xml:space="preserve">Herramienta interna · Zepo</w:t>
      </w:r>
    </w:p>
    <w:p>
      <w:pPr>
        <w:pStyle w:val="Heading1"/>
        <w:pageBreakBefore/>
        <w:pBdr>
          <w:bottom w:val="single" w:color="DCE6F1" w:sz="6" w:space="6"/>
        </w:pBdr>
        <w:spacing w:after="160" w:before="320"/>
      </w:pPr>
      <w:r>
        <w:rPr>
          <w:b/>
          <w:bCs/>
          <w:color w:val="1F4E79"/>
          <w:sz w:val="30"/>
          <w:szCs w:val="30"/>
        </w:rPr>
        <w:t xml:space="preserve">Índice</w:t>
      </w:r>
    </w:p>
    <w:p>
      <w:pPr>
        <w:spacing w:after="60" w:line="264"/>
        <w:ind w:left="0"/>
      </w:pPr>
      <w:r>
        <w:rPr>
          <w:b/>
          <w:bCs/>
          <w:color w:val="1F4E79"/>
        </w:rPr>
        <w:t xml:space="preserve">1.  </w:t>
      </w:r>
      <w:r>
        <w:rPr>
          <w:b/>
          <w:bCs/>
          <w:sz w:val="22"/>
          <w:szCs w:val="22"/>
        </w:rPr>
        <w:t xml:space="preserve">Resumen ejecutivo</w:t>
      </w:r>
    </w:p>
    <w:p>
      <w:pPr>
        <w:spacing w:after="60" w:line="264"/>
        <w:ind w:left="0"/>
      </w:pPr>
      <w:r>
        <w:rPr>
          <w:b/>
          <w:bCs/>
          <w:color w:val="1F4E79"/>
        </w:rPr>
        <w:t xml:space="preserve">2.  </w:t>
      </w:r>
      <w:r>
        <w:rPr>
          <w:b/>
          <w:bCs/>
          <w:sz w:val="22"/>
          <w:szCs w:val="22"/>
        </w:rPr>
        <w:t xml:space="preserve">Qué hace la aplicación</w:t>
      </w:r>
    </w:p>
    <w:p>
      <w:pPr>
        <w:spacing w:after="120" w:line="264"/>
        <w:ind w:left="460"/>
      </w:pPr>
      <w:r>
        <w:t xml:space="preserve"/>
      </w:r>
      <w:r>
        <w:rPr>
          <w:b w:val="false"/>
          <w:bCs w:val="false"/>
          <w:color w:val="595959"/>
          <w:sz w:val="19"/>
          <w:szCs w:val="19"/>
        </w:rPr>
        <w:t xml:space="preserve">Bandeja · Vencimientos · Competencia · Términos de búsqueda · Actualización</w:t>
      </w:r>
    </w:p>
    <w:p>
      <w:pPr>
        <w:spacing w:after="60" w:line="264"/>
        <w:ind w:left="0"/>
      </w:pPr>
      <w:r>
        <w:rPr>
          <w:b/>
          <w:bCs/>
          <w:color w:val="1F4E79"/>
        </w:rPr>
        <w:t xml:space="preserve">3.  </w:t>
      </w:r>
      <w:r>
        <w:rPr>
          <w:b/>
          <w:bCs/>
          <w:sz w:val="22"/>
          <w:szCs w:val="22"/>
        </w:rPr>
        <w:t xml:space="preserve">Fuentes de datos</w:t>
      </w:r>
    </w:p>
    <w:p>
      <w:pPr>
        <w:spacing w:after="60" w:line="264"/>
        <w:ind w:left="0"/>
      </w:pPr>
      <w:r>
        <w:rPr>
          <w:b/>
          <w:bCs/>
          <w:color w:val="1F4E79"/>
        </w:rPr>
        <w:t xml:space="preserve">4.  </w:t>
      </w:r>
      <w:r>
        <w:rPr>
          <w:b/>
          <w:bCs/>
          <w:sz w:val="22"/>
          <w:szCs w:val="22"/>
        </w:rPr>
        <w:t xml:space="preserve">Cómo decide qué interesa</w:t>
      </w:r>
    </w:p>
    <w:p>
      <w:pPr>
        <w:spacing w:after="120" w:line="264"/>
        <w:ind w:left="460"/>
      </w:pPr>
      <w:r>
        <w:t xml:space="preserve"/>
      </w:r>
      <w:r>
        <w:rPr>
          <w:b w:val="false"/>
          <w:bCs w:val="false"/>
          <w:color w:val="595959"/>
          <w:sz w:val="19"/>
          <w:szCs w:val="19"/>
        </w:rPr>
        <w:t xml:space="preserve">Modelo de tres niveles · Lecciones de los datos reales</w:t>
      </w:r>
    </w:p>
    <w:p>
      <w:pPr>
        <w:spacing w:after="60" w:line="264"/>
        <w:ind w:left="0"/>
      </w:pPr>
      <w:r>
        <w:rPr>
          <w:b/>
          <w:bCs/>
          <w:color w:val="1F4E79"/>
        </w:rPr>
        <w:t xml:space="preserve">5.  </w:t>
      </w:r>
      <w:r>
        <w:rPr>
          <w:b/>
          <w:bCs/>
          <w:sz w:val="22"/>
          <w:szCs w:val="22"/>
        </w:rPr>
        <w:t xml:space="preserve">Arquitectura</w:t>
      </w:r>
    </w:p>
    <w:p>
      <w:pPr>
        <w:spacing w:after="120" w:line="264"/>
        <w:ind w:left="460"/>
      </w:pPr>
      <w:r>
        <w:t xml:space="preserve"/>
      </w:r>
      <w:r>
        <w:rPr>
          <w:b w:val="false"/>
          <w:bCs w:val="false"/>
          <w:color w:val="595959"/>
          <w:sz w:val="19"/>
          <w:szCs w:val="19"/>
        </w:rPr>
        <w:t xml:space="preserve">Principios · Flujo de datos · Módulos</w:t>
      </w:r>
    </w:p>
    <w:p>
      <w:pPr>
        <w:spacing w:after="60" w:line="264"/>
        <w:ind w:left="0"/>
      </w:pPr>
      <w:r>
        <w:rPr>
          <w:b/>
          <w:bCs/>
          <w:color w:val="1F4E79"/>
        </w:rPr>
        <w:t xml:space="preserve">6.  </w:t>
      </w:r>
      <w:r>
        <w:rPr>
          <w:b/>
          <w:bCs/>
          <w:sz w:val="22"/>
          <w:szCs w:val="22"/>
        </w:rPr>
        <w:t xml:space="preserve">Modelo de datos</w:t>
      </w:r>
    </w:p>
    <w:p>
      <w:pPr>
        <w:spacing w:after="60" w:line="264"/>
        <w:ind w:left="0"/>
      </w:pPr>
      <w:r>
        <w:rPr>
          <w:b/>
          <w:bCs/>
          <w:color w:val="1F4E79"/>
        </w:rPr>
        <w:t xml:space="preserve">7.  </w:t>
      </w:r>
      <w:r>
        <w:rPr>
          <w:b/>
          <w:bCs/>
          <w:sz w:val="22"/>
          <w:szCs w:val="22"/>
        </w:rPr>
        <w:t xml:space="preserve">Decisiones técnicas destacables</w:t>
      </w:r>
    </w:p>
    <w:p>
      <w:pPr>
        <w:spacing w:after="60" w:line="264"/>
        <w:ind w:left="0"/>
      </w:pPr>
      <w:r>
        <w:rPr>
          <w:b/>
          <w:bCs/>
          <w:color w:val="1F4E79"/>
        </w:rPr>
        <w:t xml:space="preserve">8.  </w:t>
      </w:r>
      <w:r>
        <w:rPr>
          <w:b/>
          <w:bCs/>
          <w:sz w:val="22"/>
          <w:szCs w:val="22"/>
        </w:rPr>
        <w:t xml:space="preserve">Limitaciones conocidas</w:t>
      </w:r>
    </w:p>
    <w:p>
      <w:pPr>
        <w:spacing w:after="60" w:line="264"/>
        <w:ind w:left="0"/>
      </w:pPr>
      <w:r>
        <w:rPr>
          <w:b/>
          <w:bCs/>
          <w:color w:val="1F4E79"/>
        </w:rPr>
        <w:t xml:space="preserve">9.  </w:t>
      </w:r>
      <w:r>
        <w:rPr>
          <w:b/>
          <w:bCs/>
          <w:sz w:val="22"/>
          <w:szCs w:val="22"/>
        </w:rPr>
        <w:t xml:space="preserve">Instalación y uso</w:t>
      </w:r>
    </w:p>
    <w:p>
      <w:pPr>
        <w:pStyle w:val="Heading1"/>
        <w:pageBreakBefore/>
        <w:pBdr>
          <w:bottom w:val="single" w:color="DCE6F1" w:sz="6" w:space="6"/>
        </w:pBdr>
        <w:spacing w:after="160" w:before="320"/>
      </w:pPr>
      <w:r>
        <w:rPr>
          <w:b/>
          <w:bCs/>
          <w:color w:val="1F4E79"/>
          <w:sz w:val="30"/>
          <w:szCs w:val="30"/>
        </w:rPr>
        <w:t xml:space="preserve">1. Resumen ejecutivo</w:t>
      </w:r>
    </w:p>
    <w:p>
      <w:pPr>
        <w:spacing w:after="140" w:line="276"/>
      </w:pPr>
      <w:r>
        <w:t xml:space="preserve">Radar de Licitaciones es una aplicación de escritorio que rastrea a diario las plataformas de contratación pública españolas y europeas, y presenta en una única bandeja las licitaciones relacionadas con </w:t>
      </w:r>
      <w:r>
        <w:rPr>
          <w:b/>
          <w:bCs/>
        </w:rPr>
        <w:t xml:space="preserve">concienciación en ciberseguridad, formación, phishing simulado y protección del correo electrónico</w:t>
      </w:r>
      <w:r>
        <w:t xml:space="preserve">. Su objetivo es que un comercial detecte una oportunidad el día que se publica, sin revisar manualmente decenas de portales.</w:t>
      </w:r>
    </w:p>
    <w:p>
      <w:pPr>
        <w:spacing w:after="140" w:line="276"/>
      </w:pPr>
      <w:r>
        <w:t xml:space="preserve">El problema que resuelve no es acceder a los datos, que son públicos, sino separar la señal del ruido. Las administraciones publican decenas de miles de anuncios al mes y las licitaciones de este nicho aparecen mal clasificadas, redactadas en catalán, escondidas como un lote de un contrato genérico o directamente sin código CPV. La aplicación aplica un motor de reglas de tres niveles que deja pasar en torno al 0,5 % de lo que descarga, y explica de cada resultado por qué ha entrado.</w:t>
      </w:r>
    </w:p>
    <w:p>
      <w:pPr>
        <w:pStyle w:val="Heading2"/>
        <w:spacing w:after="120" w:before="240"/>
      </w:pPr>
      <w:r>
        <w:rPr>
          <w:b/>
          <w:bCs/>
          <w:color w:val="1F4E79"/>
          <w:sz w:val="24"/>
          <w:szCs w:val="24"/>
        </w:rPr>
        <w:t xml:space="preserve">Cifras del sistema en producción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596"/>
        <w:gridCol w:w="3430"/>
      </w:tblGrid>
      <w:tr>
        <w:trPr>
          <w:tblHeader/>
        </w:trPr>
        <w:tc>
          <w:tcPr>
            <w:tcW w:type="dxa" w:w="5596"/>
            <w:shd w:fill="DCE6F1" w:val="clear"/>
            <w:tcMar>
              <w:top w:type="dxa" w:w="70"/>
              <w:left w:type="dxa" w:w="110"/>
              <w:bottom w:type="dxa" w:w="70"/>
              <w:right w:type="dxa" w:w="110"/>
            </w:tcMar>
          </w:tcPr>
          <w:p>
            <w:pPr>
              <w:spacing w:after="0" w:line="252"/>
            </w:pPr>
            <w:r>
              <w:rPr>
                <w:b/>
                <w:bCs/>
                <w:color w:val="1F4E79"/>
                <w:sz w:val="18"/>
                <w:szCs w:val="18"/>
              </w:rPr>
              <w:t xml:space="preserve">Indicador</w:t>
            </w:r>
          </w:p>
        </w:tc>
        <w:tc>
          <w:tcPr>
            <w:tcW w:type="dxa" w:w="3430"/>
            <w:shd w:fill="DCE6F1" w:val="clear"/>
            <w:tcMar>
              <w:top w:type="dxa" w:w="70"/>
              <w:left w:type="dxa" w:w="110"/>
              <w:bottom w:type="dxa" w:w="70"/>
              <w:right w:type="dxa" w:w="110"/>
            </w:tcMar>
          </w:tcPr>
          <w:p>
            <w:pPr>
              <w:spacing w:after="0" w:line="252"/>
            </w:pPr>
            <w:r>
              <w:rPr>
                <w:b/>
                <w:bCs/>
                <w:color w:val="1F4E79"/>
                <w:sz w:val="18"/>
                <w:szCs w:val="18"/>
              </w:rPr>
              <w:t xml:space="preserve">Valor</w:t>
            </w:r>
          </w:p>
        </w:tc>
      </w:tr>
      <w:tr>
        <w:tc>
          <w:tcPr>
            <w:tcW w:type="dxa" w:w="5596"/>
            <w:tcMar>
              <w:top w:type="dxa" w:w="70"/>
              <w:left w:type="dxa" w:w="110"/>
              <w:bottom w:type="dxa" w:w="70"/>
              <w:right w:type="dxa" w:w="110"/>
            </w:tcMar>
          </w:tcPr>
          <w:p>
            <w:pPr>
              <w:spacing w:after="0" w:line="252"/>
            </w:pPr>
            <w:r>
              <w:rPr>
                <w:b w:val="false"/>
                <w:bCs w:val="false"/>
                <w:sz w:val="18"/>
                <w:szCs w:val="18"/>
              </w:rPr>
              <w:t xml:space="preserve">Licitaciones descargadas y normalizadas</w:t>
            </w:r>
          </w:p>
        </w:tc>
        <w:tc>
          <w:tcPr>
            <w:tcW w:type="dxa" w:w="3430"/>
            <w:tcMar>
              <w:top w:type="dxa" w:w="70"/>
              <w:left w:type="dxa" w:w="110"/>
              <w:bottom w:type="dxa" w:w="70"/>
              <w:right w:type="dxa" w:w="110"/>
            </w:tcMar>
          </w:tcPr>
          <w:p>
            <w:pPr>
              <w:spacing w:after="0" w:line="252"/>
            </w:pPr>
            <w:r>
              <w:rPr>
                <w:b w:val="false"/>
                <w:bCs w:val="false"/>
                <w:sz w:val="18"/>
                <w:szCs w:val="18"/>
              </w:rPr>
              <w:t xml:space="preserve">127.552</w:t>
            </w:r>
          </w:p>
        </w:tc>
      </w:tr>
      <w:tr>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Coincidencias con los perfiles de búsqueda</w:t>
            </w:r>
          </w:p>
        </w:tc>
        <w:tc>
          <w:tcPr>
            <w:tcW w:type="dxa" w:w="3430"/>
            <w:shd w:fill="F2F2F2" w:val="clear"/>
            <w:tcMar>
              <w:top w:type="dxa" w:w="70"/>
              <w:left w:type="dxa" w:w="110"/>
              <w:bottom w:type="dxa" w:w="70"/>
              <w:right w:type="dxa" w:w="110"/>
            </w:tcMar>
          </w:tcPr>
          <w:p>
            <w:pPr>
              <w:spacing w:after="0" w:line="252"/>
            </w:pPr>
            <w:r>
              <w:rPr>
                <w:b w:val="false"/>
                <w:bCs w:val="false"/>
                <w:sz w:val="18"/>
                <w:szCs w:val="18"/>
              </w:rPr>
              <w:t xml:space="preserve">640 expedientes</w:t>
            </w:r>
          </w:p>
        </w:tc>
      </w:tr>
      <w:tr>
        <w:tc>
          <w:tcPr>
            <w:tcW w:type="dxa" w:w="5596"/>
            <w:tcMar>
              <w:top w:type="dxa" w:w="70"/>
              <w:left w:type="dxa" w:w="110"/>
              <w:bottom w:type="dxa" w:w="70"/>
              <w:right w:type="dxa" w:w="110"/>
            </w:tcMar>
          </w:tcPr>
          <w:p>
            <w:pPr>
              <w:spacing w:after="0" w:line="252"/>
            </w:pPr>
            <w:r>
              <w:rPr>
                <w:b w:val="false"/>
                <w:bCs w:val="false"/>
                <w:sz w:val="18"/>
                <w:szCs w:val="18"/>
              </w:rPr>
              <w:t xml:space="preserve">Abiertas con plazo de presentación vigente</w:t>
            </w:r>
          </w:p>
        </w:tc>
        <w:tc>
          <w:tcPr>
            <w:tcW w:type="dxa" w:w="3430"/>
            <w:tcMar>
              <w:top w:type="dxa" w:w="70"/>
              <w:left w:type="dxa" w:w="110"/>
              <w:bottom w:type="dxa" w:w="70"/>
              <w:right w:type="dxa" w:w="110"/>
            </w:tcMar>
          </w:tcPr>
          <w:p>
            <w:pPr>
              <w:spacing w:after="0" w:line="252"/>
            </w:pPr>
            <w:r>
              <w:rPr>
                <w:b w:val="false"/>
                <w:bCs w:val="false"/>
                <w:sz w:val="18"/>
                <w:szCs w:val="18"/>
              </w:rPr>
              <w:t xml:space="preserve">53</w:t>
            </w:r>
          </w:p>
        </w:tc>
      </w:tr>
      <w:tr>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Contratos con adjudicatario identificado</w:t>
            </w:r>
          </w:p>
        </w:tc>
        <w:tc>
          <w:tcPr>
            <w:tcW w:type="dxa" w:w="3430"/>
            <w:shd w:fill="F2F2F2" w:val="clear"/>
            <w:tcMar>
              <w:top w:type="dxa" w:w="70"/>
              <w:left w:type="dxa" w:w="110"/>
              <w:bottom w:type="dxa" w:w="70"/>
              <w:right w:type="dxa" w:w="110"/>
            </w:tcMar>
          </w:tcPr>
          <w:p>
            <w:pPr>
              <w:spacing w:after="0" w:line="252"/>
            </w:pPr>
            <w:r>
              <w:rPr>
                <w:b w:val="false"/>
                <w:bCs w:val="false"/>
                <w:sz w:val="18"/>
                <w:szCs w:val="18"/>
              </w:rPr>
              <w:t xml:space="preserve">99.039</w:t>
            </w:r>
          </w:p>
        </w:tc>
      </w:tr>
      <w:tr>
        <w:tc>
          <w:tcPr>
            <w:tcW w:type="dxa" w:w="5596"/>
            <w:tcMar>
              <w:top w:type="dxa" w:w="70"/>
              <w:left w:type="dxa" w:w="110"/>
              <w:bottom w:type="dxa" w:w="70"/>
              <w:right w:type="dxa" w:w="110"/>
            </w:tcMar>
          </w:tcPr>
          <w:p>
            <w:pPr>
              <w:spacing w:after="0" w:line="252"/>
            </w:pPr>
            <w:r>
              <w:rPr>
                <w:b w:val="false"/>
                <w:bCs w:val="false"/>
                <w:sz w:val="18"/>
                <w:szCs w:val="18"/>
              </w:rPr>
              <w:t xml:space="preserve">Contratos que vencen en los próximos 6 meses</w:t>
            </w:r>
          </w:p>
        </w:tc>
        <w:tc>
          <w:tcPr>
            <w:tcW w:type="dxa" w:w="3430"/>
            <w:tcMar>
              <w:top w:type="dxa" w:w="70"/>
              <w:left w:type="dxa" w:w="110"/>
              <w:bottom w:type="dxa" w:w="70"/>
              <w:right w:type="dxa" w:w="110"/>
            </w:tcMar>
          </w:tcPr>
          <w:p>
            <w:pPr>
              <w:spacing w:after="0" w:line="252"/>
            </w:pPr>
            <w:r>
              <w:rPr>
                <w:b w:val="false"/>
                <w:bCs w:val="false"/>
                <w:sz w:val="18"/>
                <w:szCs w:val="18"/>
              </w:rPr>
              <w:t xml:space="preserve">28, por 38,7 M€</w:t>
            </w:r>
          </w:p>
        </w:tc>
      </w:tr>
      <w:tr>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Fuentes de datos activas</w:t>
            </w:r>
          </w:p>
        </w:tc>
        <w:tc>
          <w:tcPr>
            <w:tcW w:type="dxa" w:w="3430"/>
            <w:shd w:fill="F2F2F2" w:val="clear"/>
            <w:tcMar>
              <w:top w:type="dxa" w:w="70"/>
              <w:left w:type="dxa" w:w="110"/>
              <w:bottom w:type="dxa" w:w="70"/>
              <w:right w:type="dxa" w:w="110"/>
            </w:tcMar>
          </w:tcPr>
          <w:p>
            <w:pPr>
              <w:spacing w:after="0" w:line="252"/>
            </w:pPr>
            <w:r>
              <w:rPr>
                <w:b w:val="false"/>
                <w:bCs w:val="false"/>
                <w:sz w:val="18"/>
                <w:szCs w:val="18"/>
              </w:rPr>
              <w:t xml:space="preserve">5</w:t>
            </w:r>
          </w:p>
        </w:tc>
      </w:tr>
      <w:tr>
        <w:tc>
          <w:tcPr>
            <w:tcW w:type="dxa" w:w="5596"/>
            <w:tcMar>
              <w:top w:type="dxa" w:w="70"/>
              <w:left w:type="dxa" w:w="110"/>
              <w:bottom w:type="dxa" w:w="70"/>
              <w:right w:type="dxa" w:w="110"/>
            </w:tcMar>
          </w:tcPr>
          <w:p>
            <w:pPr>
              <w:spacing w:after="0" w:line="252"/>
            </w:pPr>
            <w:r>
              <w:rPr>
                <w:b w:val="false"/>
                <w:bCs w:val="false"/>
                <w:sz w:val="18"/>
                <w:szCs w:val="18"/>
              </w:rPr>
              <w:t xml:space="preserve">Cobertura temporal del histórico</w:t>
            </w:r>
          </w:p>
        </w:tc>
        <w:tc>
          <w:tcPr>
            <w:tcW w:type="dxa" w:w="3430"/>
            <w:tcMar>
              <w:top w:type="dxa" w:w="70"/>
              <w:left w:type="dxa" w:w="110"/>
              <w:bottom w:type="dxa" w:w="70"/>
              <w:right w:type="dxa" w:w="110"/>
            </w:tcMar>
          </w:tcPr>
          <w:p>
            <w:pPr>
              <w:spacing w:after="0" w:line="252"/>
            </w:pPr>
            <w:r>
              <w:rPr>
                <w:b w:val="false"/>
                <w:bCs w:val="false"/>
                <w:sz w:val="18"/>
                <w:szCs w:val="18"/>
              </w:rPr>
              <w:t xml:space="preserve">2021 – 2026</w:t>
            </w:r>
          </w:p>
        </w:tc>
      </w:tr>
      <w:tr>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Pruebas automatizadas</w:t>
            </w:r>
          </w:p>
        </w:tc>
        <w:tc>
          <w:tcPr>
            <w:tcW w:type="dxa" w:w="3430"/>
            <w:shd w:fill="F2F2F2" w:val="clear"/>
            <w:tcMar>
              <w:top w:type="dxa" w:w="70"/>
              <w:left w:type="dxa" w:w="110"/>
              <w:bottom w:type="dxa" w:w="70"/>
              <w:right w:type="dxa" w:w="110"/>
            </w:tcMar>
          </w:tcPr>
          <w:p>
            <w:pPr>
              <w:spacing w:after="0" w:line="252"/>
            </w:pPr>
            <w:r>
              <w:rPr>
                <w:b w:val="false"/>
                <w:bCs w:val="false"/>
                <w:sz w:val="18"/>
                <w:szCs w:val="18"/>
              </w:rPr>
              <w:t xml:space="preserve">126</w:t>
            </w:r>
          </w:p>
        </w:tc>
      </w:tr>
      <w:tr>
        <w:tc>
          <w:tcPr>
            <w:tcW w:type="dxa" w:w="5596"/>
            <w:tcMar>
              <w:top w:type="dxa" w:w="70"/>
              <w:left w:type="dxa" w:w="110"/>
              <w:bottom w:type="dxa" w:w="70"/>
              <w:right w:type="dxa" w:w="110"/>
            </w:tcMar>
          </w:tcPr>
          <w:p>
            <w:pPr>
              <w:spacing w:after="0" w:line="252"/>
            </w:pPr>
            <w:r>
              <w:rPr>
                <w:b w:val="false"/>
                <w:bCs w:val="false"/>
                <w:sz w:val="18"/>
                <w:szCs w:val="18"/>
              </w:rPr>
              <w:t xml:space="preserve">Dependencias externas</w:t>
            </w:r>
          </w:p>
        </w:tc>
        <w:tc>
          <w:tcPr>
            <w:tcW w:type="dxa" w:w="3430"/>
            <w:tcMar>
              <w:top w:type="dxa" w:w="70"/>
              <w:left w:type="dxa" w:w="110"/>
              <w:bottom w:type="dxa" w:w="70"/>
              <w:right w:type="dxa" w:w="110"/>
            </w:tcMar>
          </w:tcPr>
          <w:p>
            <w:pPr>
              <w:spacing w:after="0" w:line="252"/>
            </w:pPr>
            <w:r>
              <w:rPr>
                <w:b w:val="false"/>
                <w:bCs w:val="false"/>
                <w:sz w:val="18"/>
                <w:szCs w:val="18"/>
              </w:rPr>
              <w:t xml:space="preserve">Ninguna</w:t>
            </w:r>
          </w:p>
        </w:tc>
      </w:tr>
    </w:tbl>
    <w:p>
      <w:pPr>
        <w:spacing w:after="120"/>
      </w:pPr>
      <w:r>
        <w:t xml:space="preserve"/>
      </w:r>
    </w:p>
    <w:p>
      <w:pPr>
        <w:spacing w:after="140" w:line="276"/>
      </w:pPr>
      <w:r>
        <w:rPr>
          <w:b/>
          <w:bCs/>
        </w:rPr>
        <w:t xml:space="preserve">Autonomía. </w:t>
      </w:r>
      <w:r>
        <w:t xml:space="preserve">La aplicación no se conecta a ningún CRM, ni a notas personales, ni a servicios de terceros. Todo reside en su propia carpeta, de modo que cualquier miembro del equipo puede copiarla y usarla sin configuración ni credenciales.</w:t>
      </w:r>
    </w:p>
    <w:p>
      <w:pPr>
        <w:pStyle w:val="Heading1"/>
        <w:pageBreakBefore/>
        <w:pBdr>
          <w:bottom w:val="single" w:color="DCE6F1" w:sz="6" w:space="6"/>
        </w:pBdr>
        <w:spacing w:after="160" w:before="320"/>
      </w:pPr>
      <w:r>
        <w:rPr>
          <w:b/>
          <w:bCs/>
          <w:color w:val="1F4E79"/>
          <w:sz w:val="30"/>
          <w:szCs w:val="30"/>
        </w:rPr>
        <w:t xml:space="preserve">2. Qué hace la aplicación</w:t>
      </w:r>
    </w:p>
    <w:p>
      <w:pPr>
        <w:spacing w:after="140" w:line="276"/>
      </w:pPr>
      <w:r>
        <w:t xml:space="preserve">La interfaz se organiza en cuatro pestañas, cada una orientada a un momento distinto del trabajo comercial.</w:t>
      </w:r>
    </w:p>
    <w:p>
      <w:pPr>
        <w:pStyle w:val="Heading2"/>
        <w:spacing w:after="120" w:before="240"/>
      </w:pPr>
      <w:r>
        <w:rPr>
          <w:b/>
          <w:bCs/>
          <w:color w:val="1F4E79"/>
          <w:sz w:val="24"/>
          <w:szCs w:val="24"/>
        </w:rPr>
        <w:t xml:space="preserve">2.1 Bandeja: qué hay abierto ahora</w:t>
      </w:r>
    </w:p>
    <w:p>
      <w:pPr>
        <w:spacing w:after="140" w:line="276"/>
      </w:pPr>
      <w:r>
        <w:t xml:space="preserve">Lista las licitaciones que han superado el filtro, ordenadas por defecto según los días que quedan para presentar oferta, que es el dato que condiciona la decisión. De cada una se muestra el órgano de contratación, el importe, el plazo, la comunidad autónoma, el procedimiento y los enlaces a los pliegos oficiales.</w:t>
      </w:r>
    </w:p>
    <w:p>
      <w:pPr>
        <w:pStyle w:val="ListParagraph"/>
        <w:numPr>
          <w:ilvl w:val="0"/>
          <w:numId w:val="2"/>
        </w:numPr>
        <w:spacing w:after="80" w:line="276"/>
      </w:pPr>
      <w:r>
        <w:rPr>
          <w:b/>
          <w:bCs/>
        </w:rPr>
        <w:t xml:space="preserve">Por qué ha entrado. </w:t>
      </w:r>
      <w:r>
        <w:t xml:space="preserve">Al abrir una licitación, la ficha indica exactamente qué término o qué código CPV la ha hecho aparecer. Es la información que permite afinar la búsqueda con criterio en lugar de a ciegas.</w:t>
      </w:r>
    </w:p>
    <w:p>
      <w:pPr>
        <w:pStyle w:val="ListParagraph"/>
        <w:numPr>
          <w:ilvl w:val="0"/>
          <w:numId w:val="2"/>
        </w:numPr>
        <w:spacing w:after="80" w:line="276"/>
      </w:pPr>
      <w:r>
        <w:rPr>
          <w:b/>
          <w:bCs/>
        </w:rPr>
        <w:t xml:space="preserve">Triaje. </w:t>
      </w:r>
      <w:r>
        <w:t xml:space="preserve">Cada licitación se marca como Seguir, Presentada o Descartar, con notas libres. Al descartar se pide el motivo (fuera de nicho, importe bajo, incumbente atado, fuera de plazo), y esos motivos se agregan para ajustar los perfiles con datos.</w:t>
      </w:r>
    </w:p>
    <w:p>
      <w:pPr>
        <w:pStyle w:val="ListParagraph"/>
        <w:numPr>
          <w:ilvl w:val="0"/>
          <w:numId w:val="2"/>
        </w:numPr>
        <w:spacing w:after="80" w:line="276"/>
      </w:pPr>
      <w:r>
        <w:rPr>
          <w:b/>
          <w:bCs/>
        </w:rPr>
        <w:t xml:space="preserve">Agrupación del ciclo de vida. </w:t>
      </w:r>
      <w:r>
        <w:t xml:space="preserve">Un mismo expediente genera varios anuncios a lo largo de su vida: licitación, correcciones y adjudicación por lotes. La bandeja los agrupa en una sola fila con una etiqueta «N anuncios» y muestra el estado más avanzado.</w:t>
      </w:r>
    </w:p>
    <w:p>
      <w:pPr>
        <w:pStyle w:val="ListParagraph"/>
        <w:numPr>
          <w:ilvl w:val="0"/>
          <w:numId w:val="2"/>
        </w:numPr>
        <w:spacing w:after="80" w:line="276"/>
      </w:pPr>
      <w:r>
        <w:rPr>
          <w:b/>
          <w:bCs/>
        </w:rPr>
        <w:t xml:space="preserve">Novedades. </w:t>
      </w:r>
      <w:r>
        <w:t xml:space="preserve">Cuando entran licitaciones nuevas desde la última visita aparece un contador para ver solo esas.</w:t>
      </w:r>
    </w:p>
    <w:p>
      <w:pPr>
        <w:pStyle w:val="ListParagraph"/>
        <w:numPr>
          <w:ilvl w:val="0"/>
          <w:numId w:val="2"/>
        </w:numPr>
        <w:spacing w:after="80" w:line="276"/>
      </w:pPr>
      <w:r>
        <w:rPr>
          <w:b/>
          <w:bCs/>
        </w:rPr>
        <w:t xml:space="preserve">Búsqueda y filtros. </w:t>
      </w:r>
      <w:r>
        <w:t xml:space="preserve">Texto libre sobre objeto, órgano, expediente y descripción de lotes, más filtros por perfil, comunidad autónoma, importe mínimo y estado de triaje. Exportación a CSV de lo que se esté viendo.</w:t>
      </w:r>
    </w:p>
    <w:p>
      <w:pPr>
        <w:pStyle w:val="Heading2"/>
        <w:spacing w:after="120" w:before="240"/>
      </w:pPr>
      <w:r>
        <w:rPr>
          <w:b/>
          <w:bCs/>
          <w:color w:val="1F4E79"/>
          <w:sz w:val="24"/>
          <w:szCs w:val="24"/>
        </w:rPr>
        <w:t xml:space="preserve">2.2 Vencimientos: llegar antes de la renovación</w:t>
      </w:r>
    </w:p>
    <w:p>
      <w:pPr>
        <w:spacing w:after="140" w:line="276"/>
      </w:pPr>
      <w:r>
        <w:t xml:space="preserve">Lista los contratos ya adjudicados cuyo plazo de ejecución termina pronto, junto con el importe y la empresa que lo ganó. Es la vista de prospección proactiva: permite contactar con el organismo antes de que salga el nuevo pliego, cuando todavía se puede influir en su redacción.</w:t>
      </w:r>
    </w:p>
    <w:p>
      <w:pPr>
        <w:spacing w:after="140" w:line="276"/>
      </w:pPr>
      <w:r>
        <w:t xml:space="preserve">Los botones de ventana temporal muestran cuántos contratos vencen en cada plazo y por qué importe agregado, para poder dimensionar la oportunidad de un vistazo: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979"/>
        <w:gridCol w:w="2978"/>
      </w:tblGrid>
      <w:tr>
        <w:trPr>
          <w:tblHeader/>
        </w:trPr>
        <w:tc>
          <w:tcPr>
            <w:tcW w:type="dxa" w:w="3069"/>
            <w:shd w:fill="DCE6F1" w:val="clear"/>
            <w:tcMar>
              <w:top w:type="dxa" w:w="70"/>
              <w:left w:type="dxa" w:w="110"/>
              <w:bottom w:type="dxa" w:w="70"/>
              <w:right w:type="dxa" w:w="110"/>
            </w:tcMar>
          </w:tcPr>
          <w:p>
            <w:pPr>
              <w:spacing w:after="0" w:line="252"/>
            </w:pPr>
            <w:r>
              <w:rPr>
                <w:b/>
                <w:bCs/>
                <w:color w:val="1F4E79"/>
                <w:sz w:val="18"/>
                <w:szCs w:val="18"/>
              </w:rPr>
              <w:t xml:space="preserve">Ventana</w:t>
            </w:r>
          </w:p>
        </w:tc>
        <w:tc>
          <w:tcPr>
            <w:tcW w:type="dxa" w:w="2979"/>
            <w:shd w:fill="DCE6F1" w:val="clear"/>
            <w:tcMar>
              <w:top w:type="dxa" w:w="70"/>
              <w:left w:type="dxa" w:w="110"/>
              <w:bottom w:type="dxa" w:w="70"/>
              <w:right w:type="dxa" w:w="110"/>
            </w:tcMar>
          </w:tcPr>
          <w:p>
            <w:pPr>
              <w:spacing w:after="0" w:line="252"/>
            </w:pPr>
            <w:r>
              <w:rPr>
                <w:b/>
                <w:bCs/>
                <w:color w:val="1F4E79"/>
                <w:sz w:val="18"/>
                <w:szCs w:val="18"/>
              </w:rPr>
              <w:t xml:space="preserve">Contratos</w:t>
            </w:r>
          </w:p>
        </w:tc>
        <w:tc>
          <w:tcPr>
            <w:tcW w:type="dxa" w:w="2978"/>
            <w:shd w:fill="DCE6F1" w:val="clear"/>
            <w:tcMar>
              <w:top w:type="dxa" w:w="70"/>
              <w:left w:type="dxa" w:w="110"/>
              <w:bottom w:type="dxa" w:w="70"/>
              <w:right w:type="dxa" w:w="110"/>
            </w:tcMar>
          </w:tcPr>
          <w:p>
            <w:pPr>
              <w:spacing w:after="0" w:line="252"/>
            </w:pPr>
            <w:r>
              <w:rPr>
                <w:b/>
                <w:bCs/>
                <w:color w:val="1F4E79"/>
                <w:sz w:val="18"/>
                <w:szCs w:val="18"/>
              </w:rPr>
              <w:t xml:space="preserve">Importe agregado</w:t>
            </w:r>
          </w:p>
        </w:tc>
      </w:tr>
      <w:tr>
        <w:tc>
          <w:tcPr>
            <w:tcW w:type="dxa" w:w="3069"/>
            <w:tcMar>
              <w:top w:type="dxa" w:w="70"/>
              <w:left w:type="dxa" w:w="110"/>
              <w:bottom w:type="dxa" w:w="70"/>
              <w:right w:type="dxa" w:w="110"/>
            </w:tcMar>
          </w:tcPr>
          <w:p>
            <w:pPr>
              <w:spacing w:after="0" w:line="252"/>
            </w:pPr>
            <w:r>
              <w:rPr>
                <w:b w:val="false"/>
                <w:bCs w:val="false"/>
                <w:sz w:val="18"/>
                <w:szCs w:val="18"/>
              </w:rPr>
              <w:t xml:space="preserve">3 meses</w:t>
            </w:r>
          </w:p>
        </w:tc>
        <w:tc>
          <w:tcPr>
            <w:tcW w:type="dxa" w:w="2979"/>
            <w:tcMar>
              <w:top w:type="dxa" w:w="70"/>
              <w:left w:type="dxa" w:w="110"/>
              <w:bottom w:type="dxa" w:w="70"/>
              <w:right w:type="dxa" w:w="110"/>
            </w:tcMar>
          </w:tcPr>
          <w:p>
            <w:pPr>
              <w:spacing w:after="0" w:line="252"/>
            </w:pPr>
            <w:r>
              <w:rPr>
                <w:b w:val="false"/>
                <w:bCs w:val="false"/>
                <w:sz w:val="18"/>
                <w:szCs w:val="18"/>
              </w:rPr>
              <w:t xml:space="preserve">13</w:t>
            </w:r>
          </w:p>
        </w:tc>
        <w:tc>
          <w:tcPr>
            <w:tcW w:type="dxa" w:w="2978"/>
            <w:tcMar>
              <w:top w:type="dxa" w:w="70"/>
              <w:left w:type="dxa" w:w="110"/>
              <w:bottom w:type="dxa" w:w="70"/>
              <w:right w:type="dxa" w:w="110"/>
            </w:tcMar>
          </w:tcPr>
          <w:p>
            <w:pPr>
              <w:spacing w:after="0" w:line="252"/>
            </w:pPr>
            <w:r>
              <w:rPr>
                <w:b w:val="false"/>
                <w:bCs w:val="false"/>
                <w:sz w:val="18"/>
                <w:szCs w:val="18"/>
              </w:rPr>
              <w:t xml:space="preserve">15,6 M€</w:t>
            </w:r>
          </w:p>
        </w:tc>
      </w:tr>
      <w:tr>
        <w:tc>
          <w:tcPr>
            <w:tcW w:type="dxa" w:w="3069"/>
            <w:shd w:fill="F2F2F2" w:val="clear"/>
            <w:tcMar>
              <w:top w:type="dxa" w:w="70"/>
              <w:left w:type="dxa" w:w="110"/>
              <w:bottom w:type="dxa" w:w="70"/>
              <w:right w:type="dxa" w:w="110"/>
            </w:tcMar>
          </w:tcPr>
          <w:p>
            <w:pPr>
              <w:spacing w:after="0" w:line="252"/>
            </w:pPr>
            <w:r>
              <w:rPr>
                <w:b w:val="false"/>
                <w:bCs w:val="false"/>
                <w:sz w:val="18"/>
                <w:szCs w:val="18"/>
              </w:rPr>
              <w:t xml:space="preserve">6 meses</w:t>
            </w:r>
          </w:p>
        </w:tc>
        <w:tc>
          <w:tcPr>
            <w:tcW w:type="dxa" w:w="2979"/>
            <w:shd w:fill="F2F2F2" w:val="clear"/>
            <w:tcMar>
              <w:top w:type="dxa" w:w="70"/>
              <w:left w:type="dxa" w:w="110"/>
              <w:bottom w:type="dxa" w:w="70"/>
              <w:right w:type="dxa" w:w="110"/>
            </w:tcMar>
          </w:tcPr>
          <w:p>
            <w:pPr>
              <w:spacing w:after="0" w:line="252"/>
            </w:pPr>
            <w:r>
              <w:rPr>
                <w:b w:val="false"/>
                <w:bCs w:val="false"/>
                <w:sz w:val="18"/>
                <w:szCs w:val="18"/>
              </w:rPr>
              <w:t xml:space="preserve">28</w:t>
            </w:r>
          </w:p>
        </w:tc>
        <w:tc>
          <w:tcPr>
            <w:tcW w:type="dxa" w:w="2978"/>
            <w:shd w:fill="F2F2F2" w:val="clear"/>
            <w:tcMar>
              <w:top w:type="dxa" w:w="70"/>
              <w:left w:type="dxa" w:w="110"/>
              <w:bottom w:type="dxa" w:w="70"/>
              <w:right w:type="dxa" w:w="110"/>
            </w:tcMar>
          </w:tcPr>
          <w:p>
            <w:pPr>
              <w:spacing w:after="0" w:line="252"/>
            </w:pPr>
            <w:r>
              <w:rPr>
                <w:b w:val="false"/>
                <w:bCs w:val="false"/>
                <w:sz w:val="18"/>
                <w:szCs w:val="18"/>
              </w:rPr>
              <w:t xml:space="preserve">38,7 M€</w:t>
            </w:r>
          </w:p>
        </w:tc>
      </w:tr>
      <w:tr>
        <w:tc>
          <w:tcPr>
            <w:tcW w:type="dxa" w:w="3069"/>
            <w:tcMar>
              <w:top w:type="dxa" w:w="70"/>
              <w:left w:type="dxa" w:w="110"/>
              <w:bottom w:type="dxa" w:w="70"/>
              <w:right w:type="dxa" w:w="110"/>
            </w:tcMar>
          </w:tcPr>
          <w:p>
            <w:pPr>
              <w:spacing w:after="0" w:line="252"/>
            </w:pPr>
            <w:r>
              <w:rPr>
                <w:b w:val="false"/>
                <w:bCs w:val="false"/>
                <w:sz w:val="18"/>
                <w:szCs w:val="18"/>
              </w:rPr>
              <w:t xml:space="preserve">12 meses</w:t>
            </w:r>
          </w:p>
        </w:tc>
        <w:tc>
          <w:tcPr>
            <w:tcW w:type="dxa" w:w="2979"/>
            <w:tcMar>
              <w:top w:type="dxa" w:w="70"/>
              <w:left w:type="dxa" w:w="110"/>
              <w:bottom w:type="dxa" w:w="70"/>
              <w:right w:type="dxa" w:w="110"/>
            </w:tcMar>
          </w:tcPr>
          <w:p>
            <w:pPr>
              <w:spacing w:after="0" w:line="252"/>
            </w:pPr>
            <w:r>
              <w:rPr>
                <w:b w:val="false"/>
                <w:bCs w:val="false"/>
                <w:sz w:val="18"/>
                <w:szCs w:val="18"/>
              </w:rPr>
              <w:t xml:space="preserve">37</w:t>
            </w:r>
          </w:p>
        </w:tc>
        <w:tc>
          <w:tcPr>
            <w:tcW w:type="dxa" w:w="2978"/>
            <w:tcMar>
              <w:top w:type="dxa" w:w="70"/>
              <w:left w:type="dxa" w:w="110"/>
              <w:bottom w:type="dxa" w:w="70"/>
              <w:right w:type="dxa" w:w="110"/>
            </w:tcMar>
          </w:tcPr>
          <w:p>
            <w:pPr>
              <w:spacing w:after="0" w:line="252"/>
            </w:pPr>
            <w:r>
              <w:rPr>
                <w:b w:val="false"/>
                <w:bCs w:val="false"/>
                <w:sz w:val="18"/>
                <w:szCs w:val="18"/>
              </w:rPr>
              <w:t xml:space="preserve">44,1 M€</w:t>
            </w:r>
          </w:p>
        </w:tc>
      </w:tr>
      <w:tr>
        <w:tc>
          <w:tcPr>
            <w:tcW w:type="dxa" w:w="3069"/>
            <w:shd w:fill="F2F2F2" w:val="clear"/>
            <w:tcMar>
              <w:top w:type="dxa" w:w="70"/>
              <w:left w:type="dxa" w:w="110"/>
              <w:bottom w:type="dxa" w:w="70"/>
              <w:right w:type="dxa" w:w="110"/>
            </w:tcMar>
          </w:tcPr>
          <w:p>
            <w:pPr>
              <w:spacing w:after="0" w:line="252"/>
            </w:pPr>
            <w:r>
              <w:rPr>
                <w:b w:val="false"/>
                <w:bCs w:val="false"/>
                <w:sz w:val="18"/>
                <w:szCs w:val="18"/>
              </w:rPr>
              <w:t xml:space="preserve">24 meses</w:t>
            </w:r>
          </w:p>
        </w:tc>
        <w:tc>
          <w:tcPr>
            <w:tcW w:type="dxa" w:w="2979"/>
            <w:shd w:fill="F2F2F2" w:val="clear"/>
            <w:tcMar>
              <w:top w:type="dxa" w:w="70"/>
              <w:left w:type="dxa" w:w="110"/>
              <w:bottom w:type="dxa" w:w="70"/>
              <w:right w:type="dxa" w:w="110"/>
            </w:tcMar>
          </w:tcPr>
          <w:p>
            <w:pPr>
              <w:spacing w:after="0" w:line="252"/>
            </w:pPr>
            <w:r>
              <w:rPr>
                <w:b w:val="false"/>
                <w:bCs w:val="false"/>
                <w:sz w:val="18"/>
                <w:szCs w:val="18"/>
              </w:rPr>
              <w:t xml:space="preserve">69</w:t>
            </w:r>
          </w:p>
        </w:tc>
        <w:tc>
          <w:tcPr>
            <w:tcW w:type="dxa" w:w="2978"/>
            <w:shd w:fill="F2F2F2" w:val="clear"/>
            <w:tcMar>
              <w:top w:type="dxa" w:w="70"/>
              <w:left w:type="dxa" w:w="110"/>
              <w:bottom w:type="dxa" w:w="70"/>
              <w:right w:type="dxa" w:w="110"/>
            </w:tcMar>
          </w:tcPr>
          <w:p>
            <w:pPr>
              <w:spacing w:after="0" w:line="252"/>
            </w:pPr>
            <w:r>
              <w:rPr>
                <w:b w:val="false"/>
                <w:bCs w:val="false"/>
                <w:sz w:val="18"/>
                <w:szCs w:val="18"/>
              </w:rPr>
              <w:t xml:space="preserve">72,1 M€</w:t>
            </w:r>
          </w:p>
        </w:tc>
      </w:tr>
    </w:tbl>
    <w:p>
      <w:pPr>
        <w:spacing w:after="120"/>
      </w:pPr>
      <w:r>
        <w:t xml:space="preserve"/>
      </w:r>
    </w:p>
    <w:p>
      <w:pPr>
        <w:spacing w:after="140" w:line="276"/>
      </w:pPr>
      <w:r>
        <w:t xml:space="preserve">La fecha de fin se obtiene de la fecha explícita publicada por la fuente o, en su defecto, se calcula sumando la duración del contrato a su fecha de inicio o adjudicación. Si la fuente no publica ninguno de esos datos, la licitación no aparece en esta vista: se prefiere no mostrarla antes que mostrar una fecha estimada sobre la que se llamaría a un cliente.</w:t>
      </w:r>
    </w:p>
    <w:p>
      <w:pPr>
        <w:pStyle w:val="Heading2"/>
        <w:spacing w:after="120" w:before="240"/>
      </w:pPr>
      <w:r>
        <w:rPr>
          <w:b/>
          <w:bCs/>
          <w:color w:val="1F4E79"/>
          <w:sz w:val="24"/>
          <w:szCs w:val="24"/>
        </w:rPr>
        <w:t xml:space="preserve">2.3 Competencia: contra quién se compite</w:t>
      </w:r>
    </w:p>
    <w:p>
      <w:pPr>
        <w:spacing w:after="140" w:line="276"/>
      </w:pPr>
      <w:r>
        <w:t xml:space="preserve">Ranking de las empresas que se están llevando estos contratos, con el número de contratos, el importe acumulado y en cuántos organismos distintos operan. Al pulsar una empresa se despliega el detalle de sus contratos con enlace a cada expediente.</w:t>
      </w:r>
    </w:p>
    <w:p>
      <w:pPr>
        <w:spacing w:after="140" w:line="276"/>
      </w:pPr>
      <w:r>
        <w:t xml:space="preserve">Las variantes de razón social se agrupan automáticamente, porque las administraciones escriben el mismo proveedor de formas distintas: «S2 GRUPO SOLUCIONES DE SEGURIDAD, S.L.U.» y «S2 Grupo Soluciones de Seguridad S.L.» son la misma empresa y sin normalizar aparecían como dos. Los tres primeros del ranking actual son Telefónica Soluciones (36 contratos), S2 Grupo (16) y Babel Sistemas de Información (13).</w:t>
      </w:r>
    </w:p>
    <w:p>
      <w:pPr>
        <w:pStyle w:val="Heading2"/>
        <w:spacing w:after="120" w:before="240"/>
      </w:pPr>
      <w:r>
        <w:rPr>
          <w:b/>
          <w:bCs/>
          <w:color w:val="1F4E79"/>
          <w:sz w:val="24"/>
          <w:szCs w:val="24"/>
        </w:rPr>
        <w:t xml:space="preserve">2.4 Términos de búsqueda: ajustar el filtro</w:t>
      </w:r>
    </w:p>
    <w:p>
      <w:pPr>
        <w:spacing w:after="140" w:line="276"/>
      </w:pPr>
      <w:r>
        <w:t xml:space="preserve">Pantalla de configuración de los perfiles de búsqueda, sin necesidad de editar ficheros. Cada perfil tiene una caja por tipo de término, importe mínimo y activación. Antes de guardar, la función de previsualización recorre todo lo descargado y responde cuántas licitaciones entrarían y saldrían con los términos nuevos, con ejemplos concretos de ambas.</w:t>
      </w:r>
    </w:p>
    <w:p>
      <w:pPr>
        <w:spacing w:after="140" w:line="276"/>
      </w:pPr>
      <w:r>
        <w:t xml:space="preserve">Esa previsualización no es un adorno: modificar un término a ciegas sobre más de cien mil registros es la vía más rápida para llenar la bandeja de ruido y dejar de usar la herramienta. Al guardar se conserva una copia del fichero anterior y se reevalúa todo lo descargado sin volver a descargar nada.</w:t>
      </w:r>
    </w:p>
    <w:p>
      <w:pPr>
        <w:pStyle w:val="Heading2"/>
        <w:spacing w:after="120" w:before="240"/>
      </w:pPr>
      <w:r>
        <w:rPr>
          <w:b/>
          <w:bCs/>
          <w:color w:val="1F4E79"/>
          <w:sz w:val="24"/>
          <w:szCs w:val="24"/>
        </w:rPr>
        <w:t xml:space="preserve">2.5 Actualización de los datos</w:t>
      </w:r>
    </w:p>
    <w:p>
      <w:pPr>
        <w:pStyle w:val="ListParagraph"/>
        <w:numPr>
          <w:ilvl w:val="0"/>
          <w:numId w:val="2"/>
        </w:numPr>
        <w:spacing w:after="80" w:line="276"/>
      </w:pPr>
      <w:r>
        <w:rPr>
          <w:b/>
          <w:bCs/>
        </w:rPr>
        <w:t xml:space="preserve">Botón «Buscar ahora». </w:t>
      </w:r>
      <w:r>
        <w:t xml:space="preserve">Lanza la descarga en segundo plano mostrando el progreso por fuente, sin bloquear la interfaz. Junto al botón se indica la fecha y hora de la última búsqueda correcta.</w:t>
      </w:r>
    </w:p>
    <w:p>
      <w:pPr>
        <w:pStyle w:val="ListParagraph"/>
        <w:numPr>
          <w:ilvl w:val="0"/>
          <w:numId w:val="2"/>
        </w:numPr>
        <w:spacing w:after="80" w:line="276"/>
      </w:pPr>
      <w:r>
        <w:rPr>
          <w:b/>
          <w:bCs/>
        </w:rPr>
        <w:t xml:space="preserve">Tarea programada. </w:t>
      </w:r>
      <w:r>
        <w:t xml:space="preserve">Opcionalmente se instala una tarea de macOS que descarga las novedades cada mañana. Un cerrojo impide que la tarea automática y el botón se solapen, ya que dos procesos escribiendo a la vez competirían por el bloqueo de la base de datos.</w:t>
      </w:r>
    </w:p>
    <w:p>
      <w:pPr>
        <w:pStyle w:val="ListParagraph"/>
        <w:numPr>
          <w:ilvl w:val="0"/>
          <w:numId w:val="2"/>
        </w:numPr>
        <w:spacing w:after="80" w:line="276"/>
      </w:pPr>
      <w:r>
        <w:rPr>
          <w:b/>
          <w:bCs/>
        </w:rPr>
        <w:t xml:space="preserve">Salud de las fuentes. </w:t>
      </w:r>
      <w:r>
        <w:t xml:space="preserve">La aplicación avisa cuando una fuente falla o deja de devolver registros. Sin ese aviso, «esta semana no hay licitaciones» y «el conector está roto» resultan indistinguibles.</w:t>
      </w:r>
    </w:p>
    <w:p>
      <w:pPr>
        <w:pStyle w:val="Heading1"/>
        <w:pageBreakBefore/>
        <w:pBdr>
          <w:bottom w:val="single" w:color="DCE6F1" w:sz="6" w:space="6"/>
        </w:pBdr>
        <w:spacing w:after="160" w:before="320"/>
      </w:pPr>
      <w:r>
        <w:rPr>
          <w:b/>
          <w:bCs/>
          <w:color w:val="1F4E79"/>
          <w:sz w:val="30"/>
          <w:szCs w:val="30"/>
        </w:rPr>
        <w:t xml:space="preserve">3. Fuentes de datos</w:t>
      </w:r>
    </w:p>
    <w:p>
      <w:pPr>
        <w:spacing w:after="140" w:line="276"/>
      </w:pPr>
      <w:r>
        <w:t xml:space="preserve">El sistema integra cinco fuentes oficiales. Cada conector es independiente: si una plataforma cambia su formato o deja de responder, el resto de la ingesta continúa y la aplicación lo refleja.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1986"/>
        <w:gridCol w:w="4693"/>
      </w:tblGrid>
      <w:tr>
        <w:trPr>
          <w:tblHeader/>
        </w:trPr>
        <w:tc>
          <w:tcPr>
            <w:tcW w:type="dxa" w:w="2347"/>
            <w:shd w:fill="DCE6F1" w:val="clear"/>
            <w:tcMar>
              <w:top w:type="dxa" w:w="70"/>
              <w:left w:type="dxa" w:w="110"/>
              <w:bottom w:type="dxa" w:w="70"/>
              <w:right w:type="dxa" w:w="110"/>
            </w:tcMar>
          </w:tcPr>
          <w:p>
            <w:pPr>
              <w:spacing w:after="0" w:line="252"/>
            </w:pPr>
            <w:r>
              <w:rPr>
                <w:b/>
                <w:bCs/>
                <w:color w:val="1F4E79"/>
                <w:sz w:val="18"/>
                <w:szCs w:val="18"/>
              </w:rPr>
              <w:t xml:space="preserve">Fuente</w:t>
            </w:r>
          </w:p>
        </w:tc>
        <w:tc>
          <w:tcPr>
            <w:tcW w:type="dxa" w:w="1986"/>
            <w:shd w:fill="DCE6F1" w:val="clear"/>
            <w:tcMar>
              <w:top w:type="dxa" w:w="70"/>
              <w:left w:type="dxa" w:w="110"/>
              <w:bottom w:type="dxa" w:w="70"/>
              <w:right w:type="dxa" w:w="110"/>
            </w:tcMar>
          </w:tcPr>
          <w:p>
            <w:pPr>
              <w:spacing w:after="0" w:line="252"/>
            </w:pPr>
            <w:r>
              <w:rPr>
                <w:b/>
                <w:bCs/>
                <w:color w:val="1F4E79"/>
                <w:sz w:val="18"/>
                <w:szCs w:val="18"/>
              </w:rPr>
              <w:t xml:space="preserve">Acceso técnico</w:t>
            </w:r>
          </w:p>
        </w:tc>
        <w:tc>
          <w:tcPr>
            <w:tcW w:type="dxa" w:w="4693"/>
            <w:shd w:fill="DCE6F1" w:val="clear"/>
            <w:tcMar>
              <w:top w:type="dxa" w:w="70"/>
              <w:left w:type="dxa" w:w="110"/>
              <w:bottom w:type="dxa" w:w="70"/>
              <w:right w:type="dxa" w:w="110"/>
            </w:tcMar>
          </w:tcPr>
          <w:p>
            <w:pPr>
              <w:spacing w:after="0" w:line="252"/>
            </w:pPr>
            <w:r>
              <w:rPr>
                <w:b/>
                <w:bCs/>
                <w:color w:val="1F4E79"/>
                <w:sz w:val="18"/>
                <w:szCs w:val="18"/>
              </w:rPr>
              <w:t xml:space="preserve">Aporta</w:t>
            </w:r>
          </w:p>
        </w:tc>
      </w:tr>
      <w:tr>
        <w:tc>
          <w:tcPr>
            <w:tcW w:type="dxa" w:w="2347"/>
            <w:tcMar>
              <w:top w:type="dxa" w:w="70"/>
              <w:left w:type="dxa" w:w="110"/>
              <w:bottom w:type="dxa" w:w="70"/>
              <w:right w:type="dxa" w:w="110"/>
            </w:tcMar>
          </w:tcPr>
          <w:p>
            <w:pPr>
              <w:spacing w:after="0" w:line="252"/>
            </w:pPr>
            <w:r>
              <w:rPr>
                <w:b w:val="false"/>
                <w:bCs w:val="false"/>
                <w:sz w:val="18"/>
                <w:szCs w:val="18"/>
              </w:rPr>
              <w:t xml:space="preserve">PLACSP — licitaciones</w:t>
            </w:r>
          </w:p>
        </w:tc>
        <w:tc>
          <w:tcPr>
            <w:tcW w:type="dxa" w:w="1986"/>
            <w:tcMar>
              <w:top w:type="dxa" w:w="70"/>
              <w:left w:type="dxa" w:w="110"/>
              <w:bottom w:type="dxa" w:w="70"/>
              <w:right w:type="dxa" w:w="110"/>
            </w:tcMar>
          </w:tcPr>
          <w:p>
            <w:pPr>
              <w:spacing w:after="0" w:line="252"/>
            </w:pPr>
            <w:r>
              <w:rPr>
                <w:b w:val="false"/>
                <w:bCs w:val="false"/>
                <w:sz w:val="18"/>
                <w:szCs w:val="18"/>
              </w:rPr>
              <w:t xml:space="preserve">ATOM / CODICE 2.07</w:t>
            </w:r>
          </w:p>
        </w:tc>
        <w:tc>
          <w:tcPr>
            <w:tcW w:type="dxa" w:w="4693"/>
            <w:tcMar>
              <w:top w:type="dxa" w:w="70"/>
              <w:left w:type="dxa" w:w="110"/>
              <w:bottom w:type="dxa" w:w="70"/>
              <w:right w:type="dxa" w:w="110"/>
            </w:tcMar>
          </w:tcPr>
          <w:p>
            <w:pPr>
              <w:spacing w:after="0" w:line="252"/>
            </w:pPr>
            <w:r>
              <w:rPr>
                <w:b w:val="false"/>
                <w:bCs w:val="false"/>
                <w:sz w:val="18"/>
                <w:szCs w:val="18"/>
              </w:rPr>
              <w:t xml:space="preserve">Estado, comunidades autónomas y la mayoría de entidades locales</w:t>
            </w:r>
          </w:p>
        </w:tc>
      </w:tr>
      <w:tr>
        <w:tc>
          <w:tcPr>
            <w:tcW w:type="dxa" w:w="2347"/>
            <w:shd w:fill="F2F2F2" w:val="clear"/>
            <w:tcMar>
              <w:top w:type="dxa" w:w="70"/>
              <w:left w:type="dxa" w:w="110"/>
              <w:bottom w:type="dxa" w:w="70"/>
              <w:right w:type="dxa" w:w="110"/>
            </w:tcMar>
          </w:tcPr>
          <w:p>
            <w:pPr>
              <w:spacing w:after="0" w:line="252"/>
            </w:pPr>
            <w:r>
              <w:rPr>
                <w:b w:val="false"/>
                <w:bCs w:val="false"/>
                <w:sz w:val="18"/>
                <w:szCs w:val="18"/>
              </w:rPr>
              <w:t xml:space="preserve">PLACSP — plataformas agregadas</w:t>
            </w:r>
          </w:p>
        </w:tc>
        <w:tc>
          <w:tcPr>
            <w:tcW w:type="dxa" w:w="1986"/>
            <w:shd w:fill="F2F2F2" w:val="clear"/>
            <w:tcMar>
              <w:top w:type="dxa" w:w="70"/>
              <w:left w:type="dxa" w:w="110"/>
              <w:bottom w:type="dxa" w:w="70"/>
              <w:right w:type="dxa" w:w="110"/>
            </w:tcMar>
          </w:tcPr>
          <w:p>
            <w:pPr>
              <w:spacing w:after="0" w:line="252"/>
            </w:pPr>
            <w:r>
              <w:rPr>
                <w:b w:val="false"/>
                <w:bCs w:val="false"/>
                <w:sz w:val="18"/>
                <w:szCs w:val="18"/>
              </w:rPr>
              <w:t xml:space="preserve">ATOM / CODICE 2.07</w:t>
            </w:r>
          </w:p>
        </w:tc>
        <w:tc>
          <w:tcPr>
            <w:tcW w:type="dxa" w:w="4693"/>
            <w:shd w:fill="F2F2F2" w:val="clear"/>
            <w:tcMar>
              <w:top w:type="dxa" w:w="70"/>
              <w:left w:type="dxa" w:w="110"/>
              <w:bottom w:type="dxa" w:w="70"/>
              <w:right w:type="dxa" w:w="110"/>
            </w:tcMar>
          </w:tcPr>
          <w:p>
            <w:pPr>
              <w:spacing w:after="0" w:line="252"/>
            </w:pPr>
            <w:r>
              <w:rPr>
                <w:b w:val="false"/>
                <w:bCs w:val="false"/>
                <w:sz w:val="18"/>
                <w:szCs w:val="18"/>
              </w:rPr>
              <w:t xml:space="preserve">País Vasco, Navarra y Galicia, además de Cataluña, Andalucía y Madrid</w:t>
            </w:r>
          </w:p>
        </w:tc>
      </w:tr>
      <w:tr>
        <w:tc>
          <w:tcPr>
            <w:tcW w:type="dxa" w:w="2347"/>
            <w:tcMar>
              <w:top w:type="dxa" w:w="70"/>
              <w:left w:type="dxa" w:w="110"/>
              <w:bottom w:type="dxa" w:w="70"/>
              <w:right w:type="dxa" w:w="110"/>
            </w:tcMar>
          </w:tcPr>
          <w:p>
            <w:pPr>
              <w:spacing w:after="0" w:line="252"/>
            </w:pPr>
            <w:r>
              <w:rPr>
                <w:b w:val="false"/>
                <w:bCs w:val="false"/>
                <w:sz w:val="18"/>
                <w:szCs w:val="18"/>
              </w:rPr>
              <w:t xml:space="preserve">PLACSP — consultas preliminares</w:t>
            </w:r>
          </w:p>
        </w:tc>
        <w:tc>
          <w:tcPr>
            <w:tcW w:type="dxa" w:w="1986"/>
            <w:tcMar>
              <w:top w:type="dxa" w:w="70"/>
              <w:left w:type="dxa" w:w="110"/>
              <w:bottom w:type="dxa" w:w="70"/>
              <w:right w:type="dxa" w:w="110"/>
            </w:tcMar>
          </w:tcPr>
          <w:p>
            <w:pPr>
              <w:spacing w:after="0" w:line="252"/>
            </w:pPr>
            <w:r>
              <w:rPr>
                <w:b w:val="false"/>
                <w:bCs w:val="false"/>
                <w:sz w:val="18"/>
                <w:szCs w:val="18"/>
              </w:rPr>
              <w:t xml:space="preserve">ATOM / CODICE 2.07</w:t>
            </w:r>
          </w:p>
        </w:tc>
        <w:tc>
          <w:tcPr>
            <w:tcW w:type="dxa" w:w="4693"/>
            <w:tcMar>
              <w:top w:type="dxa" w:w="70"/>
              <w:left w:type="dxa" w:w="110"/>
              <w:bottom w:type="dxa" w:w="70"/>
              <w:right w:type="dxa" w:w="110"/>
            </w:tcMar>
          </w:tcPr>
          <w:p>
            <w:pPr>
              <w:spacing w:after="0" w:line="252"/>
            </w:pPr>
            <w:r>
              <w:rPr>
                <w:b w:val="false"/>
                <w:bCs w:val="false"/>
                <w:sz w:val="18"/>
                <w:szCs w:val="18"/>
              </w:rPr>
              <w:t xml:space="preserve">La fase previa al pliego, donde aún se puede influir</w:t>
            </w:r>
          </w:p>
        </w:tc>
      </w:tr>
      <w:tr>
        <w:tc>
          <w:tcPr>
            <w:tcW w:type="dxa" w:w="2347"/>
            <w:shd w:fill="F2F2F2" w:val="clear"/>
            <w:tcMar>
              <w:top w:type="dxa" w:w="70"/>
              <w:left w:type="dxa" w:w="110"/>
              <w:bottom w:type="dxa" w:w="70"/>
              <w:right w:type="dxa" w:w="110"/>
            </w:tcMar>
          </w:tcPr>
          <w:p>
            <w:pPr>
              <w:spacing w:after="0" w:line="252"/>
            </w:pPr>
            <w:r>
              <w:rPr>
                <w:b w:val="false"/>
                <w:bCs w:val="false"/>
                <w:sz w:val="18"/>
                <w:szCs w:val="18"/>
              </w:rPr>
              <w:t xml:space="preserve">TED (Unión Europea)</w:t>
            </w:r>
          </w:p>
        </w:tc>
        <w:tc>
          <w:tcPr>
            <w:tcW w:type="dxa" w:w="1986"/>
            <w:shd w:fill="F2F2F2" w:val="clear"/>
            <w:tcMar>
              <w:top w:type="dxa" w:w="70"/>
              <w:left w:type="dxa" w:w="110"/>
              <w:bottom w:type="dxa" w:w="70"/>
              <w:right w:type="dxa" w:w="110"/>
            </w:tcMar>
          </w:tcPr>
          <w:p>
            <w:pPr>
              <w:spacing w:after="0" w:line="252"/>
            </w:pPr>
            <w:r>
              <w:rPr>
                <w:b w:val="false"/>
                <w:bCs w:val="false"/>
                <w:sz w:val="18"/>
                <w:szCs w:val="18"/>
              </w:rPr>
              <w:t xml:space="preserve">Search API v3 (REST)</w:t>
            </w:r>
          </w:p>
        </w:tc>
        <w:tc>
          <w:tcPr>
            <w:tcW w:type="dxa" w:w="4693"/>
            <w:shd w:fill="F2F2F2" w:val="clear"/>
            <w:tcMar>
              <w:top w:type="dxa" w:w="70"/>
              <w:left w:type="dxa" w:w="110"/>
              <w:bottom w:type="dxa" w:w="70"/>
              <w:right w:type="dxa" w:w="110"/>
            </w:tcMar>
          </w:tcPr>
          <w:p>
            <w:pPr>
              <w:spacing w:after="0" w:line="252"/>
            </w:pPr>
            <w:r>
              <w:rPr>
                <w:b w:val="false"/>
                <w:bCs w:val="false"/>
                <w:sz w:val="18"/>
                <w:szCs w:val="18"/>
              </w:rPr>
              <w:t xml:space="preserve">Contratos sobre umbral europeo y anuncios de adjudicación</w:t>
            </w:r>
          </w:p>
        </w:tc>
      </w:tr>
      <w:tr>
        <w:tc>
          <w:tcPr>
            <w:tcW w:type="dxa" w:w="2347"/>
            <w:tcMar>
              <w:top w:type="dxa" w:w="70"/>
              <w:left w:type="dxa" w:w="110"/>
              <w:bottom w:type="dxa" w:w="70"/>
              <w:right w:type="dxa" w:w="110"/>
            </w:tcMar>
          </w:tcPr>
          <w:p>
            <w:pPr>
              <w:spacing w:after="0" w:line="252"/>
            </w:pPr>
            <w:r>
              <w:rPr>
                <w:b w:val="false"/>
                <w:bCs w:val="false"/>
                <w:sz w:val="18"/>
                <w:szCs w:val="18"/>
              </w:rPr>
              <w:t xml:space="preserve">Cataluña</w:t>
            </w:r>
          </w:p>
        </w:tc>
        <w:tc>
          <w:tcPr>
            <w:tcW w:type="dxa" w:w="1986"/>
            <w:tcMar>
              <w:top w:type="dxa" w:w="70"/>
              <w:left w:type="dxa" w:w="110"/>
              <w:bottom w:type="dxa" w:w="70"/>
              <w:right w:type="dxa" w:w="110"/>
            </w:tcMar>
          </w:tcPr>
          <w:p>
            <w:pPr>
              <w:spacing w:after="0" w:line="252"/>
            </w:pPr>
            <w:r>
              <w:rPr>
                <w:b w:val="false"/>
                <w:bCs w:val="false"/>
                <w:sz w:val="18"/>
                <w:szCs w:val="18"/>
              </w:rPr>
              <w:t xml:space="preserve">API Socrata (SoQL)</w:t>
            </w:r>
          </w:p>
        </w:tc>
        <w:tc>
          <w:tcPr>
            <w:tcW w:type="dxa" w:w="4693"/>
            <w:tcMar>
              <w:top w:type="dxa" w:w="70"/>
              <w:left w:type="dxa" w:w="110"/>
              <w:bottom w:type="dxa" w:w="70"/>
              <w:right w:type="dxa" w:w="110"/>
            </w:tcMar>
          </w:tcPr>
          <w:p>
            <w:pPr>
              <w:spacing w:after="0" w:line="252"/>
            </w:pPr>
            <w:r>
              <w:rPr>
                <w:b w:val="false"/>
                <w:bCs w:val="false"/>
                <w:sz w:val="18"/>
                <w:szCs w:val="18"/>
              </w:rPr>
              <w:t xml:space="preserve">Su plataforma propia, con duración de contrato, lotes y adjudicatario</w:t>
            </w:r>
          </w:p>
        </w:tc>
      </w:tr>
    </w:tbl>
    <w:p>
      <w:pPr>
        <w:spacing w:after="120"/>
      </w:pPr>
      <w:r>
        <w:t xml:space="preserve"/>
      </w:r>
    </w:p>
    <w:p>
      <w:pPr>
        <w:spacing w:after="140" w:line="276"/>
      </w:pPr>
      <w:r>
        <w:rPr>
          <w:b/>
          <w:bCs/>
        </w:rPr>
        <w:t xml:space="preserve">Consultas preliminares de mercado. </w:t>
      </w:r>
      <w:r>
        <w:t xml:space="preserve">Merecen mención propia por su valor comercial: son la administración preguntando al mercado antes de redactar el pliego. En esa fase se puede influir en los requisitos; cuando el anuncio se publica, ya solo queda competir.</w:t>
      </w:r>
    </w:p>
    <w:p>
      <w:pPr>
        <w:pStyle w:val="Heading2"/>
        <w:spacing w:after="120" w:before="240"/>
      </w:pPr>
      <w:r>
        <w:rPr>
          <w:b/>
          <w:bCs/>
          <w:color w:val="1F4E79"/>
          <w:sz w:val="24"/>
          <w:szCs w:val="24"/>
        </w:rPr>
        <w:t xml:space="preserve">3.1 Filtrado en origen frente a filtrado local</w:t>
      </w:r>
    </w:p>
    <w:p>
      <w:pPr>
        <w:spacing w:after="140" w:line="276"/>
      </w:pPr>
      <w:r>
        <w:t xml:space="preserve">TED y Cataluña permiten filtrar en su servidor, así que se les envía únicamente un subconjunto de términos discriminantes. La elección se hizo midiendo: enviar también los términos ambiguos hacía que TED devolviera casi 6.000 avisos, y añadir las palabras de contexto lo elevaba a más de 12.000, para quedarse en los mismos resultados útiles. Con términos discriminantes la consulta devuelve unos cientos. PLACSP no ofrece filtrado, de modo que se descarga completa y se filtra en local.</w:t>
      </w:r>
    </w:p>
    <w:p>
      <w:pPr>
        <w:pStyle w:val="Heading1"/>
        <w:pageBreakBefore/>
        <w:pBdr>
          <w:bottom w:val="single" w:color="DCE6F1" w:sz="6" w:space="6"/>
        </w:pBdr>
        <w:spacing w:after="160" w:before="320"/>
      </w:pPr>
      <w:r>
        <w:rPr>
          <w:b/>
          <w:bCs/>
          <w:color w:val="1F4E79"/>
          <w:sz w:val="30"/>
          <w:szCs w:val="30"/>
        </w:rPr>
        <w:t xml:space="preserve">4. Cómo decide qué interesa</w:t>
      </w:r>
    </w:p>
    <w:p>
      <w:pPr>
        <w:spacing w:after="140" w:line="276"/>
      </w:pPr>
      <w:r>
        <w:t xml:space="preserve">Es el componente que determina si la herramienta resulta útil o se abandona. El diseño responde a dos hallazgos medidos sobre datos reales.</w:t>
      </w:r>
    </w:p>
    <w:p>
      <w:pPr>
        <w:spacing w:after="140" w:line="276"/>
      </w:pPr>
      <w:r>
        <w:rPr>
          <w:b/>
          <w:bCs/>
        </w:rPr>
        <w:t xml:space="preserve">El código CPV no basta. </w:t>
      </w:r>
      <w:r>
        <w:t xml:space="preserve">De cinco licitaciones de concienciación verificadas en Cataluña, aparecían clasificadas con los CPV 80511000, 80510000, 79341000, 71316000 y una sin CPV alguno. Filtrar por CPV habría perdido cuatro de las cinco.</w:t>
      </w:r>
    </w:p>
    <w:p>
      <w:pPr>
        <w:spacing w:after="140" w:line="276"/>
      </w:pPr>
      <w:r>
        <w:rPr>
          <w:b/>
          <w:bCs/>
        </w:rPr>
        <w:t xml:space="preserve">El texto libre por sí solo tampoco. </w:t>
      </w:r>
      <w:r>
        <w:t xml:space="preserve">Buscar «concienciación» trae campañas de feminización de la pobreza, seguridad vial, consumo responsable y prevención de riesgos laborales.</w:t>
      </w:r>
    </w:p>
    <w:p>
      <w:pPr>
        <w:pStyle w:val="Heading2"/>
        <w:spacing w:after="120" w:before="240"/>
      </w:pPr>
      <w:r>
        <w:rPr>
          <w:b/>
          <w:bCs/>
          <w:color w:val="1F4E79"/>
          <w:sz w:val="24"/>
          <w:szCs w:val="24"/>
        </w:rPr>
        <w:t xml:space="preserve">4.1 Modelo de tres niveles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DCE6F1" w:val="clear"/>
            <w:tcMar>
              <w:top w:type="dxa" w:w="70"/>
              <w:left w:type="dxa" w:w="110"/>
              <w:bottom w:type="dxa" w:w="70"/>
              <w:right w:type="dxa" w:w="110"/>
            </w:tcMar>
          </w:tcPr>
          <w:p>
            <w:pPr>
              <w:spacing w:after="0" w:line="252"/>
            </w:pPr>
            <w:r>
              <w:rPr>
                <w:b/>
                <w:bCs/>
                <w:color w:val="1F4E79"/>
                <w:sz w:val="18"/>
                <w:szCs w:val="18"/>
              </w:rPr>
              <w:t xml:space="preserve">Elemento</w:t>
            </w:r>
          </w:p>
        </w:tc>
        <w:tc>
          <w:tcPr>
            <w:tcW w:type="dxa" w:w="6679"/>
            <w:shd w:fill="DCE6F1" w:val="clear"/>
            <w:tcMar>
              <w:top w:type="dxa" w:w="70"/>
              <w:left w:type="dxa" w:w="110"/>
              <w:bottom w:type="dxa" w:w="70"/>
              <w:right w:type="dxa" w:w="110"/>
            </w:tcMar>
          </w:tcPr>
          <w:p>
            <w:pPr>
              <w:spacing w:after="0" w:line="252"/>
            </w:pPr>
            <w:r>
              <w:rPr>
                <w:b/>
                <w:bCs/>
                <w:color w:val="1F4E79"/>
                <w:sz w:val="18"/>
                <w:szCs w:val="18"/>
              </w:rPr>
              <w:t xml:space="preserve">Función</w:t>
            </w:r>
          </w:p>
        </w:tc>
      </w:tr>
      <w:tr>
        <w:tc>
          <w:tcPr>
            <w:tcW w:type="dxa" w:w="2347"/>
            <w:tcMar>
              <w:top w:type="dxa" w:w="70"/>
              <w:left w:type="dxa" w:w="110"/>
              <w:bottom w:type="dxa" w:w="70"/>
              <w:right w:type="dxa" w:w="110"/>
            </w:tcMar>
          </w:tcPr>
          <w:p>
            <w:pPr>
              <w:spacing w:after="0" w:line="252"/>
            </w:pPr>
            <w:r>
              <w:rPr>
                <w:b w:val="false"/>
                <w:bCs w:val="false"/>
                <w:sz w:val="18"/>
                <w:szCs w:val="18"/>
              </w:rPr>
              <w:t xml:space="preserve">Términos fuertes</w:t>
            </w:r>
          </w:p>
        </w:tc>
        <w:tc>
          <w:tcPr>
            <w:tcW w:type="dxa" w:w="6679"/>
            <w:tcMar>
              <w:top w:type="dxa" w:w="70"/>
              <w:left w:type="dxa" w:w="110"/>
              <w:bottom w:type="dxa" w:w="70"/>
              <w:right w:type="dxa" w:w="110"/>
            </w:tcMar>
          </w:tcPr>
          <w:p>
            <w:pPr>
              <w:spacing w:after="0" w:line="252"/>
            </w:pPr>
            <w:r>
              <w:rPr>
                <w:b w:val="false"/>
                <w:bCs w:val="false"/>
                <w:sz w:val="18"/>
                <w:szCs w:val="18"/>
              </w:rPr>
              <w:t xml:space="preserve">Se bastan solos: phishing, DMARC, ingeniería social, oficina de concienciación</w:t>
            </w:r>
          </w:p>
        </w:tc>
      </w:tr>
      <w:tr>
        <w:tc>
          <w:tcPr>
            <w:tcW w:type="dxa" w:w="2347"/>
            <w:shd w:fill="F2F2F2" w:val="clear"/>
            <w:tcMar>
              <w:top w:type="dxa" w:w="70"/>
              <w:left w:type="dxa" w:w="110"/>
              <w:bottom w:type="dxa" w:w="70"/>
              <w:right w:type="dxa" w:w="110"/>
            </w:tcMar>
          </w:tcPr>
          <w:p>
            <w:pPr>
              <w:spacing w:after="0" w:line="252"/>
            </w:pPr>
            <w:r>
              <w:rPr>
                <w:b w:val="false"/>
                <w:bCs w:val="false"/>
                <w:sz w:val="18"/>
                <w:szCs w:val="18"/>
              </w:rPr>
              <w:t xml:space="preserve">Términos ambiguos</w:t>
            </w:r>
          </w:p>
        </w:tc>
        <w:tc>
          <w:tcPr>
            <w:tcW w:type="dxa" w:w="6679"/>
            <w:shd w:fill="F2F2F2" w:val="clear"/>
            <w:tcMar>
              <w:top w:type="dxa" w:w="70"/>
              <w:left w:type="dxa" w:w="110"/>
              <w:bottom w:type="dxa" w:w="70"/>
              <w:right w:type="dxa" w:w="110"/>
            </w:tcMar>
          </w:tcPr>
          <w:p>
            <w:pPr>
              <w:spacing w:after="0" w:line="252"/>
            </w:pPr>
            <w:r>
              <w:rPr>
                <w:b w:val="false"/>
                <w:bCs w:val="false"/>
                <w:sz w:val="18"/>
                <w:szCs w:val="18"/>
              </w:rPr>
              <w:t xml:space="preserve">Solo entran si además aparece contexto: concienci, formación, sensibilización</w:t>
            </w:r>
          </w:p>
        </w:tc>
      </w:tr>
      <w:tr>
        <w:tc>
          <w:tcPr>
            <w:tcW w:type="dxa" w:w="2347"/>
            <w:tcMar>
              <w:top w:type="dxa" w:w="70"/>
              <w:left w:type="dxa" w:w="110"/>
              <w:bottom w:type="dxa" w:w="70"/>
              <w:right w:type="dxa" w:w="110"/>
            </w:tcMar>
          </w:tcPr>
          <w:p>
            <w:pPr>
              <w:spacing w:after="0" w:line="252"/>
            </w:pPr>
            <w:r>
              <w:rPr>
                <w:b w:val="false"/>
                <w:bCs w:val="false"/>
                <w:sz w:val="18"/>
                <w:szCs w:val="18"/>
              </w:rPr>
              <w:t xml:space="preserve">Contexto requerido</w:t>
            </w:r>
          </w:p>
        </w:tc>
        <w:tc>
          <w:tcPr>
            <w:tcW w:type="dxa" w:w="6679"/>
            <w:tcMar>
              <w:top w:type="dxa" w:w="70"/>
              <w:left w:type="dxa" w:w="110"/>
              <w:bottom w:type="dxa" w:w="70"/>
              <w:right w:type="dxa" w:w="110"/>
            </w:tcMar>
          </w:tcPr>
          <w:p>
            <w:pPr>
              <w:spacing w:after="0" w:line="252"/>
            </w:pPr>
            <w:r>
              <w:rPr>
                <w:b w:val="false"/>
                <w:bCs w:val="false"/>
                <w:sz w:val="18"/>
                <w:szCs w:val="18"/>
              </w:rPr>
              <w:t xml:space="preserve">Confirma que trata de seguridad: ciberseguridad, malware, ISO 27001, ENS</w:t>
            </w:r>
          </w:p>
        </w:tc>
      </w:tr>
      <w:tr>
        <w:tc>
          <w:tcPr>
            <w:tcW w:type="dxa" w:w="2347"/>
            <w:shd w:fill="F2F2F2" w:val="clear"/>
            <w:tcMar>
              <w:top w:type="dxa" w:w="70"/>
              <w:left w:type="dxa" w:w="110"/>
              <w:bottom w:type="dxa" w:w="70"/>
              <w:right w:type="dxa" w:w="110"/>
            </w:tcMar>
          </w:tcPr>
          <w:p>
            <w:pPr>
              <w:spacing w:after="0" w:line="252"/>
            </w:pPr>
            <w:r>
              <w:rPr>
                <w:b w:val="false"/>
                <w:bCs w:val="false"/>
                <w:sz w:val="18"/>
                <w:szCs w:val="18"/>
              </w:rPr>
              <w:t xml:space="preserve">Prefijos CPV</w:t>
            </w:r>
          </w:p>
        </w:tc>
        <w:tc>
          <w:tcPr>
            <w:tcW w:type="dxa" w:w="6679"/>
            <w:shd w:fill="F2F2F2" w:val="clear"/>
            <w:tcMar>
              <w:top w:type="dxa" w:w="70"/>
              <w:left w:type="dxa" w:w="110"/>
              <w:bottom w:type="dxa" w:w="70"/>
              <w:right w:type="dxa" w:w="110"/>
            </w:tcMar>
          </w:tcPr>
          <w:p>
            <w:pPr>
              <w:spacing w:after="0" w:line="252"/>
            </w:pPr>
            <w:r>
              <w:rPr>
                <w:b w:val="false"/>
                <w:bCs w:val="false"/>
                <w:sz w:val="18"/>
                <w:szCs w:val="18"/>
              </w:rPr>
              <w:t xml:space="preserve">Suman puntuación, pero nunca aceptan por sí solos ni valen como contexto</w:t>
            </w:r>
          </w:p>
        </w:tc>
      </w:tr>
      <w:tr>
        <w:tc>
          <w:tcPr>
            <w:tcW w:type="dxa" w:w="2347"/>
            <w:tcMar>
              <w:top w:type="dxa" w:w="70"/>
              <w:left w:type="dxa" w:w="110"/>
              <w:bottom w:type="dxa" w:w="70"/>
              <w:right w:type="dxa" w:w="110"/>
            </w:tcMar>
          </w:tcPr>
          <w:p>
            <w:pPr>
              <w:spacing w:after="0" w:line="252"/>
            </w:pPr>
            <w:r>
              <w:rPr>
                <w:b w:val="false"/>
                <w:bCs w:val="false"/>
                <w:sz w:val="18"/>
                <w:szCs w:val="18"/>
              </w:rPr>
              <w:t xml:space="preserve">Exclusiones</w:t>
            </w:r>
          </w:p>
        </w:tc>
        <w:tc>
          <w:tcPr>
            <w:tcW w:type="dxa" w:w="6679"/>
            <w:tcMar>
              <w:top w:type="dxa" w:w="70"/>
              <w:left w:type="dxa" w:w="110"/>
              <w:bottom w:type="dxa" w:w="70"/>
              <w:right w:type="dxa" w:w="110"/>
            </w:tcMar>
          </w:tcPr>
          <w:p>
            <w:pPr>
              <w:spacing w:after="0" w:line="252"/>
            </w:pPr>
            <w:r>
              <w:rPr>
                <w:b w:val="false"/>
                <w:bCs w:val="false"/>
                <w:sz w:val="18"/>
                <w:szCs w:val="18"/>
              </w:rPr>
              <w:t xml:space="preserve">Prevalecen sobre todo lo demás: seguridad vial, riesgos laborales, seguridad privada</w:t>
            </w:r>
          </w:p>
        </w:tc>
      </w:tr>
      <w:tr>
        <w:tc>
          <w:tcPr>
            <w:tcW w:type="dxa" w:w="2347"/>
            <w:shd w:fill="F2F2F2" w:val="clear"/>
            <w:tcMar>
              <w:top w:type="dxa" w:w="70"/>
              <w:left w:type="dxa" w:w="110"/>
              <w:bottom w:type="dxa" w:w="70"/>
              <w:right w:type="dxa" w:w="110"/>
            </w:tcMar>
          </w:tcPr>
          <w:p>
            <w:pPr>
              <w:spacing w:after="0" w:line="252"/>
            </w:pPr>
            <w:r>
              <w:rPr>
                <w:b w:val="false"/>
                <w:bCs w:val="false"/>
                <w:sz w:val="18"/>
                <w:szCs w:val="18"/>
              </w:rPr>
              <w:t xml:space="preserve">Importe mínimo</w:t>
            </w:r>
          </w:p>
        </w:tc>
        <w:tc>
          <w:tcPr>
            <w:tcW w:type="dxa" w:w="6679"/>
            <w:shd w:fill="F2F2F2" w:val="clear"/>
            <w:tcMar>
              <w:top w:type="dxa" w:w="70"/>
              <w:left w:type="dxa" w:w="110"/>
              <w:bottom w:type="dxa" w:w="70"/>
              <w:right w:type="dxa" w:w="110"/>
            </w:tcMar>
          </w:tcPr>
          <w:p>
            <w:pPr>
              <w:spacing w:after="0" w:line="252"/>
            </w:pPr>
            <w:r>
              <w:rPr>
                <w:b w:val="false"/>
                <w:bCs w:val="false"/>
                <w:sz w:val="18"/>
                <w:szCs w:val="18"/>
              </w:rPr>
              <w:t xml:space="preserve">Solo descarta cuando el importe se conoce; nunca por dato ausente</w:t>
            </w:r>
          </w:p>
        </w:tc>
      </w:tr>
    </w:tbl>
    <w:p>
      <w:pPr>
        <w:spacing w:after="120"/>
      </w:pPr>
      <w:r>
        <w:t xml:space="preserve"/>
      </w:r>
    </w:p>
    <w:p>
      <w:pPr>
        <w:spacing w:after="140" w:line="276"/>
      </w:pPr>
      <w:r>
        <w:t xml:space="preserve">Cada coincidencia recibe una puntuación y, sobre todo, un motivo textual que se conserva en la base de datos. Sin esa traza no se puede afinar el ruido, y el ruido es lo que hace que una herramienta así deje de abrirse a las dos semanas.</w:t>
      </w:r>
    </w:p>
    <w:p>
      <w:pPr>
        <w:pStyle w:val="Heading2"/>
        <w:spacing w:after="120" w:before="240"/>
      </w:pPr>
      <w:r>
        <w:rPr>
          <w:b/>
          <w:bCs/>
          <w:color w:val="1F4E79"/>
          <w:sz w:val="24"/>
          <w:szCs w:val="24"/>
        </w:rPr>
        <w:t xml:space="preserve">4.2 Lecciones de los datos reales</w:t>
      </w:r>
    </w:p>
    <w:p>
      <w:pPr>
        <w:spacing w:after="140" w:line="276"/>
      </w:pPr>
      <w:r>
        <w:t xml:space="preserve">Cuatro reglas aprendidas durante la construcción, incorporadas a la configuración y protegidas con pruebas automatizadas:</w:t>
      </w:r>
    </w:p>
    <w:p>
      <w:pPr>
        <w:pStyle w:val="ListParagraph"/>
        <w:numPr>
          <w:ilvl w:val="0"/>
          <w:numId w:val="3"/>
        </w:numPr>
        <w:spacing w:after="80" w:line="276"/>
      </w:pPr>
      <w:r>
        <w:rPr>
          <w:b/>
          <w:bCs/>
        </w:rPr>
        <w:t xml:space="preserve">Usar raíces, no palabras completas. </w:t>
      </w:r>
      <w:r>
        <w:t xml:space="preserve">Los pliegos emplean tanto el verbo como el sustantivo. La raíz «conscienci» cubre conscienciar, conscienciació y concienciación.</w:t>
      </w:r>
    </w:p>
    <w:p>
      <w:pPr>
        <w:pStyle w:val="ListParagraph"/>
        <w:numPr>
          <w:ilvl w:val="0"/>
          <w:numId w:val="3"/>
        </w:numPr>
        <w:spacing w:after="80" w:line="276"/>
      </w:pPr>
      <w:r>
        <w:rPr>
          <w:b/>
          <w:bCs/>
        </w:rPr>
        <w:t xml:space="preserve">Incluir las erratas frecuentes. </w:t>
      </w:r>
      <w:r>
        <w:t xml:space="preserve">«Phising», con una sola s, aparece literalmente en pliegos publicados. Sin esa variante se perdía un contrato real de 50.000 €.</w:t>
      </w:r>
    </w:p>
    <w:p>
      <w:pPr>
        <w:pStyle w:val="ListParagraph"/>
        <w:numPr>
          <w:ilvl w:val="0"/>
          <w:numId w:val="3"/>
        </w:numPr>
        <w:spacing w:after="80" w:line="276"/>
      </w:pPr>
      <w:r>
        <w:rPr>
          <w:b/>
          <w:bCs/>
        </w:rPr>
        <w:t xml:space="preserve">Contemplar el catalán. </w:t>
      </w:r>
      <w:r>
        <w:t xml:space="preserve">Buena parte de los textos están en catalán: hay que incluir ciberseguridad y ciberseguretat. Los acentos son indiferentes porque el texto se normaliza.</w:t>
      </w:r>
    </w:p>
    <w:p>
      <w:pPr>
        <w:pStyle w:val="ListParagraph"/>
        <w:numPr>
          <w:ilvl w:val="0"/>
          <w:numId w:val="3"/>
        </w:numPr>
        <w:spacing w:after="80" w:line="276"/>
      </w:pPr>
      <w:r>
        <w:rPr>
          <w:b/>
          <w:bCs/>
        </w:rPr>
        <w:t xml:space="preserve">Vigilar las siglas cortas. </w:t>
      </w:r>
      <w:r>
        <w:t xml:space="preserve">«SPF» parecía inofensivo y colaba diez licitaciones absurdas: crema solar de factor 50 en socorrismo de playas, ratones SPF de laboratorio y «Entidades SPF» (Sector Público Foral). Se degradó a término ambiguo, que exige contexto de seguridad.</w:t>
      </w:r>
    </w:p>
    <w:p>
      <w:pPr>
        <w:pStyle w:val="Heading2"/>
        <w:spacing w:after="120" w:before="240"/>
      </w:pPr>
      <w:r>
        <w:rPr>
          <w:b/>
          <w:bCs/>
          <w:color w:val="1F4E79"/>
          <w:sz w:val="24"/>
          <w:szCs w:val="24"/>
        </w:rPr>
        <w:t xml:space="preserve">4.3 Un caso que ilustra el diseño</w:t>
      </w:r>
    </w:p>
    <w:p>
      <w:pPr>
        <w:spacing w:after="140" w:line="276"/>
      </w:pPr>
      <w:r>
        <w:t xml:space="preserve">Un contrato de mantenimiento de hardware del Ayuntamiento de Viladecans incluía como lote 10 un «programa de conscienciació en CIBERSEGURETAT». Ni el título ni el CPV del contrato lo delatan. Aparece porque el sistema indexa también el texto de todos los lotes, que es precisamente lo que un filtro por CPV o una búsqueda por título habrían perdido.</w:t>
      </w:r>
    </w:p>
    <w:p>
      <w:pPr>
        <w:pStyle w:val="Heading1"/>
        <w:pageBreakBefore/>
        <w:pBdr>
          <w:bottom w:val="single" w:color="DCE6F1" w:sz="6" w:space="6"/>
        </w:pBdr>
        <w:spacing w:after="160" w:before="320"/>
      </w:pPr>
      <w:r>
        <w:rPr>
          <w:b/>
          <w:bCs/>
          <w:color w:val="1F4E79"/>
          <w:sz w:val="30"/>
          <w:szCs w:val="30"/>
        </w:rPr>
        <w:t xml:space="preserve">5. Arquitectura</w:t>
      </w:r>
    </w:p>
    <w:p>
      <w:pPr>
        <w:pStyle w:val="Heading2"/>
        <w:spacing w:after="120" w:before="240"/>
      </w:pPr>
      <w:r>
        <w:rPr>
          <w:b/>
          <w:bCs/>
          <w:color w:val="1F4E79"/>
          <w:sz w:val="24"/>
          <w:szCs w:val="24"/>
        </w:rPr>
        <w:t xml:space="preserve">5.1 Principios de diseño</w:t>
      </w:r>
    </w:p>
    <w:p>
      <w:pPr>
        <w:pStyle w:val="ListParagraph"/>
        <w:numPr>
          <w:ilvl w:val="0"/>
          <w:numId w:val="2"/>
        </w:numPr>
        <w:spacing w:after="80" w:line="276"/>
      </w:pPr>
      <w:r>
        <w:rPr>
          <w:b/>
          <w:bCs/>
        </w:rPr>
        <w:t xml:space="preserve">Cero dependencias externas. </w:t>
      </w:r>
      <w:r>
        <w:t xml:space="preserve">Todo el sistema usa exclusivamente la biblioteca estándar de Python 3 y un frontend estático sin compilación. No hay que instalar librerías, ni un gestor de paquetes, ni una base de datos. Una prueba automatizada verifica esta condición en cada ejecución.</w:t>
      </w:r>
    </w:p>
    <w:p>
      <w:pPr>
        <w:pStyle w:val="ListParagraph"/>
        <w:numPr>
          <w:ilvl w:val="0"/>
          <w:numId w:val="2"/>
        </w:numPr>
        <w:spacing w:after="80" w:line="276"/>
      </w:pPr>
      <w:r>
        <w:rPr>
          <w:b/>
          <w:bCs/>
        </w:rPr>
        <w:t xml:space="preserve">Conectores aislados. </w:t>
      </w:r>
      <w:r>
        <w:t xml:space="preserve">Cada fuente falla por separado y se registra por separado.</w:t>
      </w:r>
    </w:p>
    <w:p>
      <w:pPr>
        <w:pStyle w:val="ListParagraph"/>
        <w:numPr>
          <w:ilvl w:val="0"/>
          <w:numId w:val="2"/>
        </w:numPr>
        <w:spacing w:after="80" w:line="276"/>
      </w:pPr>
      <w:r>
        <w:rPr>
          <w:b/>
          <w:bCs/>
        </w:rPr>
        <w:t xml:space="preserve">Sin credenciales ni servicios. </w:t>
      </w:r>
      <w:r>
        <w:t xml:space="preserve">Ninguna fuente requiere autenticación. La base de datos es un fichero local.</w:t>
      </w:r>
    </w:p>
    <w:p>
      <w:pPr>
        <w:pStyle w:val="ListParagraph"/>
        <w:numPr>
          <w:ilvl w:val="0"/>
          <w:numId w:val="2"/>
        </w:numPr>
        <w:spacing w:after="80" w:line="276"/>
      </w:pPr>
      <w:r>
        <w:rPr>
          <w:b/>
          <w:bCs/>
        </w:rPr>
        <w:t xml:space="preserve">Un solo origen de verdad por decisión. </w:t>
      </w:r>
      <w:r>
        <w:t xml:space="preserve">Los contadores de la cabecera y la lista comparten la misma función de filtrado, de modo que no pueden mostrar cifras distintas.</w:t>
      </w:r>
    </w:p>
    <w:p>
      <w:pPr>
        <w:pStyle w:val="ListParagraph"/>
        <w:numPr>
          <w:ilvl w:val="0"/>
          <w:numId w:val="2"/>
        </w:numPr>
        <w:spacing w:after="80" w:line="276"/>
      </w:pPr>
      <w:r>
        <w:rPr>
          <w:b/>
          <w:bCs/>
        </w:rPr>
        <w:t xml:space="preserve">Nunca inventar un dato. </w:t>
      </w:r>
      <w:r>
        <w:t xml:space="preserve">Si una fuente no publica una fecha o un importe, el campo queda vacío en lugar de estimarse.</w:t>
      </w:r>
    </w:p>
    <w:p>
      <w:pPr>
        <w:pStyle w:val="Heading2"/>
        <w:spacing w:after="120" w:before="240"/>
      </w:pPr>
      <w:r>
        <w:rPr>
          <w:b/>
          <w:bCs/>
          <w:color w:val="1F4E79"/>
          <w:sz w:val="24"/>
          <w:szCs w:val="24"/>
        </w:rPr>
        <w:t xml:space="preserve">5.2 Esquema general</w:t>
      </w:r>
    </w:p>
    <w:p>
      <w:pPr>
        <w:spacing w:after="140" w:line="276"/>
      </w:pPr>
      <w:r>
        <w:t xml:space="preserve">Las cinco fuentes entran por conectores independientes, se traducen a un modelo común, se depositan en una única base local y de ahí las consumen las cuatro vistas de la aplicación.</w:t>
      </w:r>
    </w:p>
    <w:tbl>
      <w:tblPr>
        <w:tblW w:type="dxa" w:w="9026"/>
        <w:tblBorders>
          <w:top w:val="none"/>
          <w:left w:val="none"/>
          <w:bottom w:val="none"/>
          <w:right w:val="none"/>
          <w:insideH w:val="none"/>
          <w:insideV w:val="none"/>
        </w:tblBorders>
      </w:tblPr>
      <w:tblGrid>
        <w:gridCol w:w="1500"/>
        <w:gridCol w:w="7526"/>
      </w:tblGrid>
      <w:tr>
        <w:tc>
          <w:tcPr>
            <w:tcW w:type="dxa" w:w="1500"/>
            <w:tcMar>
              <w:top w:type="dxa" w:w="80"/>
              <w:left w:type="dxa" w:w="100"/>
              <w:bottom w:type="dxa" w:w="80"/>
              <w:right w:type="dxa" w:w="100"/>
            </w:tcMar>
            <w:vAlign w:val="center"/>
          </w:tcPr>
          <w:p>
            <w:pPr>
              <w:spacing w:after="0"/>
            </w:pPr>
            <w:r>
              <w:rPr>
                <w:b/>
                <w:bCs/>
                <w:color w:val="1F4E79"/>
                <w:sz w:val="15"/>
                <w:szCs w:val="15"/>
              </w:rPr>
              <w:t xml:space="preserve">FUENTES</w:t>
            </w:r>
          </w:p>
        </w:tc>
        <w:tc>
          <w:tcPr>
            <w:tcW w:type="dxa" w:w="7526"/>
            <w:tcMar>
              <w:top w:type="dxa" w:w="60"/>
              <w:left w:type="dxa" w:w="60"/>
              <w:bottom w:type="dxa" w:w="60"/>
              <w:right w:type="dxa" w:w="60"/>
            </w:tcMar>
          </w:tcPr>
          <w:tbl>
            <w:tblPr>
              <w:tblW w:type="dxa" w:w="7406"/>
              <w:tblBorders>
                <w:top w:val="none"/>
                <w:left w:val="none"/>
                <w:bottom w:val="none"/>
                <w:right w:val="none"/>
                <w:insideH w:val="none"/>
                <w:insideV w:val="single" w:color="FFFFFF" w:sz="8"/>
              </w:tblBorders>
            </w:tblPr>
            <w:tblGrid>
              <w:gridCol w:w="1481"/>
              <w:gridCol w:w="1481"/>
              <w:gridCol w:w="1481"/>
              <w:gridCol w:w="1481"/>
              <w:gridCol w:w="1482"/>
            </w:tblGrid>
            <w:tr>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PLACSP</w:t>
                  </w:r>
                </w:p>
                <w:p>
                  <w:pPr>
                    <w:spacing w:after="0" w:line="230"/>
                    <w:jc w:val="center"/>
                  </w:pPr>
                  <w:r>
                    <w:rPr>
                      <w:b w:val="false"/>
                      <w:bCs w:val="false"/>
                      <w:sz w:val="15"/>
                      <w:szCs w:val="15"/>
                    </w:rPr>
                    <w:t xml:space="preserve">licitaciones</w:t>
                  </w:r>
                </w:p>
              </w:tc>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PLACSP</w:t>
                  </w:r>
                </w:p>
                <w:p>
                  <w:pPr>
                    <w:spacing w:after="0" w:line="230"/>
                    <w:jc w:val="center"/>
                  </w:pPr>
                  <w:r>
                    <w:rPr>
                      <w:b w:val="false"/>
                      <w:bCs w:val="false"/>
                      <w:sz w:val="15"/>
                      <w:szCs w:val="15"/>
                    </w:rPr>
                    <w:t xml:space="preserve">agregadas</w:t>
                  </w:r>
                </w:p>
              </w:tc>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PLACSP</w:t>
                  </w:r>
                </w:p>
                <w:p>
                  <w:pPr>
                    <w:spacing w:after="0" w:line="230"/>
                    <w:jc w:val="center"/>
                  </w:pPr>
                  <w:r>
                    <w:rPr>
                      <w:b w:val="false"/>
                      <w:bCs w:val="false"/>
                      <w:sz w:val="15"/>
                      <w:szCs w:val="15"/>
                    </w:rPr>
                    <w:t xml:space="preserve">consultas previas</w:t>
                  </w:r>
                </w:p>
              </w:tc>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TED</w:t>
                  </w:r>
                </w:p>
                <w:p>
                  <w:pPr>
                    <w:spacing w:after="0" w:line="230"/>
                    <w:jc w:val="center"/>
                  </w:pPr>
                  <w:r>
                    <w:rPr>
                      <w:b w:val="false"/>
                      <w:bCs w:val="false"/>
                      <w:sz w:val="15"/>
                      <w:szCs w:val="15"/>
                    </w:rPr>
                    <w:t xml:space="preserve">Unión Europea</w:t>
                  </w:r>
                </w:p>
              </w:tc>
              <w:tc>
                <w:tcPr>
                  <w:tcW w:type="dxa" w:w="1482"/>
                  <w:shd w:fill="E8EEF7" w:val="clear"/>
                  <w:tcMar>
                    <w:top w:type="dxa" w:w="90"/>
                    <w:left w:type="dxa" w:w="80"/>
                    <w:bottom w:type="dxa" w:w="90"/>
                    <w:right w:type="dxa" w:w="80"/>
                  </w:tcMar>
                  <w:vAlign w:val="center"/>
                </w:tcPr>
                <w:p>
                  <w:pPr>
                    <w:spacing w:after="0" w:line="230"/>
                    <w:jc w:val="center"/>
                  </w:pPr>
                  <w:r>
                    <w:rPr>
                      <w:b/>
                      <w:bCs/>
                      <w:sz w:val="15"/>
                      <w:szCs w:val="15"/>
                    </w:rPr>
                    <w:t xml:space="preserve">Cataluña</w:t>
                  </w:r>
                </w:p>
                <w:p>
                  <w:pPr>
                    <w:spacing w:after="0" w:line="230"/>
                    <w:jc w:val="center"/>
                  </w:pPr>
                  <w:r>
                    <w:rPr>
                      <w:b w:val="false"/>
                      <w:bCs w:val="false"/>
                      <w:sz w:val="15"/>
                      <w:szCs w:val="15"/>
                    </w:rPr>
                    <w:t xml:space="preserve">Socrata</w:t>
                  </w:r>
                </w:p>
              </w:tc>
            </w:tr>
          </w:tbl>
          <w:p/>
        </w:tc>
      </w:tr>
      <w:tr>
        <w:tc>
          <w:tcPr>
            <w:tcW w:type="dxa" w:w="1500"/>
          </w:tcPr>
          <w:p>
            <w:pPr>
              <w:spacing w:after="0"/>
            </w:pPr>
            <w:r>
              <w:t xml:space="preserve"/>
            </w:r>
          </w:p>
        </w:tc>
        <w:tc>
          <w:tcPr>
            <w:tcW w:type="dxa" w:w="7526"/>
            <w:tcMar>
              <w:top w:type="dxa" w:w="0"/>
              <w:bottom w:type="dxa" w:w="0"/>
            </w:tcMar>
          </w:tcPr>
          <w:p>
            <w:pPr>
              <w:spacing w:after="20" w:before="20" w:line="200"/>
              <w:jc w:val="center"/>
            </w:pPr>
            <w:r>
              <w:rPr>
                <w:color w:val="8FAADC"/>
                <w:sz w:val="13"/>
                <w:szCs w:val="13"/>
              </w:rPr>
              <w:t xml:space="preserve">▼</w:t>
            </w:r>
          </w:p>
        </w:tc>
      </w:tr>
      <w:tr>
        <w:tc>
          <w:tcPr>
            <w:tcW w:type="dxa" w:w="1500"/>
            <w:tcMar>
              <w:top w:type="dxa" w:w="80"/>
              <w:left w:type="dxa" w:w="100"/>
              <w:bottom w:type="dxa" w:w="80"/>
              <w:right w:type="dxa" w:w="100"/>
            </w:tcMar>
            <w:vAlign w:val="center"/>
          </w:tcPr>
          <w:p>
            <w:pPr>
              <w:spacing w:after="0"/>
            </w:pPr>
            <w:r>
              <w:rPr>
                <w:b/>
                <w:bCs/>
                <w:color w:val="1F4E79"/>
                <w:sz w:val="15"/>
                <w:szCs w:val="15"/>
              </w:rPr>
              <w:t xml:space="preserve">CONECTORES</w:t>
            </w:r>
          </w:p>
        </w:tc>
        <w:tc>
          <w:tcPr>
            <w:tcW w:type="dxa" w:w="7526"/>
            <w:tcMar>
              <w:top w:type="dxa" w:w="60"/>
              <w:left w:type="dxa" w:w="60"/>
              <w:bottom w:type="dxa" w:w="60"/>
              <w:right w:type="dxa" w:w="60"/>
            </w:tcMar>
          </w:tcPr>
          <w:tbl>
            <w:tblPr>
              <w:tblW w:type="dxa" w:w="7406"/>
              <w:tblBorders>
                <w:top w:val="none"/>
                <w:left w:val="none"/>
                <w:bottom w:val="none"/>
                <w:right w:val="none"/>
                <w:insideH w:val="none"/>
                <w:insideV w:val="single" w:color="FFFFFF" w:sz="8"/>
              </w:tblBorders>
            </w:tblPr>
            <w:tblGrid>
              <w:gridCol w:w="2468"/>
              <w:gridCol w:w="2468"/>
              <w:gridCol w:w="2470"/>
            </w:tblGrid>
            <w:tr>
              <w:tc>
                <w:tcPr>
                  <w:tcW w:type="dxa" w:w="2468"/>
                  <w:shd w:fill="DCE6F1" w:val="clear"/>
                  <w:tcMar>
                    <w:top w:type="dxa" w:w="90"/>
                    <w:left w:type="dxa" w:w="80"/>
                    <w:bottom w:type="dxa" w:w="90"/>
                    <w:right w:type="dxa" w:w="80"/>
                  </w:tcMar>
                  <w:vAlign w:val="center"/>
                </w:tcPr>
                <w:p>
                  <w:pPr>
                    <w:spacing w:after="0" w:line="230"/>
                    <w:jc w:val="center"/>
                  </w:pPr>
                  <w:r>
                    <w:rPr>
                      <w:b/>
                      <w:bCs/>
                      <w:sz w:val="15"/>
                      <w:szCs w:val="15"/>
                    </w:rPr>
                    <w:t xml:space="preserve">placsp.py — ATOM / CODICE 2.07</w:t>
                  </w:r>
                </w:p>
              </w:tc>
              <w:tc>
                <w:tcPr>
                  <w:tcW w:type="dxa" w:w="2468"/>
                  <w:shd w:fill="DCE6F1" w:val="clear"/>
                  <w:tcMar>
                    <w:top w:type="dxa" w:w="90"/>
                    <w:left w:type="dxa" w:w="80"/>
                    <w:bottom w:type="dxa" w:w="90"/>
                    <w:right w:type="dxa" w:w="80"/>
                  </w:tcMar>
                  <w:vAlign w:val="center"/>
                </w:tcPr>
                <w:p>
                  <w:pPr>
                    <w:spacing w:after="0" w:line="230"/>
                    <w:jc w:val="center"/>
                  </w:pPr>
                  <w:r>
                    <w:rPr>
                      <w:b/>
                      <w:bCs/>
                      <w:sz w:val="15"/>
                      <w:szCs w:val="15"/>
                    </w:rPr>
                    <w:t xml:space="preserve">ted.py — Search API v3</w:t>
                  </w:r>
                </w:p>
              </w:tc>
              <w:tc>
                <w:tcPr>
                  <w:tcW w:type="dxa" w:w="2470"/>
                  <w:shd w:fill="DCE6F1" w:val="clear"/>
                  <w:tcMar>
                    <w:top w:type="dxa" w:w="90"/>
                    <w:left w:type="dxa" w:w="80"/>
                    <w:bottom w:type="dxa" w:w="90"/>
                    <w:right w:type="dxa" w:w="80"/>
                  </w:tcMar>
                  <w:vAlign w:val="center"/>
                </w:tcPr>
                <w:p>
                  <w:pPr>
                    <w:spacing w:after="0" w:line="230"/>
                    <w:jc w:val="center"/>
                  </w:pPr>
                  <w:r>
                    <w:rPr>
                      <w:b/>
                      <w:bCs/>
                      <w:sz w:val="15"/>
                      <w:szCs w:val="15"/>
                    </w:rPr>
                    <w:t xml:space="preserve">catalunya.py — SoQL</w:t>
                  </w:r>
                </w:p>
              </w:tc>
            </w:tr>
          </w:tbl>
          <w:p/>
        </w:tc>
      </w:tr>
      <w:tr>
        <w:tc>
          <w:tcPr>
            <w:tcW w:type="dxa" w:w="1500"/>
          </w:tcPr>
          <w:p>
            <w:pPr>
              <w:spacing w:after="0"/>
            </w:pPr>
            <w:r>
              <w:t xml:space="preserve"/>
            </w:r>
          </w:p>
        </w:tc>
        <w:tc>
          <w:tcPr>
            <w:tcW w:type="dxa" w:w="7526"/>
            <w:tcMar>
              <w:top w:type="dxa" w:w="0"/>
              <w:bottom w:type="dxa" w:w="0"/>
            </w:tcMar>
          </w:tcPr>
          <w:p>
            <w:pPr>
              <w:spacing w:after="20" w:before="20" w:line="200"/>
              <w:jc w:val="center"/>
            </w:pPr>
            <w:r>
              <w:rPr>
                <w:color w:val="8FAADC"/>
                <w:sz w:val="13"/>
                <w:szCs w:val="13"/>
              </w:rPr>
              <w:t xml:space="preserve">▼</w:t>
            </w:r>
          </w:p>
        </w:tc>
      </w:tr>
      <w:tr>
        <w:tc>
          <w:tcPr>
            <w:tcW w:type="dxa" w:w="1500"/>
            <w:tcMar>
              <w:top w:type="dxa" w:w="80"/>
              <w:left w:type="dxa" w:w="100"/>
              <w:bottom w:type="dxa" w:w="80"/>
              <w:right w:type="dxa" w:w="100"/>
            </w:tcMar>
            <w:vAlign w:val="center"/>
          </w:tcPr>
          <w:p>
            <w:pPr>
              <w:spacing w:after="0"/>
            </w:pPr>
            <w:r>
              <w:rPr>
                <w:b/>
                <w:bCs/>
                <w:color w:val="1F4E79"/>
                <w:sz w:val="15"/>
                <w:szCs w:val="15"/>
              </w:rPr>
              <w:t xml:space="preserve">NÚCLEO</w:t>
            </w:r>
          </w:p>
        </w:tc>
        <w:tc>
          <w:tcPr>
            <w:tcW w:type="dxa" w:w="7526"/>
            <w:tcMar>
              <w:top w:type="dxa" w:w="60"/>
              <w:left w:type="dxa" w:w="60"/>
              <w:bottom w:type="dxa" w:w="60"/>
              <w:right w:type="dxa" w:w="60"/>
            </w:tcMar>
          </w:tcPr>
          <w:tbl>
            <w:tblPr>
              <w:tblW w:type="dxa" w:w="7406"/>
              <w:tblBorders>
                <w:top w:val="none"/>
                <w:left w:val="none"/>
                <w:bottom w:val="none"/>
                <w:right w:val="none"/>
                <w:insideH w:val="none"/>
                <w:insideV w:val="single" w:color="FFFFFF" w:sz="8"/>
              </w:tblBorders>
            </w:tblPr>
            <w:tblGrid>
              <w:gridCol w:w="1851"/>
              <w:gridCol w:w="1851"/>
              <w:gridCol w:w="1851"/>
              <w:gridCol w:w="1853"/>
            </w:tblGrid>
            <w:tr>
              <w:tc>
                <w:tcPr>
                  <w:tcW w:type="dxa" w:w="1851"/>
                  <w:shd w:fill="D0DEEF" w:val="clear"/>
                  <w:tcMar>
                    <w:top w:type="dxa" w:w="90"/>
                    <w:left w:type="dxa" w:w="80"/>
                    <w:bottom w:type="dxa" w:w="90"/>
                    <w:right w:type="dxa" w:w="80"/>
                  </w:tcMar>
                  <w:vAlign w:val="center"/>
                </w:tcPr>
                <w:p>
                  <w:pPr>
                    <w:spacing w:after="0" w:line="230"/>
                    <w:jc w:val="center"/>
                  </w:pPr>
                  <w:r>
                    <w:rPr>
                      <w:b/>
                      <w:bCs/>
                      <w:sz w:val="15"/>
                      <w:szCs w:val="15"/>
                    </w:rPr>
                    <w:t xml:space="preserve">net.py</w:t>
                  </w:r>
                </w:p>
                <w:p>
                  <w:pPr>
                    <w:spacing w:after="0" w:line="230"/>
                    <w:jc w:val="center"/>
                  </w:pPr>
                  <w:r>
                    <w:rPr>
                      <w:b w:val="false"/>
                      <w:bCs w:val="false"/>
                      <w:sz w:val="15"/>
                      <w:szCs w:val="15"/>
                    </w:rPr>
                    <w:t xml:space="preserve">TLS + reintentos</w:t>
                  </w:r>
                </w:p>
              </w:tc>
              <w:tc>
                <w:tcPr>
                  <w:tcW w:type="dxa" w:w="1851"/>
                  <w:shd w:fill="D0DEEF" w:val="clear"/>
                  <w:tcMar>
                    <w:top w:type="dxa" w:w="90"/>
                    <w:left w:type="dxa" w:w="80"/>
                    <w:bottom w:type="dxa" w:w="90"/>
                    <w:right w:type="dxa" w:w="80"/>
                  </w:tcMar>
                  <w:vAlign w:val="center"/>
                </w:tcPr>
                <w:p>
                  <w:pPr>
                    <w:spacing w:after="0" w:line="230"/>
                    <w:jc w:val="center"/>
                  </w:pPr>
                  <w:r>
                    <w:rPr>
                      <w:b/>
                      <w:bCs/>
                      <w:sz w:val="15"/>
                      <w:szCs w:val="15"/>
                    </w:rPr>
                    <w:t xml:space="preserve">model.py</w:t>
                  </w:r>
                </w:p>
                <w:p>
                  <w:pPr>
                    <w:spacing w:after="0" w:line="230"/>
                    <w:jc w:val="center"/>
                  </w:pPr>
                  <w:r>
                    <w:rPr>
                      <w:b w:val="false"/>
                      <w:bCs w:val="false"/>
                      <w:sz w:val="15"/>
                      <w:szCs w:val="15"/>
                    </w:rPr>
                    <w:t xml:space="preserve">modelo común</w:t>
                  </w:r>
                </w:p>
              </w:tc>
              <w:tc>
                <w:tcPr>
                  <w:tcW w:type="dxa" w:w="1851"/>
                  <w:shd w:fill="D0DEEF" w:val="clear"/>
                  <w:tcMar>
                    <w:top w:type="dxa" w:w="90"/>
                    <w:left w:type="dxa" w:w="80"/>
                    <w:bottom w:type="dxa" w:w="90"/>
                    <w:right w:type="dxa" w:w="80"/>
                  </w:tcMar>
                  <w:vAlign w:val="center"/>
                </w:tcPr>
                <w:p>
                  <w:pPr>
                    <w:spacing w:after="0" w:line="230"/>
                    <w:jc w:val="center"/>
                  </w:pPr>
                  <w:r>
                    <w:rPr>
                      <w:b/>
                      <w:bCs/>
                      <w:sz w:val="15"/>
                      <w:szCs w:val="15"/>
                    </w:rPr>
                    <w:t xml:space="preserve">db.py</w:t>
                  </w:r>
                </w:p>
                <w:p>
                  <w:pPr>
                    <w:spacing w:after="0" w:line="230"/>
                    <w:jc w:val="center"/>
                  </w:pPr>
                  <w:r>
                    <w:rPr>
                      <w:b w:val="false"/>
                      <w:bCs w:val="false"/>
                      <w:sz w:val="15"/>
                      <w:szCs w:val="15"/>
                    </w:rPr>
                    <w:t xml:space="preserve">dedup + historial</w:t>
                  </w:r>
                </w:p>
              </w:tc>
              <w:tc>
                <w:tcPr>
                  <w:tcW w:type="dxa" w:w="1853"/>
                  <w:shd w:fill="D0DEEF" w:val="clear"/>
                  <w:tcMar>
                    <w:top w:type="dxa" w:w="90"/>
                    <w:left w:type="dxa" w:w="80"/>
                    <w:bottom w:type="dxa" w:w="90"/>
                    <w:right w:type="dxa" w:w="80"/>
                  </w:tcMar>
                  <w:vAlign w:val="center"/>
                </w:tcPr>
                <w:p>
                  <w:pPr>
                    <w:spacing w:after="0" w:line="230"/>
                    <w:jc w:val="center"/>
                  </w:pPr>
                  <w:r>
                    <w:rPr>
                      <w:b/>
                      <w:bCs/>
                      <w:sz w:val="15"/>
                      <w:szCs w:val="15"/>
                    </w:rPr>
                    <w:t xml:space="preserve">matching.py</w:t>
                  </w:r>
                </w:p>
                <w:p>
                  <w:pPr>
                    <w:spacing w:after="0" w:line="230"/>
                    <w:jc w:val="center"/>
                  </w:pPr>
                  <w:r>
                    <w:rPr>
                      <w:b w:val="false"/>
                      <w:bCs w:val="false"/>
                      <w:sz w:val="15"/>
                      <w:szCs w:val="15"/>
                    </w:rPr>
                    <w:t xml:space="preserve">motor de reglas</w:t>
                  </w:r>
                </w:p>
              </w:tc>
            </w:tr>
          </w:tbl>
          <w:p/>
        </w:tc>
      </w:tr>
      <w:tr>
        <w:tc>
          <w:tcPr>
            <w:tcW w:type="dxa" w:w="1500"/>
          </w:tcPr>
          <w:p>
            <w:pPr>
              <w:spacing w:after="0"/>
            </w:pPr>
            <w:r>
              <w:t xml:space="preserve"/>
            </w:r>
          </w:p>
        </w:tc>
        <w:tc>
          <w:tcPr>
            <w:tcW w:type="dxa" w:w="7526"/>
            <w:tcMar>
              <w:top w:type="dxa" w:w="0"/>
              <w:bottom w:type="dxa" w:w="0"/>
            </w:tcMar>
          </w:tcPr>
          <w:p>
            <w:pPr>
              <w:spacing w:after="20" w:before="20" w:line="200"/>
              <w:jc w:val="center"/>
            </w:pPr>
            <w:r>
              <w:rPr>
                <w:color w:val="8FAADC"/>
                <w:sz w:val="13"/>
                <w:szCs w:val="13"/>
              </w:rPr>
              <w:t xml:space="preserve">▼</w:t>
            </w:r>
          </w:p>
        </w:tc>
      </w:tr>
      <w:tr>
        <w:tc>
          <w:tcPr>
            <w:tcW w:type="dxa" w:w="1500"/>
            <w:tcMar>
              <w:top w:type="dxa" w:w="80"/>
              <w:left w:type="dxa" w:w="100"/>
              <w:bottom w:type="dxa" w:w="80"/>
              <w:right w:type="dxa" w:w="100"/>
            </w:tcMar>
            <w:vAlign w:val="center"/>
          </w:tcPr>
          <w:p>
            <w:pPr>
              <w:spacing w:after="0"/>
            </w:pPr>
            <w:r>
              <w:rPr>
                <w:b/>
                <w:bCs/>
                <w:color w:val="1F4E79"/>
                <w:sz w:val="15"/>
                <w:szCs w:val="15"/>
              </w:rPr>
              <w:t xml:space="preserve">ALMACÉN</w:t>
            </w:r>
          </w:p>
        </w:tc>
        <w:tc>
          <w:tcPr>
            <w:tcW w:type="dxa" w:w="7526"/>
            <w:tcMar>
              <w:top w:type="dxa" w:w="60"/>
              <w:left w:type="dxa" w:w="60"/>
              <w:bottom w:type="dxa" w:w="60"/>
              <w:right w:type="dxa" w:w="60"/>
            </w:tcMar>
          </w:tcPr>
          <w:tbl>
            <w:tblPr>
              <w:tblW w:type="dxa" w:w="7406"/>
              <w:tblBorders>
                <w:top w:val="none"/>
                <w:left w:val="none"/>
                <w:bottom w:val="none"/>
                <w:right w:val="none"/>
                <w:insideH w:val="none"/>
                <w:insideV w:val="single" w:color="FFFFFF" w:sz="8"/>
              </w:tblBorders>
            </w:tblPr>
            <w:tblGrid>
              <w:gridCol w:w="7406"/>
            </w:tblGrid>
            <w:tr>
              <w:tc>
                <w:tcPr>
                  <w:tcW w:type="dxa" w:w="7406"/>
                  <w:shd w:fill="C4D6EA" w:val="clear"/>
                  <w:tcMar>
                    <w:top w:type="dxa" w:w="90"/>
                    <w:left w:type="dxa" w:w="80"/>
                    <w:bottom w:type="dxa" w:w="90"/>
                    <w:right w:type="dxa" w:w="80"/>
                  </w:tcMar>
                  <w:vAlign w:val="center"/>
                </w:tcPr>
                <w:p>
                  <w:pPr>
                    <w:spacing w:after="0" w:line="230"/>
                    <w:jc w:val="center"/>
                  </w:pPr>
                  <w:r>
                    <w:rPr>
                      <w:b/>
                      <w:bCs/>
                      <w:sz w:val="15"/>
                      <w:szCs w:val="15"/>
                    </w:rPr>
                    <w:t xml:space="preserve">data/radar.db — SQLite con índice de texto completo (FTS5)</w:t>
                  </w:r>
                </w:p>
              </w:tc>
            </w:tr>
          </w:tbl>
          <w:p/>
        </w:tc>
      </w:tr>
      <w:tr>
        <w:tc>
          <w:tcPr>
            <w:tcW w:type="dxa" w:w="1500"/>
          </w:tcPr>
          <w:p>
            <w:pPr>
              <w:spacing w:after="0"/>
            </w:pPr>
            <w:r>
              <w:t xml:space="preserve"/>
            </w:r>
          </w:p>
        </w:tc>
        <w:tc>
          <w:tcPr>
            <w:tcW w:type="dxa" w:w="7526"/>
            <w:tcMar>
              <w:top w:type="dxa" w:w="0"/>
              <w:bottom w:type="dxa" w:w="0"/>
            </w:tcMar>
          </w:tcPr>
          <w:p>
            <w:pPr>
              <w:spacing w:after="20" w:before="20" w:line="200"/>
              <w:jc w:val="center"/>
            </w:pPr>
            <w:r>
              <w:rPr>
                <w:color w:val="8FAADC"/>
                <w:sz w:val="13"/>
                <w:szCs w:val="13"/>
              </w:rPr>
              <w:t xml:space="preserve">▼</w:t>
            </w:r>
          </w:p>
        </w:tc>
      </w:tr>
      <w:tr>
        <w:tc>
          <w:tcPr>
            <w:tcW w:type="dxa" w:w="1500"/>
            <w:tcMar>
              <w:top w:type="dxa" w:w="80"/>
              <w:left w:type="dxa" w:w="100"/>
              <w:bottom w:type="dxa" w:w="80"/>
              <w:right w:type="dxa" w:w="100"/>
            </w:tcMar>
            <w:vAlign w:val="center"/>
          </w:tcPr>
          <w:p>
            <w:pPr>
              <w:spacing w:after="0"/>
            </w:pPr>
            <w:r>
              <w:rPr>
                <w:b/>
                <w:bCs/>
                <w:color w:val="1F4E79"/>
                <w:sz w:val="15"/>
                <w:szCs w:val="15"/>
              </w:rPr>
              <w:t xml:space="preserve">CONSULTA</w:t>
            </w:r>
          </w:p>
        </w:tc>
        <w:tc>
          <w:tcPr>
            <w:tcW w:type="dxa" w:w="7526"/>
            <w:tcMar>
              <w:top w:type="dxa" w:w="60"/>
              <w:left w:type="dxa" w:w="60"/>
              <w:bottom w:type="dxa" w:w="60"/>
              <w:right w:type="dxa" w:w="60"/>
            </w:tcMar>
          </w:tcPr>
          <w:tbl>
            <w:tblPr>
              <w:tblW w:type="dxa" w:w="7406"/>
              <w:tblBorders>
                <w:top w:val="none"/>
                <w:left w:val="none"/>
                <w:bottom w:val="none"/>
                <w:right w:val="none"/>
                <w:insideH w:val="none"/>
                <w:insideV w:val="single" w:color="FFFFFF" w:sz="8"/>
              </w:tblBorders>
            </w:tblPr>
            <w:tblGrid>
              <w:gridCol w:w="7406"/>
            </w:tblGrid>
            <w:tr>
              <w:tc>
                <w:tcPr>
                  <w:tcW w:type="dxa" w:w="7406"/>
                  <w:shd w:fill="DCE6F1" w:val="clear"/>
                  <w:tcMar>
                    <w:top w:type="dxa" w:w="90"/>
                    <w:left w:type="dxa" w:w="80"/>
                    <w:bottom w:type="dxa" w:w="90"/>
                    <w:right w:type="dxa" w:w="80"/>
                  </w:tcMar>
                  <w:vAlign w:val="center"/>
                </w:tcPr>
                <w:p>
                  <w:pPr>
                    <w:spacing w:after="0" w:line="230"/>
                    <w:jc w:val="center"/>
                  </w:pPr>
                  <w:r>
                    <w:rPr>
                      <w:b/>
                      <w:bCs/>
                      <w:sz w:val="15"/>
                      <w:szCs w:val="15"/>
                    </w:rPr>
                    <w:t xml:space="preserve">consultas.py — contadores, bandeja, vencimientos, competencia</w:t>
                  </w:r>
                </w:p>
              </w:tc>
            </w:tr>
          </w:tbl>
          <w:p/>
        </w:tc>
      </w:tr>
      <w:tr>
        <w:tc>
          <w:tcPr>
            <w:tcW w:type="dxa" w:w="1500"/>
          </w:tcPr>
          <w:p>
            <w:pPr>
              <w:spacing w:after="0"/>
            </w:pPr>
            <w:r>
              <w:t xml:space="preserve"/>
            </w:r>
          </w:p>
        </w:tc>
        <w:tc>
          <w:tcPr>
            <w:tcW w:type="dxa" w:w="7526"/>
            <w:tcMar>
              <w:top w:type="dxa" w:w="0"/>
              <w:bottom w:type="dxa" w:w="0"/>
            </w:tcMar>
          </w:tcPr>
          <w:p>
            <w:pPr>
              <w:spacing w:after="20" w:before="20" w:line="200"/>
              <w:jc w:val="center"/>
            </w:pPr>
            <w:r>
              <w:rPr>
                <w:color w:val="8FAADC"/>
                <w:sz w:val="13"/>
                <w:szCs w:val="13"/>
              </w:rPr>
              <w:t xml:space="preserve">▼</w:t>
            </w:r>
          </w:p>
        </w:tc>
      </w:tr>
      <w:tr>
        <w:tc>
          <w:tcPr>
            <w:tcW w:type="dxa" w:w="1500"/>
            <w:tcMar>
              <w:top w:type="dxa" w:w="80"/>
              <w:left w:type="dxa" w:w="100"/>
              <w:bottom w:type="dxa" w:w="80"/>
              <w:right w:type="dxa" w:w="100"/>
            </w:tcMar>
            <w:vAlign w:val="center"/>
          </w:tcPr>
          <w:p>
            <w:pPr>
              <w:spacing w:after="0"/>
            </w:pPr>
            <w:r>
              <w:rPr>
                <w:b/>
                <w:bCs/>
                <w:color w:val="1F4E79"/>
                <w:sz w:val="15"/>
                <w:szCs w:val="15"/>
              </w:rPr>
              <w:t xml:space="preserve">INTERFAZ</w:t>
            </w:r>
          </w:p>
        </w:tc>
        <w:tc>
          <w:tcPr>
            <w:tcW w:type="dxa" w:w="7526"/>
            <w:tcMar>
              <w:top w:type="dxa" w:w="60"/>
              <w:left w:type="dxa" w:w="60"/>
              <w:bottom w:type="dxa" w:w="60"/>
              <w:right w:type="dxa" w:w="60"/>
            </w:tcMar>
          </w:tcPr>
          <w:tbl>
            <w:tblPr>
              <w:tblW w:type="dxa" w:w="7406"/>
              <w:tblBorders>
                <w:top w:val="none"/>
                <w:left w:val="none"/>
                <w:bottom w:val="none"/>
                <w:right w:val="none"/>
                <w:insideH w:val="none"/>
                <w:insideV w:val="single" w:color="FFFFFF" w:sz="8"/>
              </w:tblBorders>
            </w:tblPr>
            <w:tblGrid>
              <w:gridCol w:w="1481"/>
              <w:gridCol w:w="1481"/>
              <w:gridCol w:w="1481"/>
              <w:gridCol w:w="1481"/>
              <w:gridCol w:w="1482"/>
            </w:tblGrid>
            <w:tr>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Bandeja</w:t>
                  </w:r>
                </w:p>
              </w:tc>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Vencimientos</w:t>
                  </w:r>
                </w:p>
              </w:tc>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Competencia</w:t>
                  </w:r>
                </w:p>
              </w:tc>
              <w:tc>
                <w:tcPr>
                  <w:tcW w:type="dxa" w:w="1481"/>
                  <w:shd w:fill="E8EEF7" w:val="clear"/>
                  <w:tcMar>
                    <w:top w:type="dxa" w:w="90"/>
                    <w:left w:type="dxa" w:w="80"/>
                    <w:bottom w:type="dxa" w:w="90"/>
                    <w:right w:type="dxa" w:w="80"/>
                  </w:tcMar>
                  <w:vAlign w:val="center"/>
                </w:tcPr>
                <w:p>
                  <w:pPr>
                    <w:spacing w:after="0" w:line="230"/>
                    <w:jc w:val="center"/>
                  </w:pPr>
                  <w:r>
                    <w:rPr>
                      <w:b/>
                      <w:bCs/>
                      <w:sz w:val="15"/>
                      <w:szCs w:val="15"/>
                    </w:rPr>
                    <w:t xml:space="preserve">Términos de búsqueda</w:t>
                  </w:r>
                </w:p>
              </w:tc>
              <w:tc>
                <w:tcPr>
                  <w:tcW w:type="dxa" w:w="1482"/>
                  <w:shd w:fill="E8EEF7" w:val="clear"/>
                  <w:tcMar>
                    <w:top w:type="dxa" w:w="90"/>
                    <w:left w:type="dxa" w:w="80"/>
                    <w:bottom w:type="dxa" w:w="90"/>
                    <w:right w:type="dxa" w:w="80"/>
                  </w:tcMar>
                  <w:vAlign w:val="center"/>
                </w:tcPr>
                <w:p>
                  <w:pPr>
                    <w:spacing w:after="0" w:line="230"/>
                    <w:jc w:val="center"/>
                  </w:pPr>
                  <w:r>
                    <w:rPr>
                      <w:b/>
                      <w:bCs/>
                      <w:sz w:val="15"/>
                      <w:szCs w:val="15"/>
                    </w:rPr>
                    <w:t xml:space="preserve">CLI radar.py</w:t>
                  </w:r>
                </w:p>
              </w:tc>
            </w:tr>
          </w:tbl>
          <w:p/>
        </w:tc>
      </w:tr>
    </w:tbl>
    <w:p>
      <w:pPr>
        <w:spacing w:after="160"/>
      </w:pPr>
      <w:r>
        <w:t xml:space="preserve"/>
      </w:r>
    </w:p>
    <w:p>
      <w:pPr>
        <w:pStyle w:val="Heading2"/>
        <w:spacing w:after="120" w:before="240"/>
      </w:pPr>
      <w:r>
        <w:rPr>
          <w:b/>
          <w:bCs/>
          <w:color w:val="1F4E79"/>
          <w:sz w:val="24"/>
          <w:szCs w:val="24"/>
        </w:rPr>
        <w:t xml:space="preserve">5.3 Flujo de datos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DCE6F1" w:val="clear"/>
            <w:tcMar>
              <w:top w:type="dxa" w:w="70"/>
              <w:left w:type="dxa" w:w="110"/>
              <w:bottom w:type="dxa" w:w="70"/>
              <w:right w:type="dxa" w:w="110"/>
            </w:tcMar>
          </w:tcPr>
          <w:p>
            <w:pPr>
              <w:spacing w:after="0" w:line="252"/>
            </w:pPr>
            <w:r>
              <w:rPr>
                <w:b/>
                <w:bCs/>
                <w:color w:val="1F4E79"/>
                <w:sz w:val="18"/>
                <w:szCs w:val="18"/>
              </w:rPr>
              <w:t xml:space="preserve">Etapa</w:t>
            </w:r>
          </w:p>
        </w:tc>
        <w:tc>
          <w:tcPr>
            <w:tcW w:type="dxa" w:w="7040"/>
            <w:shd w:fill="DCE6F1" w:val="clear"/>
            <w:tcMar>
              <w:top w:type="dxa" w:w="70"/>
              <w:left w:type="dxa" w:w="110"/>
              <w:bottom w:type="dxa" w:w="70"/>
              <w:right w:type="dxa" w:w="110"/>
            </w:tcMar>
          </w:tcPr>
          <w:p>
            <w:pPr>
              <w:spacing w:after="0" w:line="252"/>
            </w:pPr>
            <w:r>
              <w:rPr>
                <w:b/>
                <w:bCs/>
                <w:color w:val="1F4E79"/>
                <w:sz w:val="18"/>
                <w:szCs w:val="18"/>
              </w:rPr>
              <w:t xml:space="preserve">Qué ocurre</w:t>
            </w:r>
          </w:p>
        </w:tc>
      </w:tr>
      <w:tr>
        <w:tc>
          <w:tcPr>
            <w:tcW w:type="dxa" w:w="1986"/>
            <w:tcMar>
              <w:top w:type="dxa" w:w="70"/>
              <w:left w:type="dxa" w:w="110"/>
              <w:bottom w:type="dxa" w:w="70"/>
              <w:right w:type="dxa" w:w="110"/>
            </w:tcMar>
          </w:tcPr>
          <w:p>
            <w:pPr>
              <w:spacing w:after="0" w:line="252"/>
            </w:pPr>
            <w:r>
              <w:rPr>
                <w:b w:val="false"/>
                <w:bCs w:val="false"/>
                <w:sz w:val="18"/>
                <w:szCs w:val="18"/>
              </w:rPr>
              <w:t xml:space="preserve">1. Descarga</w:t>
            </w:r>
          </w:p>
        </w:tc>
        <w:tc>
          <w:tcPr>
            <w:tcW w:type="dxa" w:w="7040"/>
            <w:tcMar>
              <w:top w:type="dxa" w:w="70"/>
              <w:left w:type="dxa" w:w="110"/>
              <w:bottom w:type="dxa" w:w="70"/>
              <w:right w:type="dxa" w:w="110"/>
            </w:tcMar>
          </w:tcPr>
          <w:p>
            <w:pPr>
              <w:spacing w:after="0" w:line="252"/>
            </w:pPr>
            <w:r>
              <w:rPr>
                <w:b w:val="false"/>
                <w:bCs w:val="false"/>
                <w:sz w:val="18"/>
                <w:szCs w:val="18"/>
              </w:rPr>
              <w:t xml:space="preserve">Cada conector pide a su fuente lo publicado desde la última ejecución, con TLS verificado, reintentos y control de cursor</w:t>
            </w:r>
          </w:p>
        </w:tc>
      </w:tr>
      <w:tr>
        <w:tc>
          <w:tcPr>
            <w:tcW w:type="dxa" w:w="1986"/>
            <w:shd w:fill="F2F2F2" w:val="clear"/>
            <w:tcMar>
              <w:top w:type="dxa" w:w="70"/>
              <w:left w:type="dxa" w:w="110"/>
              <w:bottom w:type="dxa" w:w="70"/>
              <w:right w:type="dxa" w:w="110"/>
            </w:tcMar>
          </w:tcPr>
          <w:p>
            <w:pPr>
              <w:spacing w:after="0" w:line="252"/>
            </w:pPr>
            <w:r>
              <w:rPr>
                <w:b w:val="false"/>
                <w:bCs w:val="false"/>
                <w:sz w:val="18"/>
                <w:szCs w:val="18"/>
              </w:rPr>
              <w:t xml:space="preserve">2. Normalización</w:t>
            </w:r>
          </w:p>
        </w:tc>
        <w:tc>
          <w:tcPr>
            <w:tcW w:type="dxa" w:w="7040"/>
            <w:shd w:fill="F2F2F2" w:val="clear"/>
            <w:tcMar>
              <w:top w:type="dxa" w:w="70"/>
              <w:left w:type="dxa" w:w="110"/>
              <w:bottom w:type="dxa" w:w="70"/>
              <w:right w:type="dxa" w:w="110"/>
            </w:tcMar>
          </w:tcPr>
          <w:p>
            <w:pPr>
              <w:spacing w:after="0" w:line="252"/>
            </w:pPr>
            <w:r>
              <w:rPr>
                <w:b w:val="false"/>
                <w:bCs w:val="false"/>
                <w:sz w:val="18"/>
                <w:szCs w:val="18"/>
              </w:rPr>
              <w:t xml:space="preserve">Los tres formatos nativos (ATOM/CODICE, JSON de TED, Socrata) se traducen a un único modelo común</w:t>
            </w:r>
          </w:p>
        </w:tc>
      </w:tr>
      <w:tr>
        <w:tc>
          <w:tcPr>
            <w:tcW w:type="dxa" w:w="1986"/>
            <w:tcMar>
              <w:top w:type="dxa" w:w="70"/>
              <w:left w:type="dxa" w:w="110"/>
              <w:bottom w:type="dxa" w:w="70"/>
              <w:right w:type="dxa" w:w="110"/>
            </w:tcMar>
          </w:tcPr>
          <w:p>
            <w:pPr>
              <w:spacing w:after="0" w:line="252"/>
            </w:pPr>
            <w:r>
              <w:rPr>
                <w:b w:val="false"/>
                <w:bCs w:val="false"/>
                <w:sz w:val="18"/>
                <w:szCs w:val="18"/>
              </w:rPr>
              <w:t xml:space="preserve">3. Deduplicación</w:t>
            </w:r>
          </w:p>
        </w:tc>
        <w:tc>
          <w:tcPr>
            <w:tcW w:type="dxa" w:w="7040"/>
            <w:tcMar>
              <w:top w:type="dxa" w:w="70"/>
              <w:left w:type="dxa" w:w="110"/>
              <w:bottom w:type="dxa" w:w="70"/>
              <w:right w:type="dxa" w:w="110"/>
            </w:tcMar>
          </w:tcPr>
          <w:p>
            <w:pPr>
              <w:spacing w:after="0" w:line="252"/>
            </w:pPr>
            <w:r>
              <w:rPr>
                <w:b w:val="false"/>
                <w:bCs w:val="false"/>
                <w:sz w:val="18"/>
                <w:szCs w:val="18"/>
              </w:rPr>
              <w:t xml:space="preserve">Se compara una huella del contenido relevante: solo se guarda si algo ha cambiado de verdad</w:t>
            </w:r>
          </w:p>
        </w:tc>
      </w:tr>
      <w:tr>
        <w:tc>
          <w:tcPr>
            <w:tcW w:type="dxa" w:w="1986"/>
            <w:shd w:fill="F2F2F2" w:val="clear"/>
            <w:tcMar>
              <w:top w:type="dxa" w:w="70"/>
              <w:left w:type="dxa" w:w="110"/>
              <w:bottom w:type="dxa" w:w="70"/>
              <w:right w:type="dxa" w:w="110"/>
            </w:tcMar>
          </w:tcPr>
          <w:p>
            <w:pPr>
              <w:spacing w:after="0" w:line="252"/>
            </w:pPr>
            <w:r>
              <w:rPr>
                <w:b w:val="false"/>
                <w:bCs w:val="false"/>
                <w:sz w:val="18"/>
                <w:szCs w:val="18"/>
              </w:rPr>
              <w:t xml:space="preserve">4. Historial</w:t>
            </w:r>
          </w:p>
        </w:tc>
        <w:tc>
          <w:tcPr>
            <w:tcW w:type="dxa" w:w="7040"/>
            <w:shd w:fill="F2F2F2" w:val="clear"/>
            <w:tcMar>
              <w:top w:type="dxa" w:w="70"/>
              <w:left w:type="dxa" w:w="110"/>
              <w:bottom w:type="dxa" w:w="70"/>
              <w:right w:type="dxa" w:w="110"/>
            </w:tcMar>
          </w:tcPr>
          <w:p>
            <w:pPr>
              <w:spacing w:after="0" w:line="252"/>
            </w:pPr>
            <w:r>
              <w:rPr>
                <w:b w:val="false"/>
                <w:bCs w:val="false"/>
                <w:sz w:val="18"/>
                <w:szCs w:val="18"/>
              </w:rPr>
              <w:t xml:space="preserve">Los cambios con significado comercial (estado, adjudicatario, importe) generan una versión</w:t>
            </w:r>
          </w:p>
        </w:tc>
      </w:tr>
      <w:tr>
        <w:tc>
          <w:tcPr>
            <w:tcW w:type="dxa" w:w="1986"/>
            <w:tcMar>
              <w:top w:type="dxa" w:w="70"/>
              <w:left w:type="dxa" w:w="110"/>
              <w:bottom w:type="dxa" w:w="70"/>
              <w:right w:type="dxa" w:w="110"/>
            </w:tcMar>
          </w:tcPr>
          <w:p>
            <w:pPr>
              <w:spacing w:after="0" w:line="252"/>
            </w:pPr>
            <w:r>
              <w:rPr>
                <w:b w:val="false"/>
                <w:bCs w:val="false"/>
                <w:sz w:val="18"/>
                <w:szCs w:val="18"/>
              </w:rPr>
              <w:t xml:space="preserve">5. Evaluación</w:t>
            </w:r>
          </w:p>
        </w:tc>
        <w:tc>
          <w:tcPr>
            <w:tcW w:type="dxa" w:w="7040"/>
            <w:tcMar>
              <w:top w:type="dxa" w:w="70"/>
              <w:left w:type="dxa" w:w="110"/>
              <w:bottom w:type="dxa" w:w="70"/>
              <w:right w:type="dxa" w:w="110"/>
            </w:tcMar>
          </w:tcPr>
          <w:p>
            <w:pPr>
              <w:spacing w:after="0" w:line="252"/>
            </w:pPr>
            <w:r>
              <w:rPr>
                <w:b w:val="false"/>
                <w:bCs w:val="false"/>
                <w:sz w:val="18"/>
                <w:szCs w:val="18"/>
              </w:rPr>
              <w:t xml:space="preserve">El motor de reglas aplica los perfiles y registra la puntuación y el motivo de cada coincidencia</w:t>
            </w:r>
          </w:p>
        </w:tc>
      </w:tr>
      <w:tr>
        <w:tc>
          <w:tcPr>
            <w:tcW w:type="dxa" w:w="1986"/>
            <w:shd w:fill="F2F2F2" w:val="clear"/>
            <w:tcMar>
              <w:top w:type="dxa" w:w="70"/>
              <w:left w:type="dxa" w:w="110"/>
              <w:bottom w:type="dxa" w:w="70"/>
              <w:right w:type="dxa" w:w="110"/>
            </w:tcMar>
          </w:tcPr>
          <w:p>
            <w:pPr>
              <w:spacing w:after="0" w:line="252"/>
            </w:pPr>
            <w:r>
              <w:rPr>
                <w:b w:val="false"/>
                <w:bCs w:val="false"/>
                <w:sz w:val="18"/>
                <w:szCs w:val="18"/>
              </w:rPr>
              <w:t xml:space="preserve">6. Presentación</w:t>
            </w:r>
          </w:p>
        </w:tc>
        <w:tc>
          <w:tcPr>
            <w:tcW w:type="dxa" w:w="7040"/>
            <w:shd w:fill="F2F2F2" w:val="clear"/>
            <w:tcMar>
              <w:top w:type="dxa" w:w="70"/>
              <w:left w:type="dxa" w:w="110"/>
              <w:bottom w:type="dxa" w:w="70"/>
              <w:right w:type="dxa" w:w="110"/>
            </w:tcMar>
          </w:tcPr>
          <w:p>
            <w:pPr>
              <w:spacing w:after="0" w:line="252"/>
            </w:pPr>
            <w:r>
              <w:rPr>
                <w:b w:val="false"/>
                <w:bCs w:val="false"/>
                <w:sz w:val="18"/>
                <w:szCs w:val="18"/>
              </w:rPr>
              <w:t xml:space="preserve">Un servidor local sirve la interfaz y una API JSON de solo lectura sobre 127.0.0.1</w:t>
            </w:r>
          </w:p>
        </w:tc>
      </w:tr>
    </w:tbl>
    <w:p>
      <w:pPr>
        <w:spacing w:after="120"/>
      </w:pPr>
      <w:r>
        <w:t xml:space="preserve"/>
      </w:r>
    </w:p>
    <w:p>
      <w:pPr>
        <w:pStyle w:val="Heading2"/>
        <w:spacing w:after="120" w:before="240"/>
      </w:pPr>
      <w:r>
        <w:rPr>
          <w:b/>
          <w:bCs/>
          <w:color w:val="1F4E79"/>
          <w:sz w:val="24"/>
          <w:szCs w:val="24"/>
        </w:rPr>
        <w:t xml:space="preserve">5.4 Módulos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596"/>
        <w:gridCol w:w="1264"/>
      </w:tblGrid>
      <w:tr>
        <w:trPr>
          <w:tblHeader/>
        </w:trPr>
        <w:tc>
          <w:tcPr>
            <w:tcW w:type="dxa" w:w="2166"/>
            <w:shd w:fill="DCE6F1" w:val="clear"/>
            <w:tcMar>
              <w:top w:type="dxa" w:w="70"/>
              <w:left w:type="dxa" w:w="110"/>
              <w:bottom w:type="dxa" w:w="70"/>
              <w:right w:type="dxa" w:w="110"/>
            </w:tcMar>
          </w:tcPr>
          <w:p>
            <w:pPr>
              <w:spacing w:after="0" w:line="252"/>
            </w:pPr>
            <w:r>
              <w:rPr>
                <w:b/>
                <w:bCs/>
                <w:color w:val="1F4E79"/>
                <w:sz w:val="18"/>
                <w:szCs w:val="18"/>
              </w:rPr>
              <w:t xml:space="preserve">Módulo</w:t>
            </w:r>
          </w:p>
        </w:tc>
        <w:tc>
          <w:tcPr>
            <w:tcW w:type="dxa" w:w="5596"/>
            <w:shd w:fill="DCE6F1" w:val="clear"/>
            <w:tcMar>
              <w:top w:type="dxa" w:w="70"/>
              <w:left w:type="dxa" w:w="110"/>
              <w:bottom w:type="dxa" w:w="70"/>
              <w:right w:type="dxa" w:w="110"/>
            </w:tcMar>
          </w:tcPr>
          <w:p>
            <w:pPr>
              <w:spacing w:after="0" w:line="252"/>
            </w:pPr>
            <w:r>
              <w:rPr>
                <w:b/>
                <w:bCs/>
                <w:color w:val="1F4E79"/>
                <w:sz w:val="18"/>
                <w:szCs w:val="18"/>
              </w:rPr>
              <w:t xml:space="preserve">Responsabilidad</w:t>
            </w:r>
          </w:p>
        </w:tc>
        <w:tc>
          <w:tcPr>
            <w:tcW w:type="dxa" w:w="1264"/>
            <w:shd w:fill="DCE6F1" w:val="clear"/>
            <w:tcMar>
              <w:top w:type="dxa" w:w="70"/>
              <w:left w:type="dxa" w:w="110"/>
              <w:bottom w:type="dxa" w:w="70"/>
              <w:right w:type="dxa" w:w="110"/>
            </w:tcMar>
          </w:tcPr>
          <w:p>
            <w:pPr>
              <w:spacing w:after="0" w:line="252"/>
            </w:pPr>
            <w:r>
              <w:rPr>
                <w:b/>
                <w:bCs/>
                <w:color w:val="1F4E79"/>
                <w:sz w:val="18"/>
                <w:szCs w:val="18"/>
              </w:rPr>
              <w:t xml:space="preserve">Líneas</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radar.py</w:t>
            </w:r>
          </w:p>
        </w:tc>
        <w:tc>
          <w:tcPr>
            <w:tcW w:type="dxa" w:w="5596"/>
            <w:tcMar>
              <w:top w:type="dxa" w:w="70"/>
              <w:left w:type="dxa" w:w="110"/>
              <w:bottom w:type="dxa" w:w="70"/>
              <w:right w:type="dxa" w:w="110"/>
            </w:tcMar>
          </w:tcPr>
          <w:p>
            <w:pPr>
              <w:spacing w:after="0" w:line="252"/>
            </w:pPr>
            <w:r>
              <w:rPr>
                <w:b w:val="false"/>
                <w:bCs w:val="false"/>
                <w:sz w:val="18"/>
                <w:szCs w:val="18"/>
              </w:rPr>
              <w:t xml:space="preserve">Interfaz de línea de comandos: ingest, match, serve, vencimientos, competencia, export, programar, estado</w:t>
            </w:r>
          </w:p>
        </w:tc>
        <w:tc>
          <w:tcPr>
            <w:tcW w:type="dxa" w:w="1264"/>
            <w:tcMar>
              <w:top w:type="dxa" w:w="70"/>
              <w:left w:type="dxa" w:w="110"/>
              <w:bottom w:type="dxa" w:w="70"/>
              <w:right w:type="dxa" w:w="110"/>
            </w:tcMar>
          </w:tcPr>
          <w:p>
            <w:pPr>
              <w:spacing w:after="0" w:line="252"/>
            </w:pPr>
            <w:r>
              <w:rPr>
                <w:b w:val="false"/>
                <w:bCs w:val="false"/>
                <w:sz w:val="18"/>
                <w:szCs w:val="18"/>
              </w:rPr>
              <w:t xml:space="preserve">327</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radar/net.py</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Descargas con TLS verificado, reintentos con espera creciente y caché condicional</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217</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radar/model.py</w:t>
            </w:r>
          </w:p>
        </w:tc>
        <w:tc>
          <w:tcPr>
            <w:tcW w:type="dxa" w:w="5596"/>
            <w:tcMar>
              <w:top w:type="dxa" w:w="70"/>
              <w:left w:type="dxa" w:w="110"/>
              <w:bottom w:type="dxa" w:w="70"/>
              <w:right w:type="dxa" w:w="110"/>
            </w:tcMar>
          </w:tcPr>
          <w:p>
            <w:pPr>
              <w:spacing w:after="0" w:line="252"/>
            </w:pPr>
            <w:r>
              <w:rPr>
                <w:b w:val="false"/>
                <w:bCs w:val="false"/>
                <w:sz w:val="18"/>
                <w:szCs w:val="18"/>
              </w:rPr>
              <w:t xml:space="preserve">Modelo común, normalización de fechas e importes, cálculo de huella y clave de agrupación</w:t>
            </w:r>
          </w:p>
        </w:tc>
        <w:tc>
          <w:tcPr>
            <w:tcW w:type="dxa" w:w="1264"/>
            <w:tcMar>
              <w:top w:type="dxa" w:w="70"/>
              <w:left w:type="dxa" w:w="110"/>
              <w:bottom w:type="dxa" w:w="70"/>
              <w:right w:type="dxa" w:w="110"/>
            </w:tcMar>
          </w:tcPr>
          <w:p>
            <w:pPr>
              <w:spacing w:after="0" w:line="252"/>
            </w:pPr>
            <w:r>
              <w:rPr>
                <w:b w:val="false"/>
                <w:bCs w:val="false"/>
                <w:sz w:val="18"/>
                <w:szCs w:val="18"/>
              </w:rPr>
              <w:t xml:space="preserve">320</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radar/db.py</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Esquema SQLite, migraciones idempotentes, deduplicación e historial de versiones</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534</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radar/matching.py</w:t>
            </w:r>
          </w:p>
        </w:tc>
        <w:tc>
          <w:tcPr>
            <w:tcW w:type="dxa" w:w="5596"/>
            <w:tcMar>
              <w:top w:type="dxa" w:w="70"/>
              <w:left w:type="dxa" w:w="110"/>
              <w:bottom w:type="dxa" w:w="70"/>
              <w:right w:type="dxa" w:w="110"/>
            </w:tcMar>
          </w:tcPr>
          <w:p>
            <w:pPr>
              <w:spacing w:after="0" w:line="252"/>
            </w:pPr>
            <w:r>
              <w:rPr>
                <w:b w:val="false"/>
                <w:bCs w:val="false"/>
                <w:sz w:val="18"/>
                <w:szCs w:val="18"/>
              </w:rPr>
              <w:t xml:space="preserve">Motor de reglas, validación y previsualización de perfiles</w:t>
            </w:r>
          </w:p>
        </w:tc>
        <w:tc>
          <w:tcPr>
            <w:tcW w:type="dxa" w:w="1264"/>
            <w:tcMar>
              <w:top w:type="dxa" w:w="70"/>
              <w:left w:type="dxa" w:w="110"/>
              <w:bottom w:type="dxa" w:w="70"/>
              <w:right w:type="dxa" w:w="110"/>
            </w:tcMar>
          </w:tcPr>
          <w:p>
            <w:pPr>
              <w:spacing w:after="0" w:line="252"/>
            </w:pPr>
            <w:r>
              <w:rPr>
                <w:b w:val="false"/>
                <w:bCs w:val="false"/>
                <w:sz w:val="18"/>
                <w:szCs w:val="18"/>
              </w:rPr>
              <w:t xml:space="preserve">439</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radar/consultas.py</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Consultas de las cuatro vistas, contadores y exportación</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587</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radar/server.py</w:t>
            </w:r>
          </w:p>
        </w:tc>
        <w:tc>
          <w:tcPr>
            <w:tcW w:type="dxa" w:w="5596"/>
            <w:tcMar>
              <w:top w:type="dxa" w:w="70"/>
              <w:left w:type="dxa" w:w="110"/>
              <w:bottom w:type="dxa" w:w="70"/>
              <w:right w:type="dxa" w:w="110"/>
            </w:tcMar>
          </w:tcPr>
          <w:p>
            <w:pPr>
              <w:spacing w:after="0" w:line="252"/>
            </w:pPr>
            <w:r>
              <w:rPr>
                <w:b w:val="false"/>
                <w:bCs w:val="false"/>
                <w:sz w:val="18"/>
                <w:szCs w:val="18"/>
              </w:rPr>
              <w:t xml:space="preserve">Servidor HTTP local y API JSON</w:t>
            </w:r>
          </w:p>
        </w:tc>
        <w:tc>
          <w:tcPr>
            <w:tcW w:type="dxa" w:w="1264"/>
            <w:tcMar>
              <w:top w:type="dxa" w:w="70"/>
              <w:left w:type="dxa" w:w="110"/>
              <w:bottom w:type="dxa" w:w="70"/>
              <w:right w:type="dxa" w:w="110"/>
            </w:tcMar>
          </w:tcPr>
          <w:p>
            <w:pPr>
              <w:spacing w:after="0" w:line="252"/>
            </w:pPr>
            <w:r>
              <w:rPr>
                <w:b w:val="false"/>
                <w:bCs w:val="false"/>
                <w:sz w:val="18"/>
                <w:szCs w:val="18"/>
              </w:rPr>
              <w:t xml:space="preserve">306</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radar/pipeline.py</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Orquestación de la ingesta y aislamiento de fallos por fuente</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125</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radar/busqueda.py</w:t>
            </w:r>
          </w:p>
        </w:tc>
        <w:tc>
          <w:tcPr>
            <w:tcW w:type="dxa" w:w="5596"/>
            <w:tcMar>
              <w:top w:type="dxa" w:w="70"/>
              <w:left w:type="dxa" w:w="110"/>
              <w:bottom w:type="dxa" w:w="70"/>
              <w:right w:type="dxa" w:w="110"/>
            </w:tcMar>
          </w:tcPr>
          <w:p>
            <w:pPr>
              <w:spacing w:after="0" w:line="252"/>
            </w:pPr>
            <w:r>
              <w:rPr>
                <w:b w:val="false"/>
                <w:bCs w:val="false"/>
                <w:sz w:val="18"/>
                <w:szCs w:val="18"/>
              </w:rPr>
              <w:t xml:space="preserve">Lanzamiento en segundo plano y cerrojo entre procesos</w:t>
            </w:r>
          </w:p>
        </w:tc>
        <w:tc>
          <w:tcPr>
            <w:tcW w:type="dxa" w:w="1264"/>
            <w:tcMar>
              <w:top w:type="dxa" w:w="70"/>
              <w:left w:type="dxa" w:w="110"/>
              <w:bottom w:type="dxa" w:w="70"/>
              <w:right w:type="dxa" w:w="110"/>
            </w:tcMar>
          </w:tcPr>
          <w:p>
            <w:pPr>
              <w:spacing w:after="0" w:line="252"/>
            </w:pPr>
            <w:r>
              <w:rPr>
                <w:b w:val="false"/>
                <w:bCs w:val="false"/>
                <w:sz w:val="18"/>
                <w:szCs w:val="18"/>
              </w:rPr>
              <w:t xml:space="preserve">160</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radar/programar.py</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Instalación y retirada de la tarea diaria de macOS</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89</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radar/sources/placsp.py</w:t>
            </w:r>
          </w:p>
        </w:tc>
        <w:tc>
          <w:tcPr>
            <w:tcW w:type="dxa" w:w="5596"/>
            <w:tcMar>
              <w:top w:type="dxa" w:w="70"/>
              <w:left w:type="dxa" w:w="110"/>
              <w:bottom w:type="dxa" w:w="70"/>
              <w:right w:type="dxa" w:w="110"/>
            </w:tcMar>
          </w:tcPr>
          <w:p>
            <w:pPr>
              <w:spacing w:after="0" w:line="252"/>
            </w:pPr>
            <w:r>
              <w:rPr>
                <w:b w:val="false"/>
                <w:bCs w:val="false"/>
                <w:sz w:val="18"/>
                <w:szCs w:val="18"/>
              </w:rPr>
              <w:t xml:space="preserve">Conector de PLACSP: ATOM CODICE, cuatro conjuntos de datos, histórico en ZIP</w:t>
            </w:r>
          </w:p>
        </w:tc>
        <w:tc>
          <w:tcPr>
            <w:tcW w:type="dxa" w:w="1264"/>
            <w:tcMar>
              <w:top w:type="dxa" w:w="70"/>
              <w:left w:type="dxa" w:w="110"/>
              <w:bottom w:type="dxa" w:w="70"/>
              <w:right w:type="dxa" w:w="110"/>
            </w:tcMar>
          </w:tcPr>
          <w:p>
            <w:pPr>
              <w:spacing w:after="0" w:line="252"/>
            </w:pPr>
            <w:r>
              <w:rPr>
                <w:b w:val="false"/>
                <w:bCs w:val="false"/>
                <w:sz w:val="18"/>
                <w:szCs w:val="18"/>
              </w:rPr>
              <w:t xml:space="preserve">504</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radar/sources/ted.py</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Conector de TED: Search API v3, campos multilingües y paginación</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317</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radar/sources/catalunya.py</w:t>
            </w:r>
          </w:p>
        </w:tc>
        <w:tc>
          <w:tcPr>
            <w:tcW w:type="dxa" w:w="5596"/>
            <w:tcMar>
              <w:top w:type="dxa" w:w="70"/>
              <w:left w:type="dxa" w:w="110"/>
              <w:bottom w:type="dxa" w:w="70"/>
              <w:right w:type="dxa" w:w="110"/>
            </w:tcMar>
          </w:tcPr>
          <w:p>
            <w:pPr>
              <w:spacing w:after="0" w:line="252"/>
            </w:pPr>
            <w:r>
              <w:rPr>
                <w:b w:val="false"/>
                <w:bCs w:val="false"/>
                <w:sz w:val="18"/>
                <w:szCs w:val="18"/>
              </w:rPr>
              <w:t xml:space="preserve">Conector de Cataluña: API Socrata con filtrado SoQL</w:t>
            </w:r>
          </w:p>
        </w:tc>
        <w:tc>
          <w:tcPr>
            <w:tcW w:type="dxa" w:w="1264"/>
            <w:tcMar>
              <w:top w:type="dxa" w:w="70"/>
              <w:left w:type="dxa" w:w="110"/>
              <w:bottom w:type="dxa" w:w="70"/>
              <w:right w:type="dxa" w:w="110"/>
            </w:tcMar>
          </w:tcPr>
          <w:p>
            <w:pPr>
              <w:spacing w:after="0" w:line="252"/>
            </w:pPr>
            <w:r>
              <w:rPr>
                <w:b w:val="false"/>
                <w:bCs w:val="false"/>
                <w:sz w:val="18"/>
                <w:szCs w:val="18"/>
              </w:rPr>
              <w:t xml:space="preserve">269</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web/</w:t>
            </w:r>
          </w:p>
        </w:tc>
        <w:tc>
          <w:tcPr>
            <w:tcW w:type="dxa" w:w="5596"/>
            <w:shd w:fill="F2F2F2" w:val="clear"/>
            <w:tcMar>
              <w:top w:type="dxa" w:w="70"/>
              <w:left w:type="dxa" w:w="110"/>
              <w:bottom w:type="dxa" w:w="70"/>
              <w:right w:type="dxa" w:w="110"/>
            </w:tcMar>
          </w:tcPr>
          <w:p>
            <w:pPr>
              <w:spacing w:after="0" w:line="252"/>
            </w:pPr>
            <w:r>
              <w:rPr>
                <w:b w:val="false"/>
                <w:bCs w:val="false"/>
                <w:sz w:val="18"/>
                <w:szCs w:val="18"/>
              </w:rPr>
              <w:t xml:space="preserve">Interfaz: HTML, CSS y JavaScript sin compilación ni librerías</w:t>
            </w:r>
          </w:p>
        </w:tc>
        <w:tc>
          <w:tcPr>
            <w:tcW w:type="dxa" w:w="1264"/>
            <w:shd w:fill="F2F2F2" w:val="clear"/>
            <w:tcMar>
              <w:top w:type="dxa" w:w="70"/>
              <w:left w:type="dxa" w:w="110"/>
              <w:bottom w:type="dxa" w:w="70"/>
              <w:right w:type="dxa" w:w="110"/>
            </w:tcMar>
          </w:tcPr>
          <w:p>
            <w:pPr>
              <w:spacing w:after="0" w:line="252"/>
            </w:pPr>
            <w:r>
              <w:rPr>
                <w:b w:val="false"/>
                <w:bCs w:val="false"/>
                <w:sz w:val="18"/>
                <w:szCs w:val="18"/>
              </w:rPr>
              <w:t xml:space="preserve">822</w:t>
            </w:r>
          </w:p>
        </w:tc>
      </w:tr>
    </w:tbl>
    <w:p>
      <w:pPr>
        <w:spacing w:after="120"/>
      </w:pPr>
      <w:r>
        <w:t xml:space="preserve"/>
      </w:r>
    </w:p>
    <w:p>
      <w:pPr>
        <w:spacing w:after="140" w:line="276"/>
      </w:pPr>
      <w:r>
        <w:t xml:space="preserve">En total unas 5.850 líneas de Python y 822 de JavaScript, con 126 pruebas automatizadas que emplean descargas reales de las fuentes como material de prueba.</w:t>
      </w:r>
    </w:p>
    <w:p>
      <w:pPr>
        <w:pStyle w:val="Heading1"/>
        <w:pageBreakBefore/>
        <w:pBdr>
          <w:bottom w:val="single" w:color="DCE6F1" w:sz="6" w:space="6"/>
        </w:pBdr>
        <w:spacing w:after="160" w:before="320"/>
      </w:pPr>
      <w:r>
        <w:rPr>
          <w:b/>
          <w:bCs/>
          <w:color w:val="1F4E79"/>
          <w:sz w:val="30"/>
          <w:szCs w:val="30"/>
        </w:rPr>
        <w:t xml:space="preserve">6. Modelo de datos</w:t>
      </w:r>
    </w:p>
    <w:p>
      <w:pPr>
        <w:spacing w:after="140" w:line="276"/>
      </w:pPr>
      <w:r>
        <w:t xml:space="preserve">Una única base SQLite en la carpeta del proyecto. Ocho tablas, de las cuales dos concentran las decisiones de diseño.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235"/>
        <w:gridCol w:w="1625"/>
      </w:tblGrid>
      <w:tr>
        <w:trPr>
          <w:tblHeader/>
        </w:trPr>
        <w:tc>
          <w:tcPr>
            <w:tcW w:type="dxa" w:w="2166"/>
            <w:shd w:fill="DCE6F1" w:val="clear"/>
            <w:tcMar>
              <w:top w:type="dxa" w:w="70"/>
              <w:left w:type="dxa" w:w="110"/>
              <w:bottom w:type="dxa" w:w="70"/>
              <w:right w:type="dxa" w:w="110"/>
            </w:tcMar>
          </w:tcPr>
          <w:p>
            <w:pPr>
              <w:spacing w:after="0" w:line="252"/>
            </w:pPr>
            <w:r>
              <w:rPr>
                <w:b/>
                <w:bCs/>
                <w:color w:val="1F4E79"/>
                <w:sz w:val="18"/>
                <w:szCs w:val="18"/>
              </w:rPr>
              <w:t xml:space="preserve">Tabla</w:t>
            </w:r>
          </w:p>
        </w:tc>
        <w:tc>
          <w:tcPr>
            <w:tcW w:type="dxa" w:w="5235"/>
            <w:shd w:fill="DCE6F1" w:val="clear"/>
            <w:tcMar>
              <w:top w:type="dxa" w:w="70"/>
              <w:left w:type="dxa" w:w="110"/>
              <w:bottom w:type="dxa" w:w="70"/>
              <w:right w:type="dxa" w:w="110"/>
            </w:tcMar>
          </w:tcPr>
          <w:p>
            <w:pPr>
              <w:spacing w:after="0" w:line="252"/>
            </w:pPr>
            <w:r>
              <w:rPr>
                <w:b/>
                <w:bCs/>
                <w:color w:val="1F4E79"/>
                <w:sz w:val="18"/>
                <w:szCs w:val="18"/>
              </w:rPr>
              <w:t xml:space="preserve">Contenido</w:t>
            </w:r>
          </w:p>
        </w:tc>
        <w:tc>
          <w:tcPr>
            <w:tcW w:type="dxa" w:w="1625"/>
            <w:shd w:fill="DCE6F1" w:val="clear"/>
            <w:tcMar>
              <w:top w:type="dxa" w:w="70"/>
              <w:left w:type="dxa" w:w="110"/>
              <w:bottom w:type="dxa" w:w="70"/>
              <w:right w:type="dxa" w:w="110"/>
            </w:tcMar>
          </w:tcPr>
          <w:p>
            <w:pPr>
              <w:spacing w:after="0" w:line="252"/>
            </w:pPr>
            <w:r>
              <w:rPr>
                <w:b/>
                <w:bCs/>
                <w:color w:val="1F4E79"/>
                <w:sz w:val="18"/>
                <w:szCs w:val="18"/>
              </w:rPr>
              <w:t xml:space="preserve">Registros</w:t>
            </w:r>
          </w:p>
        </w:tc>
      </w:tr>
      <w:tr>
        <w:tc>
          <w:tcPr>
            <w:tcW w:type="dxa" w:w="2166"/>
            <w:tcMar>
              <w:top w:type="dxa" w:w="70"/>
              <w:left w:type="dxa" w:w="110"/>
              <w:bottom w:type="dxa" w:w="70"/>
              <w:right w:type="dxa" w:w="110"/>
            </w:tcMar>
          </w:tcPr>
          <w:p>
            <w:pPr>
              <w:spacing w:after="0" w:line="252"/>
            </w:pPr>
            <w:r>
              <w:rPr>
                <w:b w:val="false"/>
                <w:bCs w:val="false"/>
                <w:sz w:val="18"/>
                <w:szCs w:val="18"/>
              </w:rPr>
              <w:t xml:space="preserve">licitaciones</w:t>
            </w:r>
          </w:p>
        </w:tc>
        <w:tc>
          <w:tcPr>
            <w:tcW w:type="dxa" w:w="5235"/>
            <w:tcMar>
              <w:top w:type="dxa" w:w="70"/>
              <w:left w:type="dxa" w:w="110"/>
              <w:bottom w:type="dxa" w:w="70"/>
              <w:right w:type="dxa" w:w="110"/>
            </w:tcMar>
          </w:tcPr>
          <w:p>
            <w:pPr>
              <w:spacing w:after="0" w:line="252"/>
            </w:pPr>
            <w:r>
              <w:rPr>
                <w:b w:val="false"/>
                <w:bCs w:val="false"/>
                <w:sz w:val="18"/>
                <w:szCs w:val="18"/>
              </w:rPr>
              <w:t xml:space="preserve">Estado actual de cada anuncio, con clave (fuente, identificador externo)</w:t>
            </w:r>
          </w:p>
        </w:tc>
        <w:tc>
          <w:tcPr>
            <w:tcW w:type="dxa" w:w="1625"/>
            <w:tcMar>
              <w:top w:type="dxa" w:w="70"/>
              <w:left w:type="dxa" w:w="110"/>
              <w:bottom w:type="dxa" w:w="70"/>
              <w:right w:type="dxa" w:w="110"/>
            </w:tcMar>
          </w:tcPr>
          <w:p>
            <w:pPr>
              <w:spacing w:after="0" w:line="252"/>
            </w:pPr>
            <w:r>
              <w:rPr>
                <w:b w:val="false"/>
                <w:bCs w:val="false"/>
                <w:sz w:val="18"/>
                <w:szCs w:val="18"/>
              </w:rPr>
              <w:t xml:space="preserve">127.552</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licitaciones_versiones</w:t>
            </w:r>
          </w:p>
        </w:tc>
        <w:tc>
          <w:tcPr>
            <w:tcW w:type="dxa" w:w="5235"/>
            <w:shd w:fill="F2F2F2" w:val="clear"/>
            <w:tcMar>
              <w:top w:type="dxa" w:w="70"/>
              <w:left w:type="dxa" w:w="110"/>
              <w:bottom w:type="dxa" w:w="70"/>
              <w:right w:type="dxa" w:w="110"/>
            </w:tcMar>
          </w:tcPr>
          <w:p>
            <w:pPr>
              <w:spacing w:after="0" w:line="252"/>
            </w:pPr>
            <w:r>
              <w:rPr>
                <w:b w:val="false"/>
                <w:bCs w:val="false"/>
                <w:sz w:val="18"/>
                <w:szCs w:val="18"/>
              </w:rPr>
              <w:t xml:space="preserve">Un registro por cada cambio con significado comercial</w:t>
            </w:r>
          </w:p>
        </w:tc>
        <w:tc>
          <w:tcPr>
            <w:tcW w:type="dxa" w:w="1625"/>
            <w:shd w:fill="F2F2F2" w:val="clear"/>
            <w:tcMar>
              <w:top w:type="dxa" w:w="70"/>
              <w:left w:type="dxa" w:w="110"/>
              <w:bottom w:type="dxa" w:w="70"/>
              <w:right w:type="dxa" w:w="110"/>
            </w:tcMar>
          </w:tcPr>
          <w:p>
            <w:pPr>
              <w:spacing w:after="0" w:line="252"/>
            </w:pPr>
            <w:r>
              <w:rPr>
                <w:b w:val="false"/>
                <w:bCs w:val="false"/>
                <w:sz w:val="18"/>
                <w:szCs w:val="18"/>
              </w:rPr>
              <w:t xml:space="preserve">269.518</w:t>
            </w:r>
          </w:p>
        </w:tc>
      </w:tr>
      <w:tr>
        <w:tc>
          <w:tcPr>
            <w:tcW w:type="dxa" w:w="2166"/>
            <w:tcMar>
              <w:top w:type="dxa" w:w="70"/>
              <w:left w:type="dxa" w:w="110"/>
              <w:bottom w:type="dxa" w:w="70"/>
              <w:right w:type="dxa" w:w="110"/>
            </w:tcMar>
          </w:tcPr>
          <w:p>
            <w:pPr>
              <w:spacing w:after="0" w:line="252"/>
            </w:pPr>
            <w:r>
              <w:rPr>
                <w:b w:val="false"/>
                <w:bCs w:val="false"/>
                <w:sz w:val="18"/>
                <w:szCs w:val="18"/>
              </w:rPr>
              <w:t xml:space="preserve">licitaciones_fts</w:t>
            </w:r>
          </w:p>
        </w:tc>
        <w:tc>
          <w:tcPr>
            <w:tcW w:type="dxa" w:w="5235"/>
            <w:tcMar>
              <w:top w:type="dxa" w:w="70"/>
              <w:left w:type="dxa" w:w="110"/>
              <w:bottom w:type="dxa" w:w="70"/>
              <w:right w:type="dxa" w:w="110"/>
            </w:tcMar>
          </w:tcPr>
          <w:p>
            <w:pPr>
              <w:spacing w:after="0" w:line="252"/>
            </w:pPr>
            <w:r>
              <w:rPr>
                <w:b w:val="false"/>
                <w:bCs w:val="false"/>
                <w:sz w:val="18"/>
                <w:szCs w:val="18"/>
              </w:rPr>
              <w:t xml:space="preserve">Índice de texto completo, insensible a acentos</w:t>
            </w:r>
          </w:p>
        </w:tc>
        <w:tc>
          <w:tcPr>
            <w:tcW w:type="dxa" w:w="1625"/>
            <w:tcMar>
              <w:top w:type="dxa" w:w="70"/>
              <w:left w:type="dxa" w:w="110"/>
              <w:bottom w:type="dxa" w:w="70"/>
              <w:right w:type="dxa" w:w="110"/>
            </w:tcMar>
          </w:tcPr>
          <w:p>
            <w:pPr>
              <w:spacing w:after="0" w:line="252"/>
            </w:pPr>
            <w:r>
              <w:rPr>
                <w:b w:val="false"/>
                <w:bCs w:val="false"/>
                <w:sz w:val="18"/>
                <w:szCs w:val="18"/>
              </w:rPr>
              <w:t xml:space="preserve">127.552</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matches</w:t>
            </w:r>
          </w:p>
        </w:tc>
        <w:tc>
          <w:tcPr>
            <w:tcW w:type="dxa" w:w="5235"/>
            <w:shd w:fill="F2F2F2" w:val="clear"/>
            <w:tcMar>
              <w:top w:type="dxa" w:w="70"/>
              <w:left w:type="dxa" w:w="110"/>
              <w:bottom w:type="dxa" w:w="70"/>
              <w:right w:type="dxa" w:w="110"/>
            </w:tcMar>
          </w:tcPr>
          <w:p>
            <w:pPr>
              <w:spacing w:after="0" w:line="252"/>
            </w:pPr>
            <w:r>
              <w:rPr>
                <w:b w:val="false"/>
                <w:bCs w:val="false"/>
                <w:sz w:val="18"/>
                <w:szCs w:val="18"/>
              </w:rPr>
              <w:t xml:space="preserve">Coincidencias con cada perfil, con puntuación y motivo</w:t>
            </w:r>
          </w:p>
        </w:tc>
        <w:tc>
          <w:tcPr>
            <w:tcW w:type="dxa" w:w="1625"/>
            <w:shd w:fill="F2F2F2" w:val="clear"/>
            <w:tcMar>
              <w:top w:type="dxa" w:w="70"/>
              <w:left w:type="dxa" w:w="110"/>
              <w:bottom w:type="dxa" w:w="70"/>
              <w:right w:type="dxa" w:w="110"/>
            </w:tcMar>
          </w:tcPr>
          <w:p>
            <w:pPr>
              <w:spacing w:after="0" w:line="252"/>
            </w:pPr>
            <w:r>
              <w:rPr>
                <w:b w:val="false"/>
                <w:bCs w:val="false"/>
                <w:sz w:val="18"/>
                <w:szCs w:val="18"/>
              </w:rPr>
              <w:t xml:space="preserve">921</w:t>
            </w:r>
          </w:p>
        </w:tc>
      </w:tr>
      <w:tr>
        <w:tc>
          <w:tcPr>
            <w:tcW w:type="dxa" w:w="2166"/>
            <w:tcMar>
              <w:top w:type="dxa" w:w="70"/>
              <w:left w:type="dxa" w:w="110"/>
              <w:bottom w:type="dxa" w:w="70"/>
              <w:right w:type="dxa" w:w="110"/>
            </w:tcMar>
          </w:tcPr>
          <w:p>
            <w:pPr>
              <w:spacing w:after="0" w:line="252"/>
            </w:pPr>
            <w:r>
              <w:rPr>
                <w:b w:val="false"/>
                <w:bCs w:val="false"/>
                <w:sz w:val="18"/>
                <w:szCs w:val="18"/>
              </w:rPr>
              <w:t xml:space="preserve">revisiones</w:t>
            </w:r>
          </w:p>
        </w:tc>
        <w:tc>
          <w:tcPr>
            <w:tcW w:type="dxa" w:w="5235"/>
            <w:tcMar>
              <w:top w:type="dxa" w:w="70"/>
              <w:left w:type="dxa" w:w="110"/>
              <w:bottom w:type="dxa" w:w="70"/>
              <w:right w:type="dxa" w:w="110"/>
            </w:tcMar>
          </w:tcPr>
          <w:p>
            <w:pPr>
              <w:spacing w:after="0" w:line="252"/>
            </w:pPr>
            <w:r>
              <w:rPr>
                <w:b w:val="false"/>
                <w:bCs w:val="false"/>
                <w:sz w:val="18"/>
                <w:szCs w:val="18"/>
              </w:rPr>
              <w:t xml:space="preserve">Triaje humano: estado, notas y motivo de descarte</w:t>
            </w:r>
          </w:p>
        </w:tc>
        <w:tc>
          <w:tcPr>
            <w:tcW w:type="dxa" w:w="1625"/>
            <w:tcMar>
              <w:top w:type="dxa" w:w="70"/>
              <w:left w:type="dxa" w:w="110"/>
              <w:bottom w:type="dxa" w:w="70"/>
              <w:right w:type="dxa" w:w="110"/>
            </w:tcMar>
          </w:tcPr>
          <w:p>
            <w:pPr>
              <w:spacing w:after="0" w:line="252"/>
            </w:pPr>
            <w:r>
              <w:rPr>
                <w:b w:val="false"/>
                <w:bCs w:val="false"/>
                <w:sz w:val="18"/>
                <w:szCs w:val="18"/>
              </w:rPr>
              <w:t xml:space="preserve">según el uso</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fuentes_cursor</w:t>
            </w:r>
          </w:p>
        </w:tc>
        <w:tc>
          <w:tcPr>
            <w:tcW w:type="dxa" w:w="5235"/>
            <w:shd w:fill="F2F2F2" w:val="clear"/>
            <w:tcMar>
              <w:top w:type="dxa" w:w="70"/>
              <w:left w:type="dxa" w:w="110"/>
              <w:bottom w:type="dxa" w:w="70"/>
              <w:right w:type="dxa" w:w="110"/>
            </w:tcMar>
          </w:tcPr>
          <w:p>
            <w:pPr>
              <w:spacing w:after="0" w:line="252"/>
            </w:pPr>
            <w:r>
              <w:rPr>
                <w:b w:val="false"/>
                <w:bCs w:val="false"/>
                <w:sz w:val="18"/>
                <w:szCs w:val="18"/>
              </w:rPr>
              <w:t xml:space="preserve">Por dónde se quedó cada fuente en la última ingesta</w:t>
            </w:r>
          </w:p>
        </w:tc>
        <w:tc>
          <w:tcPr>
            <w:tcW w:type="dxa" w:w="1625"/>
            <w:shd w:fill="F2F2F2" w:val="clear"/>
            <w:tcMar>
              <w:top w:type="dxa" w:w="70"/>
              <w:left w:type="dxa" w:w="110"/>
              <w:bottom w:type="dxa" w:w="70"/>
              <w:right w:type="dxa" w:w="110"/>
            </w:tcMar>
          </w:tcPr>
          <w:p>
            <w:pPr>
              <w:spacing w:after="0" w:line="252"/>
            </w:pPr>
            <w:r>
              <w:rPr>
                <w:b w:val="false"/>
                <w:bCs w:val="false"/>
                <w:sz w:val="18"/>
                <w:szCs w:val="18"/>
              </w:rPr>
              <w:t xml:space="preserve">5</w:t>
            </w:r>
          </w:p>
        </w:tc>
      </w:tr>
      <w:tr>
        <w:tc>
          <w:tcPr>
            <w:tcW w:type="dxa" w:w="2166"/>
            <w:tcMar>
              <w:top w:type="dxa" w:w="70"/>
              <w:left w:type="dxa" w:w="110"/>
              <w:bottom w:type="dxa" w:w="70"/>
              <w:right w:type="dxa" w:w="110"/>
            </w:tcMar>
          </w:tcPr>
          <w:p>
            <w:pPr>
              <w:spacing w:after="0" w:line="252"/>
            </w:pPr>
            <w:r>
              <w:rPr>
                <w:b w:val="false"/>
                <w:bCs w:val="false"/>
                <w:sz w:val="18"/>
                <w:szCs w:val="18"/>
              </w:rPr>
              <w:t xml:space="preserve">ingest_log</w:t>
            </w:r>
          </w:p>
        </w:tc>
        <w:tc>
          <w:tcPr>
            <w:tcW w:type="dxa" w:w="5235"/>
            <w:tcMar>
              <w:top w:type="dxa" w:w="70"/>
              <w:left w:type="dxa" w:w="110"/>
              <w:bottom w:type="dxa" w:w="70"/>
              <w:right w:type="dxa" w:w="110"/>
            </w:tcMar>
          </w:tcPr>
          <w:p>
            <w:pPr>
              <w:spacing w:after="0" w:line="252"/>
            </w:pPr>
            <w:r>
              <w:rPr>
                <w:b w:val="false"/>
                <w:bCs w:val="false"/>
                <w:sz w:val="18"/>
                <w:szCs w:val="18"/>
              </w:rPr>
              <w:t xml:space="preserve">Histórico de ejecuciones para vigilar la salud de las fuentes</w:t>
            </w:r>
          </w:p>
        </w:tc>
        <w:tc>
          <w:tcPr>
            <w:tcW w:type="dxa" w:w="1625"/>
            <w:tcMar>
              <w:top w:type="dxa" w:w="70"/>
              <w:left w:type="dxa" w:w="110"/>
              <w:bottom w:type="dxa" w:w="70"/>
              <w:right w:type="dxa" w:w="110"/>
            </w:tcMar>
          </w:tcPr>
          <w:p>
            <w:pPr>
              <w:spacing w:after="0" w:line="252"/>
            </w:pPr>
            <w:r>
              <w:rPr>
                <w:b w:val="false"/>
                <w:bCs w:val="false"/>
                <w:sz w:val="18"/>
                <w:szCs w:val="18"/>
              </w:rPr>
              <w:t xml:space="preserve">acumulativo</w:t>
            </w:r>
          </w:p>
        </w:tc>
      </w:tr>
      <w:tr>
        <w:tc>
          <w:tcPr>
            <w:tcW w:type="dxa" w:w="2166"/>
            <w:shd w:fill="F2F2F2" w:val="clear"/>
            <w:tcMar>
              <w:top w:type="dxa" w:w="70"/>
              <w:left w:type="dxa" w:w="110"/>
              <w:bottom w:type="dxa" w:w="70"/>
              <w:right w:type="dxa" w:w="110"/>
            </w:tcMar>
          </w:tcPr>
          <w:p>
            <w:pPr>
              <w:spacing w:after="0" w:line="252"/>
            </w:pPr>
            <w:r>
              <w:rPr>
                <w:b w:val="false"/>
                <w:bCs w:val="false"/>
                <w:sz w:val="18"/>
                <w:szCs w:val="18"/>
              </w:rPr>
              <w:t xml:space="preserve">preferencias</w:t>
            </w:r>
          </w:p>
        </w:tc>
        <w:tc>
          <w:tcPr>
            <w:tcW w:type="dxa" w:w="5235"/>
            <w:shd w:fill="F2F2F2" w:val="clear"/>
            <w:tcMar>
              <w:top w:type="dxa" w:w="70"/>
              <w:left w:type="dxa" w:w="110"/>
              <w:bottom w:type="dxa" w:w="70"/>
              <w:right w:type="dxa" w:w="110"/>
            </w:tcMar>
          </w:tcPr>
          <w:p>
            <w:pPr>
              <w:spacing w:after="0" w:line="252"/>
            </w:pPr>
            <w:r>
              <w:rPr>
                <w:b w:val="false"/>
                <w:bCs w:val="false"/>
                <w:sz w:val="18"/>
                <w:szCs w:val="18"/>
              </w:rPr>
              <w:t xml:space="preserve">Ajustes locales de quien usa la herramienta</w:t>
            </w:r>
          </w:p>
        </w:tc>
        <w:tc>
          <w:tcPr>
            <w:tcW w:type="dxa" w:w="1625"/>
            <w:shd w:fill="F2F2F2" w:val="clear"/>
            <w:tcMar>
              <w:top w:type="dxa" w:w="70"/>
              <w:left w:type="dxa" w:w="110"/>
              <w:bottom w:type="dxa" w:w="70"/>
              <w:right w:type="dxa" w:w="110"/>
            </w:tcMar>
          </w:tcPr>
          <w:p>
            <w:pPr>
              <w:spacing w:after="0" w:line="252"/>
            </w:pPr>
            <w:r>
              <w:rPr>
                <w:b w:val="false"/>
                <w:bCs w:val="false"/>
                <w:sz w:val="18"/>
                <w:szCs w:val="18"/>
              </w:rPr>
              <w:t xml:space="preserve">pocas</w:t>
            </w:r>
          </w:p>
        </w:tc>
      </w:tr>
    </w:tbl>
    <w:p>
      <w:pPr>
        <w:spacing w:after="120"/>
      </w:pPr>
      <w:r>
        <w:t xml:space="preserve"/>
      </w:r>
    </w:p>
    <w:p>
      <w:pPr>
        <w:pStyle w:val="Heading2"/>
        <w:spacing w:after="120" w:before="240"/>
      </w:pPr>
      <w:r>
        <w:rPr>
          <w:b/>
          <w:bCs/>
          <w:color w:val="1F4E79"/>
          <w:sz w:val="24"/>
          <w:szCs w:val="24"/>
        </w:rPr>
        <w:t xml:space="preserve">6.1 Por qué existe el historial de versiones</w:t>
      </w:r>
    </w:p>
    <w:p>
      <w:pPr>
        <w:spacing w:after="140" w:line="276"/>
      </w:pPr>
      <w:r>
        <w:t xml:space="preserve">La especificación de sindicación de PLACSP establece que una licitación se republica tantas veces como se modifique. Sin deduplicación por contenido, la bandeja mostraría el mismo expediente una y otra vez y la herramienta sería inservible en una semana. El historial, además, aporta dos capacidades sin coste añadido: detectar la transición de publicada a adjudicada, con el nombre del ganador y el importe, y conocer la fecha de vencimiento para llegar a tiempo a la renovación.</w:t>
      </w:r>
    </w:p>
    <w:p>
      <w:pPr>
        <w:spacing w:after="140" w:line="276"/>
      </w:pPr>
      <w:r>
        <w:t xml:space="preserve">Solo se registra versión cuando cambia el estado, el adjudicatario o el importe. Registrar cualquier cambio de metadatos habría añadido decenas de miles de entradas sin valor y habría convertido el historial en ruido.</w:t>
      </w:r>
    </w:p>
    <w:p>
      <w:pPr>
        <w:pStyle w:val="Heading2"/>
        <w:spacing w:after="120" w:before="240"/>
      </w:pPr>
      <w:r>
        <w:rPr>
          <w:b/>
          <w:bCs/>
          <w:color w:val="1F4E79"/>
          <w:sz w:val="24"/>
          <w:szCs w:val="24"/>
        </w:rPr>
        <w:t xml:space="preserve">6.2 Agrupación por expediente</w:t>
      </w:r>
    </w:p>
    <w:p>
      <w:pPr>
        <w:spacing w:after="140" w:line="276"/>
      </w:pPr>
      <w:r>
        <w:t xml:space="preserve">Un expediente genera varios anuncios y cada uno es un registro distinto. En PLACSP el número de expediente se mantiene entre anuncios y sirve de clave; en TED el identificador es propio de cada anuncio, así que la agrupación se hace por órgano y título, descartando el prefijo genérico con que TED encabeza sus títulos. Ese detalle importa: usar el título completo agrupaba contratos sin relación que solo compartían el encabezado, lo que ocultaba licitaciones de la bandeja, un efecto peor que el duplicado que se pretendía evitar.</w:t>
      </w:r>
    </w:p>
    <w:p>
      <w:pPr>
        <w:pStyle w:val="Heading1"/>
        <w:pageBreakBefore/>
        <w:pBdr>
          <w:bottom w:val="single" w:color="DCE6F1" w:sz="6" w:space="6"/>
        </w:pBdr>
        <w:spacing w:after="160" w:before="320"/>
      </w:pPr>
      <w:r>
        <w:rPr>
          <w:b/>
          <w:bCs/>
          <w:color w:val="1F4E79"/>
          <w:sz w:val="30"/>
          <w:szCs w:val="30"/>
        </w:rPr>
        <w:t xml:space="preserve">7. Decisiones técnicas destacables</w:t>
      </w:r>
    </w:p>
    <w:p>
      <w:pPr>
        <w:pStyle w:val="Heading2"/>
        <w:spacing w:after="120" w:before="240"/>
      </w:pPr>
      <w:r>
        <w:rPr>
          <w:b/>
          <w:bCs/>
          <w:color w:val="1F4E79"/>
          <w:sz w:val="24"/>
          <w:szCs w:val="24"/>
        </w:rPr>
        <w:t xml:space="preserve">7.1 Certificados de la administración española</w:t>
      </w:r>
    </w:p>
    <w:p>
      <w:pPr>
        <w:spacing w:after="140" w:line="276"/>
      </w:pPr>
      <w:r>
        <w:t xml:space="preserve">Varias plataformas públicas, entre ellas PLACSP, presentan cadenas de certificados firmadas por raíces ausentes del almacén por defecto de macOS: AC RAIZ FNMT-RCM SERVIDORES SEGUROS e Izenpe. Sin ellas la conexión falla con un error de certificado autofirmado que no sugiere en absoluto la causa real.</w:t>
      </w:r>
    </w:p>
    <w:p>
      <w:pPr>
        <w:spacing w:after="140" w:line="276"/>
      </w:pPr>
      <w:r>
        <w:t xml:space="preserve">Se detectó además que los intérpretes de Python instalados desde python.org suelen venir sin ninguna raíz cargada, de modo que depender del almacén del sistema haría que la herramienta funcionase en un equipo y fallase en el de al lado. La solución es un paquete de certificados propio, verificado al arrancar, y en ningún caso se desactiva la validación TLS.</w:t>
      </w:r>
    </w:p>
    <w:p>
      <w:pPr>
        <w:pStyle w:val="Heading2"/>
        <w:spacing w:after="120" w:before="240"/>
      </w:pPr>
      <w:r>
        <w:rPr>
          <w:b/>
          <w:bCs/>
          <w:color w:val="1F4E79"/>
          <w:sz w:val="24"/>
          <w:szCs w:val="24"/>
        </w:rPr>
        <w:t xml:space="preserve">7.2 Rendimiento del motor de reglas</w:t>
      </w:r>
    </w:p>
    <w:p>
      <w:pPr>
        <w:spacing w:after="140" w:line="276"/>
      </w:pPr>
      <w:r>
        <w:t xml:space="preserve">Evaluar los perfiles sobre 127.552 registros tardaba 8,7 segundos porque el texto se normalizaba una vez por perfil. Se resolvió guardando el texto ya normalizado en la propia base y añadiendo un cribado previo con una única expresión regular por perfil, que descarta de una pasada los registros sin ningún término candidato. El resultado es idéntico y el tiempo baja a poco más de dos segundos, lo que hace viable la previsualización interactiva.</w:t>
      </w:r>
    </w:p>
    <w:p>
      <w:pPr>
        <w:pStyle w:val="Heading2"/>
        <w:spacing w:after="120" w:before="240"/>
      </w:pPr>
      <w:r>
        <w:rPr>
          <w:b/>
          <w:bCs/>
          <w:color w:val="1F4E79"/>
          <w:sz w:val="24"/>
          <w:szCs w:val="24"/>
        </w:rPr>
        <w:t xml:space="preserve">7.3 Tamaño de la base de datos</w:t>
      </w:r>
    </w:p>
    <w:p>
      <w:pPr>
        <w:spacing w:after="140" w:line="276"/>
      </w:pPr>
      <w:r>
        <w:t xml:space="preserve">Una revisión del almacenamiento reveló que el 46 % de la base —534 MB— eran copias completas en JSON de cada versión que la aplicación no leía en ningún punto. Se redujeron a los campos que realmente se consultan, con lo que la base pasó de 1.157 MB a 486 MB conservando el historial íntegro.</w:t>
      </w:r>
    </w:p>
    <w:p>
      <w:pPr>
        <w:pStyle w:val="Heading2"/>
        <w:spacing w:after="120" w:before="240"/>
      </w:pPr>
      <w:r>
        <w:rPr>
          <w:b/>
          <w:bCs/>
          <w:color w:val="1F4E79"/>
          <w:sz w:val="24"/>
          <w:szCs w:val="24"/>
        </w:rPr>
        <w:t xml:space="preserve">7.4 Paginación estable</w:t>
      </w:r>
    </w:p>
    <w:p>
      <w:pPr>
        <w:spacing w:after="140" w:line="276"/>
      </w:pPr>
      <w:r>
        <w:t xml:space="preserve">Las ordenaciones no incluían ninguna columna única al final, de modo que con desempates numerosos SQLite no garantizaba el mismo orden entre dos consultas: la segunda página podía repetir filas de la primera y omitir otras. Se añadió el identificador como criterio final y se verifica en pruebas que recorrer todas las páginas devuelve exactamente el total anunciado, sin repeticiones ni ausencias.</w:t>
      </w:r>
    </w:p>
    <w:p>
      <w:pPr>
        <w:pStyle w:val="Heading2"/>
        <w:spacing w:after="120" w:before="240"/>
      </w:pPr>
      <w:r>
        <w:rPr>
          <w:b/>
          <w:bCs/>
          <w:color w:val="1F4E79"/>
          <w:sz w:val="24"/>
          <w:szCs w:val="24"/>
        </w:rPr>
        <w:t xml:space="preserve">7.5 Migraciones automáticas</w:t>
      </w:r>
    </w:p>
    <w:p>
      <w:pPr>
        <w:spacing w:after="140" w:line="276"/>
      </w:pPr>
      <w:r>
        <w:t xml:space="preserve">Las bases existentes se actualizan solas al arrancar: se añaden las columnas que falten, se recalculan las claves derivadas y se ajustan los datos heredados, todo ello sin volver a descargar nada y conservando el triaje y las notas. Se verificó sobre una copia de la base real en uso.</w:t>
      </w:r>
    </w:p>
    <w:p>
      <w:pPr>
        <w:pStyle w:val="Heading1"/>
        <w:pageBreakBefore/>
        <w:pBdr>
          <w:bottom w:val="single" w:color="DCE6F1" w:sz="6" w:space="6"/>
        </w:pBdr>
        <w:spacing w:after="160" w:before="320"/>
      </w:pPr>
      <w:r>
        <w:rPr>
          <w:b/>
          <w:bCs/>
          <w:color w:val="1F4E79"/>
          <w:sz w:val="30"/>
          <w:szCs w:val="30"/>
        </w:rPr>
        <w:t xml:space="preserve">8. Limitaciones conocidas</w:t>
      </w:r>
    </w:p>
    <w:p>
      <w:pPr>
        <w:spacing w:after="140" w:line="276"/>
      </w:pPr>
      <w:r>
        <w:t xml:space="preserve">Se documentan de forma explícita para que nadie asuma una cobertura que el sistema no tiene.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6318"/>
      </w:tblGrid>
      <w:tr>
        <w:trPr>
          <w:tblHeader/>
        </w:trPr>
        <w:tc>
          <w:tcPr>
            <w:tcW w:type="dxa" w:w="2708"/>
            <w:shd w:fill="DCE6F1" w:val="clear"/>
            <w:tcMar>
              <w:top w:type="dxa" w:w="70"/>
              <w:left w:type="dxa" w:w="110"/>
              <w:bottom w:type="dxa" w:w="70"/>
              <w:right w:type="dxa" w:w="110"/>
            </w:tcMar>
          </w:tcPr>
          <w:p>
            <w:pPr>
              <w:spacing w:after="0" w:line="252"/>
            </w:pPr>
            <w:r>
              <w:rPr>
                <w:b/>
                <w:bCs/>
                <w:color w:val="1F4E79"/>
                <w:sz w:val="18"/>
                <w:szCs w:val="18"/>
              </w:rPr>
              <w:t xml:space="preserve">Limitación</w:t>
            </w:r>
          </w:p>
        </w:tc>
        <w:tc>
          <w:tcPr>
            <w:tcW w:type="dxa" w:w="6318"/>
            <w:shd w:fill="DCE6F1" w:val="clear"/>
            <w:tcMar>
              <w:top w:type="dxa" w:w="70"/>
              <w:left w:type="dxa" w:w="110"/>
              <w:bottom w:type="dxa" w:w="70"/>
              <w:right w:type="dxa" w:w="110"/>
            </w:tcMar>
          </w:tcPr>
          <w:p>
            <w:pPr>
              <w:spacing w:after="0" w:line="252"/>
            </w:pPr>
            <w:r>
              <w:rPr>
                <w:b/>
                <w:bCs/>
                <w:color w:val="1F4E79"/>
                <w:sz w:val="18"/>
                <w:szCs w:val="18"/>
              </w:rPr>
              <w:t xml:space="preserve">Detalle</w:t>
            </w:r>
          </w:p>
        </w:tc>
      </w:tr>
      <w:tr>
        <w:tc>
          <w:tcPr>
            <w:tcW w:type="dxa" w:w="2708"/>
            <w:tcMar>
              <w:top w:type="dxa" w:w="70"/>
              <w:left w:type="dxa" w:w="110"/>
              <w:bottom w:type="dxa" w:w="70"/>
              <w:right w:type="dxa" w:w="110"/>
            </w:tcMar>
          </w:tcPr>
          <w:p>
            <w:pPr>
              <w:spacing w:after="0" w:line="252"/>
            </w:pPr>
            <w:r>
              <w:rPr>
                <w:b w:val="false"/>
                <w:bCs w:val="false"/>
                <w:sz w:val="18"/>
                <w:szCs w:val="18"/>
              </w:rPr>
              <w:t xml:space="preserve">Contenido de los PDF de los pliegos</w:t>
            </w:r>
          </w:p>
        </w:tc>
        <w:tc>
          <w:tcPr>
            <w:tcW w:type="dxa" w:w="6318"/>
            <w:tcMar>
              <w:top w:type="dxa" w:w="70"/>
              <w:left w:type="dxa" w:w="110"/>
              <w:bottom w:type="dxa" w:w="70"/>
              <w:right w:type="dxa" w:w="110"/>
            </w:tcMar>
          </w:tcPr>
          <w:p>
            <w:pPr>
              <w:spacing w:after="0" w:line="252"/>
            </w:pPr>
            <w:r>
              <w:rPr>
                <w:b w:val="false"/>
                <w:bCs w:val="false"/>
                <w:sz w:val="18"/>
                <w:szCs w:val="18"/>
              </w:rPr>
              <w:t xml:space="preserve">La búsqueda cubre título, objeto y descripción de lotes, no el interior de los documentos. Es la mejora que más precisión aportaría y la primera candidata a una segunda fase</w:t>
            </w:r>
          </w:p>
        </w:tc>
      </w:tr>
      <w:tr>
        <w:tc>
          <w:tcPr>
            <w:tcW w:type="dxa" w:w="2708"/>
            <w:shd w:fill="F2F2F2" w:val="clear"/>
            <w:tcMar>
              <w:top w:type="dxa" w:w="70"/>
              <w:left w:type="dxa" w:w="110"/>
              <w:bottom w:type="dxa" w:w="70"/>
              <w:right w:type="dxa" w:w="110"/>
            </w:tcMar>
          </w:tcPr>
          <w:p>
            <w:pPr>
              <w:spacing w:after="0" w:line="252"/>
            </w:pPr>
            <w:r>
              <w:rPr>
                <w:b w:val="false"/>
                <w:bCs w:val="false"/>
                <w:sz w:val="18"/>
                <w:szCs w:val="18"/>
              </w:rPr>
              <w:t xml:space="preserve">Filtro territorial en TED</w:t>
            </w:r>
          </w:p>
        </w:tc>
        <w:tc>
          <w:tcPr>
            <w:tcW w:type="dxa" w:w="6318"/>
            <w:shd w:fill="F2F2F2" w:val="clear"/>
            <w:tcMar>
              <w:top w:type="dxa" w:w="70"/>
              <w:left w:type="dxa" w:w="110"/>
              <w:bottom w:type="dxa" w:w="70"/>
              <w:right w:type="dxa" w:w="110"/>
            </w:tcMar>
          </w:tcPr>
          <w:p>
            <w:pPr>
              <w:spacing w:after="0" w:line="252"/>
            </w:pPr>
            <w:r>
              <w:rPr>
                <w:b w:val="false"/>
                <w:bCs w:val="false"/>
                <w:sz w:val="18"/>
                <w:szCs w:val="18"/>
              </w:rPr>
              <w:t xml:space="preserve">TED no expone ningún campo de región utilizable en su API, por lo que sus anuncios aparecen sin comunidad autónoma. Para el resto de fuentes el filtro funciona</w:t>
            </w:r>
          </w:p>
        </w:tc>
      </w:tr>
      <w:tr>
        <w:tc>
          <w:tcPr>
            <w:tcW w:type="dxa" w:w="2708"/>
            <w:tcMar>
              <w:top w:type="dxa" w:w="70"/>
              <w:left w:type="dxa" w:w="110"/>
              <w:bottom w:type="dxa" w:w="70"/>
              <w:right w:type="dxa" w:w="110"/>
            </w:tcMar>
          </w:tcPr>
          <w:p>
            <w:pPr>
              <w:spacing w:after="0" w:line="252"/>
            </w:pPr>
            <w:r>
              <w:rPr>
                <w:b w:val="false"/>
                <w:bCs w:val="false"/>
                <w:sz w:val="18"/>
                <w:szCs w:val="18"/>
              </w:rPr>
              <w:t xml:space="preserve">Comunidades con datos propios en CSV</w:t>
            </w:r>
          </w:p>
        </w:tc>
        <w:tc>
          <w:tcPr>
            <w:tcW w:type="dxa" w:w="6318"/>
            <w:tcMar>
              <w:top w:type="dxa" w:w="70"/>
              <w:left w:type="dxa" w:w="110"/>
              <w:bottom w:type="dxa" w:w="70"/>
              <w:right w:type="dxa" w:w="110"/>
            </w:tcMar>
          </w:tcPr>
          <w:p>
            <w:pPr>
              <w:spacing w:after="0" w:line="252"/>
            </w:pPr>
            <w:r>
              <w:rPr>
                <w:b w:val="false"/>
                <w:bCs w:val="false"/>
                <w:sz w:val="18"/>
                <w:szCs w:val="18"/>
              </w:rPr>
              <w:t xml:space="preserve">Andalucía, Comunidad Valenciana, Castilla y León, Asturias, Canarias y Aragón publican conjuntos más ricos que no se integran. Lo esencial llega por las plataformas agregadas de PLACSP</w:t>
            </w:r>
          </w:p>
        </w:tc>
      </w:tr>
      <w:tr>
        <w:tc>
          <w:tcPr>
            <w:tcW w:type="dxa" w:w="2708"/>
            <w:shd w:fill="F2F2F2" w:val="clear"/>
            <w:tcMar>
              <w:top w:type="dxa" w:w="70"/>
              <w:left w:type="dxa" w:w="110"/>
              <w:bottom w:type="dxa" w:w="70"/>
              <w:right w:type="dxa" w:w="110"/>
            </w:tcMar>
          </w:tcPr>
          <w:p>
            <w:pPr>
              <w:spacing w:after="0" w:line="252"/>
            </w:pPr>
            <w:r>
              <w:rPr>
                <w:b w:val="false"/>
                <w:bCs w:val="false"/>
                <w:sz w:val="18"/>
                <w:szCs w:val="18"/>
              </w:rPr>
              <w:t xml:space="preserve">Avisos por correo o Slack</w:t>
            </w:r>
          </w:p>
        </w:tc>
        <w:tc>
          <w:tcPr>
            <w:tcW w:type="dxa" w:w="6318"/>
            <w:shd w:fill="F2F2F2" w:val="clear"/>
            <w:tcMar>
              <w:top w:type="dxa" w:w="70"/>
              <w:left w:type="dxa" w:w="110"/>
              <w:bottom w:type="dxa" w:w="70"/>
              <w:right w:type="dxa" w:w="110"/>
            </w:tcMar>
          </w:tcPr>
          <w:p>
            <w:pPr>
              <w:spacing w:after="0" w:line="252"/>
            </w:pPr>
            <w:r>
              <w:rPr>
                <w:b w:val="false"/>
                <w:bCs w:val="false"/>
                <w:sz w:val="18"/>
                <w:szCs w:val="18"/>
              </w:rPr>
              <w:t xml:space="preserve">No implementados. La aplicación notifica dentro de su propia interfaz</w:t>
            </w:r>
          </w:p>
        </w:tc>
      </w:tr>
      <w:tr>
        <w:tc>
          <w:tcPr>
            <w:tcW w:type="dxa" w:w="2708"/>
            <w:tcMar>
              <w:top w:type="dxa" w:w="70"/>
              <w:left w:type="dxa" w:w="110"/>
              <w:bottom w:type="dxa" w:w="70"/>
              <w:right w:type="dxa" w:w="110"/>
            </w:tcMar>
          </w:tcPr>
          <w:p>
            <w:pPr>
              <w:spacing w:after="0" w:line="252"/>
            </w:pPr>
            <w:r>
              <w:rPr>
                <w:b w:val="false"/>
                <w:bCs w:val="false"/>
                <w:sz w:val="18"/>
                <w:szCs w:val="18"/>
              </w:rPr>
              <w:t xml:space="preserve">Instancia compartida</w:t>
            </w:r>
          </w:p>
        </w:tc>
        <w:tc>
          <w:tcPr>
            <w:tcW w:type="dxa" w:w="6318"/>
            <w:tcMar>
              <w:top w:type="dxa" w:w="70"/>
              <w:left w:type="dxa" w:w="110"/>
              <w:bottom w:type="dxa" w:w="70"/>
              <w:right w:type="dxa" w:w="110"/>
            </w:tcMar>
          </w:tcPr>
          <w:p>
            <w:pPr>
              <w:spacing w:after="0" w:line="252"/>
            </w:pPr>
            <w:r>
              <w:rPr>
                <w:b w:val="false"/>
                <w:bCs w:val="false"/>
                <w:sz w:val="18"/>
                <w:szCs w:val="18"/>
              </w:rPr>
              <w:t xml:space="preserve">Cada persona tiene su base de datos y su triaje. No hay estado común entre miembros del equipo</w:t>
            </w:r>
          </w:p>
        </w:tc>
      </w:tr>
      <w:tr>
        <w:tc>
          <w:tcPr>
            <w:tcW w:type="dxa" w:w="2708"/>
            <w:shd w:fill="F2F2F2" w:val="clear"/>
            <w:tcMar>
              <w:top w:type="dxa" w:w="70"/>
              <w:left w:type="dxa" w:w="110"/>
              <w:bottom w:type="dxa" w:w="70"/>
              <w:right w:type="dxa" w:w="110"/>
            </w:tcMar>
          </w:tcPr>
          <w:p>
            <w:pPr>
              <w:spacing w:after="0" w:line="252"/>
            </w:pPr>
            <w:r>
              <w:rPr>
                <w:b w:val="false"/>
                <w:bCs w:val="false"/>
                <w:sz w:val="18"/>
                <w:szCs w:val="18"/>
              </w:rPr>
              <w:t xml:space="preserve">Duraciones erróneas en origen</w:t>
            </w:r>
          </w:p>
        </w:tc>
        <w:tc>
          <w:tcPr>
            <w:tcW w:type="dxa" w:w="6318"/>
            <w:shd w:fill="F2F2F2" w:val="clear"/>
            <w:tcMar>
              <w:top w:type="dxa" w:w="70"/>
              <w:left w:type="dxa" w:w="110"/>
              <w:bottom w:type="dxa" w:w="70"/>
              <w:right w:type="dxa" w:w="110"/>
            </w:tcMar>
          </w:tcPr>
          <w:p>
            <w:pPr>
              <w:spacing w:after="0" w:line="252"/>
            </w:pPr>
            <w:r>
              <w:rPr>
                <w:b w:val="false"/>
                <w:bCs w:val="false"/>
                <w:sz w:val="18"/>
                <w:szCs w:val="18"/>
              </w:rPr>
              <w:t xml:space="preserve">En ocasiones el propio comprador publica «36 años» donde quería decir «36 meses». El dato se conserva tal cual viene en lugar de corregirlo</w:t>
            </w:r>
          </w:p>
        </w:tc>
      </w:tr>
    </w:tbl>
    <w:p>
      <w:pPr>
        <w:spacing w:after="120"/>
      </w:pPr>
      <w:r>
        <w:t xml:space="preserve"/>
      </w:r>
    </w:p>
    <w:p>
      <w:pPr>
        <w:spacing w:after="140" w:line="276"/>
      </w:pPr>
      <w:r>
        <w:rPr>
          <w:b/>
          <w:bCs/>
        </w:rPr>
        <w:t xml:space="preserve">Sobre un conector propio para Euskadi. </w:t>
      </w:r>
      <w:r>
        <w:t xml:space="preserve">Se investigó y se descartó con fundamento: su API existe pero no publica el punto de acceso de contratación y todas las rutas probadas devuelven error. El análisis del conjunto de plataformas agregadas de PLACSP mostró que ya cubre País Vasco, Navarra y Galicia con los campos completos, de modo que activarlo resultó gratuito y con menos mantenimiento que escribir tres conectores nuevos.</w:t>
      </w:r>
    </w:p>
    <w:p>
      <w:pPr>
        <w:pStyle w:val="Heading1"/>
        <w:pageBreakBefore/>
        <w:pBdr>
          <w:bottom w:val="single" w:color="DCE6F1" w:sz="6" w:space="6"/>
        </w:pBdr>
        <w:spacing w:after="160" w:before="320"/>
      </w:pPr>
      <w:r>
        <w:rPr>
          <w:b/>
          <w:bCs/>
          <w:color w:val="1F4E79"/>
          <w:sz w:val="30"/>
          <w:szCs w:val="30"/>
        </w:rPr>
        <w:t xml:space="preserve">9. Instalación y uso</w:t>
      </w:r>
    </w:p>
    <w:p>
      <w:pPr>
        <w:spacing w:after="140" w:line="276"/>
      </w:pPr>
      <w:r>
        <w:t xml:space="preserve">Requisito único: Python 3.9 o superior, que macOS incluye de serie. No hay nada más que instalar.</w:t>
      </w:r>
    </w:p>
    <w:p>
      <w:pPr>
        <w:pStyle w:val="Heading2"/>
        <w:spacing w:after="120" w:before="240"/>
      </w:pPr>
      <w:r>
        <w:rPr>
          <w:b/>
          <w:bCs/>
          <w:color w:val="1F4E79"/>
          <w:sz w:val="24"/>
          <w:szCs w:val="24"/>
        </w:rPr>
        <w:t xml:space="preserve">9.1 Puesta en marcha</w:t>
      </w:r>
    </w:p>
    <w:p>
      <w:pPr>
        <w:spacing w:after="140" w:line="276"/>
      </w:pPr>
      <w:r>
        <w:t xml:space="preserve">Doble clic en el fichero start.command, que descarga las novedades y abre la aplicación en el navegador. La primera ejecución tarda algunos minutos; las siguientes, segundos.</w:t>
      </w:r>
    </w:p>
    <w:p>
      <w:pPr>
        <w:pStyle w:val="Heading2"/>
        <w:spacing w:after="120" w:before="240"/>
      </w:pPr>
      <w:r>
        <w:rPr>
          <w:b/>
          <w:bCs/>
          <w:color w:val="1F4E79"/>
          <w:sz w:val="24"/>
          <w:szCs w:val="24"/>
        </w:rPr>
        <w:t xml:space="preserve">9.2 Comandos disponibles</w:t>
      </w:r>
    </w:p>
    <w:p>
      <w:pPr>
        <w:shd w:fill="F5F5F5" w:val="clear"/>
        <w:spacing w:after="0" w:line="240"/>
        <w:ind w:left="215"/>
      </w:pPr>
      <w:r>
        <w:rPr>
          <w:rFonts w:ascii="Consolas" w:cs="Consolas" w:eastAsia="Consolas" w:hAnsi="Consolas"/>
          <w:sz w:val="17"/>
          <w:szCs w:val="17"/>
        </w:rPr>
        <w:t xml:space="preserve">python3 radar.py ingest                       # descarga las novedades</w:t>
      </w:r>
    </w:p>
    <w:p>
      <w:pPr>
        <w:shd w:fill="F5F5F5" w:val="clear"/>
        <w:spacing w:after="0" w:line="240"/>
        <w:ind w:left="215"/>
      </w:pPr>
      <w:r>
        <w:rPr>
          <w:rFonts w:ascii="Consolas" w:cs="Consolas" w:eastAsia="Consolas" w:hAnsi="Consolas"/>
          <w:sz w:val="17"/>
          <w:szCs w:val="17"/>
        </w:rPr>
        <w:t xml:space="preserve">python3 radar.py ingest --backfill 2024,2025  # trae el histórico de esos años</w:t>
      </w:r>
    </w:p>
    <w:p>
      <w:pPr>
        <w:shd w:fill="F5F5F5" w:val="clear"/>
        <w:spacing w:after="0" w:line="240"/>
        <w:ind w:left="215"/>
      </w:pPr>
      <w:r>
        <w:rPr>
          <w:rFonts w:ascii="Consolas" w:cs="Consolas" w:eastAsia="Consolas" w:hAnsi="Consolas"/>
          <w:sz w:val="17"/>
          <w:szCs w:val="17"/>
        </w:rPr>
        <w:t xml:space="preserve">python3 radar.py match                        # reevalúa los perfiles sin descargar</w:t>
      </w:r>
    </w:p>
    <w:p>
      <w:pPr>
        <w:shd w:fill="F5F5F5" w:val="clear"/>
        <w:spacing w:after="0" w:line="240"/>
        <w:ind w:left="215"/>
      </w:pPr>
      <w:r>
        <w:rPr>
          <w:rFonts w:ascii="Consolas" w:cs="Consolas" w:eastAsia="Consolas" w:hAnsi="Consolas"/>
          <w:sz w:val="17"/>
          <w:szCs w:val="17"/>
        </w:rPr>
        <w:t xml:space="preserve">python3 radar.py serve                        # abre la aplicación</w:t>
      </w:r>
    </w:p>
    <w:p>
      <w:pPr>
        <w:shd w:fill="F5F5F5" w:val="clear"/>
        <w:spacing w:after="0" w:line="240"/>
        <w:ind w:left="215"/>
      </w:pPr>
      <w:r>
        <w:rPr>
          <w:rFonts w:ascii="Consolas" w:cs="Consolas" w:eastAsia="Consolas" w:hAnsi="Consolas"/>
          <w:sz w:val="17"/>
          <w:szCs w:val="17"/>
        </w:rPr>
        <w:t xml:space="preserve">python3 radar.py vencimientos --meses 6       # contratos que vencen pronto</w:t>
      </w:r>
    </w:p>
    <w:p>
      <w:pPr>
        <w:shd w:fill="F5F5F5" w:val="clear"/>
        <w:spacing w:after="0" w:line="240"/>
        <w:ind w:left="215"/>
      </w:pPr>
      <w:r>
        <w:rPr>
          <w:rFonts w:ascii="Consolas" w:cs="Consolas" w:eastAsia="Consolas" w:hAnsi="Consolas"/>
          <w:sz w:val="17"/>
          <w:szCs w:val="17"/>
        </w:rPr>
        <w:t xml:space="preserve">python3 radar.py competencia                  # quién gana estos contratos</w:t>
      </w:r>
    </w:p>
    <w:p>
      <w:pPr>
        <w:shd w:fill="F5F5F5" w:val="clear"/>
        <w:spacing w:after="0" w:line="240"/>
        <w:ind w:left="215"/>
      </w:pPr>
      <w:r>
        <w:rPr>
          <w:rFonts w:ascii="Consolas" w:cs="Consolas" w:eastAsia="Consolas" w:hAnsi="Consolas"/>
          <w:sz w:val="17"/>
          <w:szCs w:val="17"/>
        </w:rPr>
        <w:t xml:space="preserve">python3 radar.py export salida.csv            # exporta a CSV</w:t>
      </w:r>
    </w:p>
    <w:p>
      <w:pPr>
        <w:shd w:fill="F5F5F5" w:val="clear"/>
        <w:spacing w:after="0" w:line="240"/>
        <w:ind w:left="215"/>
      </w:pPr>
      <w:r>
        <w:rPr>
          <w:rFonts w:ascii="Consolas" w:cs="Consolas" w:eastAsia="Consolas" w:hAnsi="Consolas"/>
          <w:sz w:val="17"/>
          <w:szCs w:val="17"/>
        </w:rPr>
        <w:t xml:space="preserve">python3 radar.py programar                    # descarga automática cada mañana</w:t>
      </w:r>
    </w:p>
    <w:p>
      <w:pPr>
        <w:shd w:fill="F5F5F5" w:val="clear"/>
        <w:spacing w:after="160" w:line="240"/>
        <w:ind w:left="215"/>
      </w:pPr>
      <w:r>
        <w:rPr>
          <w:rFonts w:ascii="Consolas" w:cs="Consolas" w:eastAsia="Consolas" w:hAnsi="Consolas"/>
          <w:sz w:val="17"/>
          <w:szCs w:val="17"/>
        </w:rPr>
        <w:t xml:space="preserve">python3 radar.py estado                       # cifras y salud de las fuentes</w:t>
      </w:r>
    </w:p>
    <w:p>
      <w:pPr>
        <w:pStyle w:val="Heading2"/>
        <w:spacing w:after="120" w:before="240"/>
      </w:pPr>
      <w:r>
        <w:rPr>
          <w:b/>
          <w:bCs/>
          <w:color w:val="1F4E79"/>
          <w:sz w:val="24"/>
          <w:szCs w:val="24"/>
        </w:rPr>
        <w:t xml:space="preserve">9.3 Replicabilidad</w:t>
      </w:r>
    </w:p>
    <w:p>
      <w:pPr>
        <w:spacing w:after="140" w:line="276"/>
      </w:pPr>
      <w:r>
        <w:t xml:space="preserve">Copiar la carpeta sin el directorio de datos es suficiente para que otra persona la use: al arrancar se crea su propia base y se aplica la configuración de serie. Está verificado como parte de las pruebas, junto con la comprobación de que el proyecto no referencia ningún sistema personal ni requiere paquetes externos.</w:t>
      </w:r>
    </w:p>
    <w:p>
      <w:pPr>
        <w:pStyle w:val="Heading2"/>
        <w:spacing w:after="120" w:before="240"/>
      </w:pPr>
      <w:r>
        <w:rPr>
          <w:b/>
          <w:bCs/>
          <w:color w:val="1F4E79"/>
          <w:sz w:val="24"/>
          <w:szCs w:val="24"/>
        </w:rPr>
        <w:t xml:space="preserve">9.4 Pruebas</w:t>
      </w:r>
    </w:p>
    <w:p>
      <w:pPr>
        <w:shd w:fill="F5F5F5" w:val="clear"/>
        <w:spacing w:after="160" w:line="240"/>
        <w:ind w:left="215"/>
      </w:pPr>
      <w:r>
        <w:rPr>
          <w:rFonts w:ascii="Consolas" w:cs="Consolas" w:eastAsia="Consolas" w:hAnsi="Consolas"/>
          <w:sz w:val="17"/>
          <w:szCs w:val="17"/>
        </w:rPr>
        <w:t xml:space="preserve">python3 -m unittest discover -s tests -t .</w:t>
      </w:r>
    </w:p>
    <w:p>
      <w:pPr>
        <w:spacing w:after="140" w:line="276"/>
      </w:pPr>
      <w:r>
        <w:t xml:space="preserve">Las 126 pruebas incluyen cinco licitaciones reales verificadas —entre ellas la oficina de concienciación de LANTIK, de 915.000 €, y una plataforma de phishing sin CPV— y una veintena de falsos positivos observados que deben seguir quedando fuera: concienciación medioambiental, seguridad vial, prevención de riesgos laborales, vigilantes de seguridad y crema solar de factor 50. Cualquier cambio en el motor de reglas o en los perfiles queda contrastado contra esos casos.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Radar de Licitaciones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Radar de Licitaciones — Descripción funcional y arquitectura</dc:title>
  <dc:creator>Radar de Licitaciones</dc:creator>
  <dc:description>Descripción de la aplicación, funciones y arquitectura</dc:description>
  <cp:lastModifiedBy>Un-named</cp:lastModifiedBy>
  <cp:revision>1</cp:revision>
  <dcterms:created xsi:type="dcterms:W3CDTF">2026-08-06T20:16:32.899Z</dcterms:created>
  <dcterms:modified xsi:type="dcterms:W3CDTF">2026-08-06T20:16:32.900Z</dcterms:modified>
</cp:coreProperties>
</file>

<file path=docProps/custom.xml><?xml version="1.0" encoding="utf-8"?>
<Properties xmlns="http://schemas.openxmlformats.org/officeDocument/2006/custom-properties" xmlns:vt="http://schemas.openxmlformats.org/officeDocument/2006/docPropsVTypes"/>
</file>