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C9921A"/>
          <w:sz w:val="20"/>
        </w:rPr>
        <w:t>ADVANTCORE BA CAREER ACCELERATOR</w:t>
      </w:r>
    </w:p>
    <w:p>
      <w:pPr>
        <w:spacing w:before="240" w:after="160"/>
        <w:jc w:val="center"/>
      </w:pPr>
      <w:r>
        <w:rPr>
          <w:rFonts w:ascii="Calibri" w:hAnsi="Calibri"/>
          <w:b/>
          <w:color w:val="102A43"/>
          <w:sz w:val="58"/>
        </w:rPr>
        <w:t>The 12-Week Business Analyst Programme</w:t>
      </w:r>
    </w:p>
    <w:p>
      <w:pPr>
        <w:spacing w:after="560"/>
        <w:jc w:val="center"/>
      </w:pPr>
      <w:r>
        <w:rPr>
          <w:rFonts w:ascii="Calibri" w:hAnsi="Calibri"/>
          <w:b w:val="0"/>
          <w:color w:val="007C83"/>
          <w:sz w:val="28"/>
        </w:rPr>
        <w:t>A self-directed certification, real-project and job-readiness pathway</w:t>
      </w:r>
    </w:p>
    <w:tbl>
      <w:tblPr>
        <w:tblW w:type="dxa" w:w="9360"/>
        <w:jc w:val="left"/>
        <w:tblLayout w:type="fixed"/>
        <w:tblLook w:firstColumn="1" w:firstRow="1" w:lastColumn="0" w:lastRow="0" w:noHBand="0" w:noVBand="1" w:val="04A0"/>
        <w:tblInd w:w="0" w:type="dxa"/>
      </w:tblPr>
      <w:tblGrid>
        <w:gridCol w:w="2340"/>
        <w:gridCol w:w="2340"/>
        <w:gridCol w:w="2340"/>
        <w:gridCol w:w="2340"/>
      </w:tblGrid>
      <w:tr>
        <w:tc>
          <w:tcPr>
            <w:tcW w:type="dxa" w:w="2340"/>
            <w:tcMar>
              <w:top w:w="100" w:type="dxa"/>
              <w:start w:w="120" w:type="dxa"/>
              <w:bottom w:w="100" w:type="dxa"/>
              <w:end w:w="120" w:type="dxa"/>
            </w:tcMar>
            <w:vAlign w:val="center"/>
            <w:shd w:fill="102A43"/>
          </w:tcPr>
          <w:p>
            <w:pPr>
              <w:jc w:val="center"/>
            </w:pPr>
            <w:r>
              <w:rPr>
                <w:rFonts w:ascii="Calibri" w:hAnsi="Calibri"/>
                <w:b/>
                <w:color w:val="FFFFFF"/>
                <w:sz w:val="20"/>
              </w:rPr>
              <w:t>LEARN</w:t>
            </w:r>
          </w:p>
        </w:tc>
        <w:tc>
          <w:tcPr>
            <w:tcW w:type="dxa" w:w="2340"/>
            <w:tcMar>
              <w:top w:w="100" w:type="dxa"/>
              <w:start w:w="120" w:type="dxa"/>
              <w:bottom w:w="100" w:type="dxa"/>
              <w:end w:w="120" w:type="dxa"/>
            </w:tcMar>
            <w:vAlign w:val="center"/>
            <w:shd w:fill="007C83"/>
          </w:tcPr>
          <w:p>
            <w:pPr>
              <w:jc w:val="center"/>
            </w:pPr>
            <w:r>
              <w:rPr>
                <w:rFonts w:ascii="Calibri" w:hAnsi="Calibri"/>
                <w:b/>
                <w:color w:val="FFFFFF"/>
                <w:sz w:val="20"/>
              </w:rPr>
              <w:t>DELIVER</w:t>
            </w:r>
          </w:p>
        </w:tc>
        <w:tc>
          <w:tcPr>
            <w:tcW w:type="dxa" w:w="2340"/>
            <w:tcMar>
              <w:top w:w="100" w:type="dxa"/>
              <w:start w:w="120" w:type="dxa"/>
              <w:bottom w:w="100" w:type="dxa"/>
              <w:end w:w="120" w:type="dxa"/>
            </w:tcMar>
            <w:vAlign w:val="center"/>
            <w:shd w:fill="102A43"/>
          </w:tcPr>
          <w:p>
            <w:pPr>
              <w:jc w:val="center"/>
            </w:pPr>
            <w:r>
              <w:rPr>
                <w:rFonts w:ascii="Calibri" w:hAnsi="Calibri"/>
                <w:b/>
                <w:color w:val="FFFFFF"/>
                <w:sz w:val="20"/>
              </w:rPr>
              <w:t>PROVE</w:t>
            </w:r>
          </w:p>
        </w:tc>
        <w:tc>
          <w:tcPr>
            <w:tcW w:type="dxa" w:w="2340"/>
            <w:tcMar>
              <w:top w:w="100" w:type="dxa"/>
              <w:start w:w="120" w:type="dxa"/>
              <w:bottom w:w="100" w:type="dxa"/>
              <w:end w:w="120" w:type="dxa"/>
            </w:tcMar>
            <w:vAlign w:val="center"/>
            <w:shd w:fill="007C83"/>
          </w:tcPr>
          <w:p>
            <w:pPr>
              <w:jc w:val="center"/>
            </w:pPr>
            <w:r>
              <w:rPr>
                <w:rFonts w:ascii="Calibri" w:hAnsi="Calibri"/>
                <w:b/>
                <w:color w:val="FFFFFF"/>
                <w:sz w:val="20"/>
              </w:rPr>
              <w:t>LAND</w:t>
            </w:r>
          </w:p>
        </w:tc>
      </w:tr>
    </w:tbl>
    <w:p>
      <w:pPr>
        <w:spacing w:before="720"/>
        <w:jc w:val="center"/>
      </w:pPr>
      <w:r>
        <w:rPr>
          <w:rFonts w:ascii="Calibri" w:hAnsi="Calibri"/>
          <w:b/>
          <w:color w:val="5B6673"/>
          <w:sz w:val="22"/>
        </w:rPr>
        <w:t>Programme handbook</w:t>
        <w:br/>
      </w:r>
      <w:r>
        <w:rPr>
          <w:rFonts w:ascii="Calibri" w:hAnsi="Calibri"/>
          <w:b w:val="0"/>
          <w:color w:val="5B6673"/>
          <w:sz w:val="21"/>
        </w:rPr>
        <w:t>Version 1.0 | August 2026</w:t>
        <w:br/>
      </w:r>
      <w:r>
        <w:rPr>
          <w:rFonts w:ascii="Calibri" w:hAnsi="Calibri"/>
          <w:b w:val="0"/>
          <w:color w:val="5B6673"/>
          <w:sz w:val="21"/>
        </w:rPr>
        <w:t>Designed for individual use or an Advantcore cohort</w:t>
      </w:r>
    </w:p>
    <w:p>
      <w:pPr>
        <w:spacing w:before="880"/>
        <w:jc w:val="center"/>
      </w:pPr>
      <w:r>
        <w:rPr>
          <w:rFonts w:ascii="Calibri" w:hAnsi="Calibri"/>
          <w:b/>
          <w:color w:val="102A43"/>
          <w:sz w:val="19"/>
        </w:rPr>
        <w:t>Advantcore Ltd | Full-service digital agency and software studio | Manchester</w:t>
      </w:r>
    </w:p>
    <w:p>
      <w:r>
        <w:br w:type="page"/>
      </w:r>
    </w:p>
    <w:p>
      <w:pPr>
        <w:spacing w:after="120"/>
      </w:pPr>
      <w:r>
        <w:rPr>
          <w:rFonts w:ascii="Calibri" w:hAnsi="Calibri"/>
          <w:b/>
          <w:color w:val="102A43"/>
          <w:sz w:val="42"/>
        </w:rPr>
        <w:t>Start here</w:t>
      </w:r>
    </w:p>
    <w:p>
      <w:pPr>
        <w:spacing w:after="320"/>
      </w:pPr>
      <w:r>
        <w:rPr>
          <w:rFonts w:ascii="Calibri" w:hAnsi="Calibri"/>
          <w:b w:val="0"/>
          <w:color w:val="5B6673"/>
          <w:sz w:val="23"/>
        </w:rPr>
        <w:t>This handbook converts learning into credible evidence of business analysis capability. It is a delivery programme, not an attendance course.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5DB"/>
          </w:tcPr>
          <w:p>
            <w:pPr>
              <w:spacing w:after="40"/>
            </w:pPr>
            <w:r>
              <w:rPr>
                <w:rFonts w:ascii="Calibri" w:hAnsi="Calibri"/>
                <w:b/>
                <w:color w:val="C9921A"/>
                <w:sz w:val="20"/>
              </w:rPr>
              <w:t xml:space="preserve">OUTCOME STANDARD  </w:t>
            </w:r>
            <w:r>
              <w:rPr>
                <w:rFonts w:ascii="Calibri" w:hAnsi="Calibri"/>
                <w:b w:val="0"/>
                <w:color w:val="1C2530"/>
                <w:sz w:val="21"/>
              </w:rPr>
              <w:t>A participant completes the programme only after passing the knowledge, project, conduct and portfolio gates. Completion does not guarantee certification, employment or visa sponsorship.</w:t>
            </w:r>
          </w:p>
        </w:tc>
      </w:tr>
    </w:tbl>
    <w:p>
      <w:pPr>
        <w:spacing w:after="0"/>
      </w:pPr>
    </w:p>
    <w:p>
      <w:pPr>
        <w:pStyle w:val="Heading1"/>
      </w:pPr>
      <w:r>
        <w:t>1. Programme promise and boundaries</w:t>
      </w:r>
    </w:p>
    <w:p>
      <w:r>
        <w:rPr>
          <w:rFonts w:ascii="Calibri" w:hAnsi="Calibri"/>
          <w:b w:val="0"/>
          <w:i w:val="0"/>
          <w:color w:val="1C2530"/>
          <w:sz w:val="22"/>
        </w:rPr>
        <w:t>The programme follows six linked stages: learn the profession, prepare for certification, deliver genuine work, collect verified evidence, position the evidence for the market, and run a disciplined job campaign. Advantcore Ltd provides the business context, project governance and, where earned, a factual reference.</w:t>
      </w:r>
    </w:p>
    <w:p>
      <w:pPr>
        <w:pStyle w:val="ListBullet"/>
      </w:pPr>
      <w:r>
        <w:rPr>
          <w:rFonts w:ascii="Calibri" w:hAnsi="Calibri"/>
          <w:color w:val="1C2530"/>
          <w:sz w:val="22"/>
        </w:rPr>
        <w:t>Duration: 12 weeks of project-based development, normally 10 to 15 hours each week.</w:t>
      </w:r>
    </w:p>
    <w:p>
      <w:pPr>
        <w:pStyle w:val="ListBullet"/>
      </w:pPr>
      <w:r>
        <w:rPr>
          <w:rFonts w:ascii="Calibri" w:hAnsi="Calibri"/>
          <w:color w:val="1C2530"/>
          <w:sz w:val="22"/>
        </w:rPr>
        <w:t>Primary certification: BCS Foundation Certificate in Business Analysis.</w:t>
      </w:r>
    </w:p>
    <w:p>
      <w:pPr>
        <w:pStyle w:val="ListBullet"/>
      </w:pPr>
      <w:r>
        <w:rPr>
          <w:rFonts w:ascii="Calibri" w:hAnsi="Calibri"/>
          <w:color w:val="1C2530"/>
          <w:sz w:val="22"/>
        </w:rPr>
        <w:t>Primary project: Advantcore Client Enquiry-to-Delivery Improvement, adapted to the company's current needs.</w:t>
      </w:r>
    </w:p>
    <w:p>
      <w:pPr>
        <w:pStyle w:val="ListBullet"/>
      </w:pPr>
      <w:r>
        <w:rPr>
          <w:rFonts w:ascii="Calibri" w:hAnsi="Calibri"/>
          <w:color w:val="1C2530"/>
          <w:sz w:val="22"/>
        </w:rPr>
        <w:t>Evidence: dated artefacts, meeting records, approvals, feedback, reflection and measurable outcomes.</w:t>
      </w:r>
    </w:p>
    <w:p>
      <w:pPr>
        <w:pStyle w:val="ListBullet"/>
      </w:pPr>
      <w:r>
        <w:rPr>
          <w:rFonts w:ascii="Calibri" w:hAnsi="Calibri"/>
          <w:color w:val="1C2530"/>
          <w:sz w:val="22"/>
        </w:rPr>
        <w:t>Career phase: begins in week 7 and continues for at least six weeks after programme completion.</w:t>
      </w:r>
    </w:p>
    <w:p>
      <w:pPr>
        <w:pStyle w:val="ListBullet"/>
      </w:pPr>
      <w:r>
        <w:rPr>
          <w:rFonts w:ascii="Calibri" w:hAnsi="Calibri"/>
          <w:color w:val="1C2530"/>
          <w:sz w:val="22"/>
        </w:rPr>
        <w:t>Ethical rule: never describe practice, simulation or unfinished activity as delivered client work.</w:t>
      </w:r>
    </w:p>
    <w:p>
      <w:pPr>
        <w:pStyle w:val="Heading2"/>
      </w:pPr>
      <w:r>
        <w:t>The six-stage route</w:t>
      </w:r>
    </w:p>
    <w:tbl>
      <w:tblPr>
        <w:tblW w:type="dxa" w:w="9360"/>
        <w:jc w:val="left"/>
        <w:tblLayout w:type="fixed"/>
        <w:tblLook w:firstColumn="1" w:firstRow="1" w:lastColumn="0" w:lastRow="0" w:noHBand="0" w:noVBand="1" w:val="04A0"/>
        <w:tblInd w:w="120" w:type="dxa"/>
      </w:tblPr>
      <w:tblGrid>
        <w:gridCol w:w="1200"/>
        <w:gridCol w:w="4300"/>
        <w:gridCol w:w="3860"/>
      </w:tblGrid>
      <w:tr>
        <w:trPr>
          <w:tblHeader w:val="true"/>
        </w:trPr>
        <w:tc>
          <w:tcPr>
            <w:tcW w:type="dxa" w:w="1200"/>
            <w:tcMar>
              <w:top w:w="100" w:type="dxa"/>
              <w:start w:w="120" w:type="dxa"/>
              <w:bottom w:w="100" w:type="dxa"/>
              <w:end w:w="120" w:type="dxa"/>
            </w:tcMar>
            <w:vAlign w:val="center"/>
            <w:shd w:fill="102A43"/>
          </w:tcPr>
          <w:p>
            <w:pPr>
              <w:jc w:val="left"/>
            </w:pPr>
            <w:r>
              <w:rPr>
                <w:rFonts w:ascii="Calibri" w:hAnsi="Calibri"/>
                <w:b/>
                <w:color w:val="FFFFFF"/>
                <w:sz w:val="19"/>
              </w:rPr>
              <w:t>Stage</w:t>
            </w:r>
          </w:p>
        </w:tc>
        <w:tc>
          <w:tcPr>
            <w:tcW w:type="dxa" w:w="4300"/>
            <w:tcMar>
              <w:top w:w="100" w:type="dxa"/>
              <w:start w:w="120" w:type="dxa"/>
              <w:bottom w:w="100" w:type="dxa"/>
              <w:end w:w="120" w:type="dxa"/>
            </w:tcMar>
            <w:vAlign w:val="center"/>
            <w:shd w:fill="102A43"/>
          </w:tcPr>
          <w:p>
            <w:pPr>
              <w:jc w:val="left"/>
            </w:pPr>
            <w:r>
              <w:rPr>
                <w:rFonts w:ascii="Calibri" w:hAnsi="Calibri"/>
                <w:b/>
                <w:color w:val="FFFFFF"/>
                <w:sz w:val="19"/>
              </w:rPr>
              <w:t>Purpose</w:t>
            </w:r>
          </w:p>
        </w:tc>
        <w:tc>
          <w:tcPr>
            <w:tcW w:type="dxa" w:w="3860"/>
            <w:tcMar>
              <w:top w:w="100" w:type="dxa"/>
              <w:start w:w="120" w:type="dxa"/>
              <w:bottom w:w="100" w:type="dxa"/>
              <w:end w:w="120" w:type="dxa"/>
            </w:tcMar>
            <w:vAlign w:val="center"/>
            <w:shd w:fill="102A43"/>
          </w:tcPr>
          <w:p>
            <w:pPr>
              <w:jc w:val="left"/>
            </w:pPr>
            <w:r>
              <w:rPr>
                <w:rFonts w:ascii="Calibri" w:hAnsi="Calibri"/>
                <w:b/>
                <w:color w:val="FFFFFF"/>
                <w:sz w:val="19"/>
              </w:rPr>
              <w:t>Exit evidence</w:t>
            </w:r>
          </w:p>
        </w:tc>
      </w:tr>
      <w:tr>
        <w:tc>
          <w:tcPr>
            <w:tcW w:type="dxa" w:w="1200"/>
            <w:tcMar>
              <w:top w:w="100" w:type="dxa"/>
              <w:start w:w="120" w:type="dxa"/>
              <w:bottom w:w="100" w:type="dxa"/>
              <w:end w:w="120" w:type="dxa"/>
            </w:tcMar>
            <w:vAlign w:val="center"/>
          </w:tcPr>
          <w:p>
            <w:r>
              <w:rPr>
                <w:rFonts w:ascii="Calibri" w:hAnsi="Calibri"/>
                <w:b w:val="0"/>
                <w:color w:val="1C2530"/>
                <w:sz w:val="19"/>
              </w:rPr>
              <w:t>1. Learn</w:t>
            </w:r>
          </w:p>
        </w:tc>
        <w:tc>
          <w:tcPr>
            <w:tcW w:type="dxa" w:w="4300"/>
            <w:tcMar>
              <w:top w:w="100" w:type="dxa"/>
              <w:start w:w="120" w:type="dxa"/>
              <w:bottom w:w="100" w:type="dxa"/>
              <w:end w:w="120" w:type="dxa"/>
            </w:tcMar>
            <w:vAlign w:val="center"/>
          </w:tcPr>
          <w:p>
            <w:r>
              <w:rPr>
                <w:rFonts w:ascii="Calibri" w:hAnsi="Calibri"/>
                <w:b w:val="0"/>
                <w:color w:val="1C2530"/>
                <w:sz w:val="19"/>
              </w:rPr>
              <w:t>Build BA vocabulary and technique selection skills.</w:t>
            </w:r>
          </w:p>
        </w:tc>
        <w:tc>
          <w:tcPr>
            <w:tcW w:type="dxa" w:w="3860"/>
            <w:tcMar>
              <w:top w:w="100" w:type="dxa"/>
              <w:start w:w="120" w:type="dxa"/>
              <w:bottom w:w="100" w:type="dxa"/>
              <w:end w:w="120" w:type="dxa"/>
            </w:tcMar>
            <w:vAlign w:val="center"/>
          </w:tcPr>
          <w:p>
            <w:r>
              <w:rPr>
                <w:rFonts w:ascii="Calibri" w:hAnsi="Calibri"/>
                <w:b w:val="0"/>
                <w:color w:val="1C2530"/>
                <w:sz w:val="19"/>
              </w:rPr>
              <w:t>Module checks at 80% or above.</w:t>
            </w:r>
          </w:p>
        </w:tc>
      </w:tr>
      <w:tr>
        <w:tc>
          <w:tcPr>
            <w:tcW w:type="dxa" w:w="1200"/>
            <w:tcMar>
              <w:top w:w="100" w:type="dxa"/>
              <w:start w:w="120" w:type="dxa"/>
              <w:bottom w:w="100" w:type="dxa"/>
              <w:end w:w="120" w:type="dxa"/>
            </w:tcMar>
            <w:vAlign w:val="center"/>
            <w:shd w:fill="F7F9FB"/>
          </w:tcPr>
          <w:p>
            <w:r>
              <w:rPr>
                <w:rFonts w:ascii="Calibri" w:hAnsi="Calibri"/>
                <w:b w:val="0"/>
                <w:color w:val="1C2530"/>
                <w:sz w:val="19"/>
              </w:rPr>
              <w:t>2. Certify</w:t>
            </w:r>
          </w:p>
        </w:tc>
        <w:tc>
          <w:tcPr>
            <w:tcW w:type="dxa" w:w="4300"/>
            <w:tcMar>
              <w:top w:w="100" w:type="dxa"/>
              <w:start w:w="120" w:type="dxa"/>
              <w:bottom w:w="100" w:type="dxa"/>
              <w:end w:w="120" w:type="dxa"/>
            </w:tcMar>
            <w:vAlign w:val="center"/>
            <w:shd w:fill="F7F9FB"/>
          </w:tcPr>
          <w:p>
            <w:r>
              <w:rPr>
                <w:rFonts w:ascii="Calibri" w:hAnsi="Calibri"/>
                <w:b w:val="0"/>
                <w:color w:val="1C2530"/>
                <w:sz w:val="19"/>
              </w:rPr>
              <w:t>Prepare for the BCS Foundation examination.</w:t>
            </w:r>
          </w:p>
        </w:tc>
        <w:tc>
          <w:tcPr>
            <w:tcW w:type="dxa" w:w="3860"/>
            <w:tcMar>
              <w:top w:w="100" w:type="dxa"/>
              <w:start w:w="120" w:type="dxa"/>
              <w:bottom w:w="100" w:type="dxa"/>
              <w:end w:w="120" w:type="dxa"/>
            </w:tcMar>
            <w:vAlign w:val="center"/>
            <w:shd w:fill="F7F9FB"/>
          </w:tcPr>
          <w:p>
            <w:r>
              <w:rPr>
                <w:rFonts w:ascii="Calibri" w:hAnsi="Calibri"/>
                <w:b w:val="0"/>
                <w:color w:val="1C2530"/>
                <w:sz w:val="19"/>
              </w:rPr>
              <w:t>Two timed mocks at 75% or above.</w:t>
            </w:r>
          </w:p>
        </w:tc>
      </w:tr>
      <w:tr>
        <w:tc>
          <w:tcPr>
            <w:tcW w:type="dxa" w:w="1200"/>
            <w:tcMar>
              <w:top w:w="100" w:type="dxa"/>
              <w:start w:w="120" w:type="dxa"/>
              <w:bottom w:w="100" w:type="dxa"/>
              <w:end w:w="120" w:type="dxa"/>
            </w:tcMar>
            <w:vAlign w:val="center"/>
          </w:tcPr>
          <w:p>
            <w:r>
              <w:rPr>
                <w:rFonts w:ascii="Calibri" w:hAnsi="Calibri"/>
                <w:b w:val="0"/>
                <w:color w:val="1C2530"/>
                <w:sz w:val="19"/>
              </w:rPr>
              <w:t>3. Deliver</w:t>
            </w:r>
          </w:p>
        </w:tc>
        <w:tc>
          <w:tcPr>
            <w:tcW w:type="dxa" w:w="4300"/>
            <w:tcMar>
              <w:top w:w="100" w:type="dxa"/>
              <w:start w:w="120" w:type="dxa"/>
              <w:bottom w:w="100" w:type="dxa"/>
              <w:end w:w="120" w:type="dxa"/>
            </w:tcMar>
            <w:vAlign w:val="center"/>
          </w:tcPr>
          <w:p>
            <w:r>
              <w:rPr>
                <w:rFonts w:ascii="Calibri" w:hAnsi="Calibri"/>
                <w:b w:val="0"/>
                <w:color w:val="1C2530"/>
                <w:sz w:val="19"/>
              </w:rPr>
              <w:t>Complete a real Advantcore change project.</w:t>
            </w:r>
          </w:p>
        </w:tc>
        <w:tc>
          <w:tcPr>
            <w:tcW w:type="dxa" w:w="3860"/>
            <w:tcMar>
              <w:top w:w="100" w:type="dxa"/>
              <w:start w:w="120" w:type="dxa"/>
              <w:bottom w:w="100" w:type="dxa"/>
              <w:end w:w="120" w:type="dxa"/>
            </w:tcMar>
            <w:vAlign w:val="center"/>
          </w:tcPr>
          <w:p>
            <w:r>
              <w:rPr>
                <w:rFonts w:ascii="Calibri" w:hAnsi="Calibri"/>
                <w:b w:val="0"/>
                <w:color w:val="1C2530"/>
                <w:sz w:val="19"/>
              </w:rPr>
              <w:t>Signed weekly artefacts and a final sponsor decision.</w:t>
            </w:r>
          </w:p>
        </w:tc>
      </w:tr>
      <w:tr>
        <w:tc>
          <w:tcPr>
            <w:tcW w:type="dxa" w:w="1200"/>
            <w:tcMar>
              <w:top w:w="100" w:type="dxa"/>
              <w:start w:w="120" w:type="dxa"/>
              <w:bottom w:w="100" w:type="dxa"/>
              <w:end w:w="120" w:type="dxa"/>
            </w:tcMar>
            <w:vAlign w:val="center"/>
            <w:shd w:fill="F7F9FB"/>
          </w:tcPr>
          <w:p>
            <w:r>
              <w:rPr>
                <w:rFonts w:ascii="Calibri" w:hAnsi="Calibri"/>
                <w:b w:val="0"/>
                <w:color w:val="1C2530"/>
                <w:sz w:val="19"/>
              </w:rPr>
              <w:t>4. Prove</w:t>
            </w:r>
          </w:p>
        </w:tc>
        <w:tc>
          <w:tcPr>
            <w:tcW w:type="dxa" w:w="4300"/>
            <w:tcMar>
              <w:top w:w="100" w:type="dxa"/>
              <w:start w:w="120" w:type="dxa"/>
              <w:bottom w:w="100" w:type="dxa"/>
              <w:end w:w="120" w:type="dxa"/>
            </w:tcMar>
            <w:vAlign w:val="center"/>
            <w:shd w:fill="F7F9FB"/>
          </w:tcPr>
          <w:p>
            <w:r>
              <w:rPr>
                <w:rFonts w:ascii="Calibri" w:hAnsi="Calibri"/>
                <w:b w:val="0"/>
                <w:color w:val="1C2530"/>
                <w:sz w:val="19"/>
              </w:rPr>
              <w:t>Create a defensible evidence pack.</w:t>
            </w:r>
          </w:p>
        </w:tc>
        <w:tc>
          <w:tcPr>
            <w:tcW w:type="dxa" w:w="3860"/>
            <w:tcMar>
              <w:top w:w="100" w:type="dxa"/>
              <w:start w:w="120" w:type="dxa"/>
              <w:bottom w:w="100" w:type="dxa"/>
              <w:end w:w="120" w:type="dxa"/>
            </w:tcMar>
            <w:vAlign w:val="center"/>
            <w:shd w:fill="F7F9FB"/>
          </w:tcPr>
          <w:p>
            <w:r>
              <w:rPr>
                <w:rFonts w:ascii="Calibri" w:hAnsi="Calibri"/>
                <w:b w:val="0"/>
                <w:color w:val="1C2530"/>
                <w:sz w:val="19"/>
              </w:rPr>
              <w:t>Portfolio index, case study and supervisor scorecard.</w:t>
            </w:r>
          </w:p>
        </w:tc>
      </w:tr>
      <w:tr>
        <w:tc>
          <w:tcPr>
            <w:tcW w:type="dxa" w:w="1200"/>
            <w:tcMar>
              <w:top w:w="100" w:type="dxa"/>
              <w:start w:w="120" w:type="dxa"/>
              <w:bottom w:w="100" w:type="dxa"/>
              <w:end w:w="120" w:type="dxa"/>
            </w:tcMar>
            <w:vAlign w:val="center"/>
          </w:tcPr>
          <w:p>
            <w:r>
              <w:rPr>
                <w:rFonts w:ascii="Calibri" w:hAnsi="Calibri"/>
                <w:b w:val="0"/>
                <w:color w:val="1C2530"/>
                <w:sz w:val="19"/>
              </w:rPr>
              <w:t>5. Position</w:t>
            </w:r>
          </w:p>
        </w:tc>
        <w:tc>
          <w:tcPr>
            <w:tcW w:type="dxa" w:w="4300"/>
            <w:tcMar>
              <w:top w:w="100" w:type="dxa"/>
              <w:start w:w="120" w:type="dxa"/>
              <w:bottom w:w="100" w:type="dxa"/>
              <w:end w:w="120" w:type="dxa"/>
            </w:tcMar>
            <w:vAlign w:val="center"/>
          </w:tcPr>
          <w:p>
            <w:r>
              <w:rPr>
                <w:rFonts w:ascii="Calibri" w:hAnsi="Calibri"/>
                <w:b w:val="0"/>
                <w:color w:val="1C2530"/>
                <w:sz w:val="19"/>
              </w:rPr>
              <w:t>Translate evidence into a focused market profile.</w:t>
            </w:r>
          </w:p>
        </w:tc>
        <w:tc>
          <w:tcPr>
            <w:tcW w:type="dxa" w:w="3860"/>
            <w:tcMar>
              <w:top w:w="100" w:type="dxa"/>
              <w:start w:w="120" w:type="dxa"/>
              <w:bottom w:w="100" w:type="dxa"/>
              <w:end w:w="120" w:type="dxa"/>
            </w:tcMar>
            <w:vAlign w:val="center"/>
          </w:tcPr>
          <w:p>
            <w:r>
              <w:rPr>
                <w:rFonts w:ascii="Calibri" w:hAnsi="Calibri"/>
                <w:b w:val="0"/>
                <w:color w:val="1C2530"/>
                <w:sz w:val="19"/>
              </w:rPr>
              <w:t>CV, LinkedIn, project stories and target-role map.</w:t>
            </w:r>
          </w:p>
        </w:tc>
      </w:tr>
      <w:tr>
        <w:tc>
          <w:tcPr>
            <w:tcW w:type="dxa" w:w="1200"/>
            <w:tcMar>
              <w:top w:w="100" w:type="dxa"/>
              <w:start w:w="120" w:type="dxa"/>
              <w:bottom w:w="100" w:type="dxa"/>
              <w:end w:w="120" w:type="dxa"/>
            </w:tcMar>
            <w:vAlign w:val="center"/>
            <w:shd w:fill="F7F9FB"/>
          </w:tcPr>
          <w:p>
            <w:r>
              <w:rPr>
                <w:rFonts w:ascii="Calibri" w:hAnsi="Calibri"/>
                <w:b w:val="0"/>
                <w:color w:val="1C2530"/>
                <w:sz w:val="19"/>
              </w:rPr>
              <w:t>6. Apply</w:t>
            </w:r>
          </w:p>
        </w:tc>
        <w:tc>
          <w:tcPr>
            <w:tcW w:type="dxa" w:w="4300"/>
            <w:tcMar>
              <w:top w:w="100" w:type="dxa"/>
              <w:start w:w="120" w:type="dxa"/>
              <w:bottom w:w="100" w:type="dxa"/>
              <w:end w:w="120" w:type="dxa"/>
            </w:tcMar>
            <w:vAlign w:val="center"/>
            <w:shd w:fill="F7F9FB"/>
          </w:tcPr>
          <w:p>
            <w:r>
              <w:rPr>
                <w:rFonts w:ascii="Calibri" w:hAnsi="Calibri"/>
                <w:b w:val="0"/>
                <w:color w:val="1C2530"/>
                <w:sz w:val="19"/>
              </w:rPr>
              <w:t>Run a measured search, network and interview system.</w:t>
            </w:r>
          </w:p>
        </w:tc>
        <w:tc>
          <w:tcPr>
            <w:tcW w:type="dxa" w:w="3860"/>
            <w:tcMar>
              <w:top w:w="100" w:type="dxa"/>
              <w:start w:w="120" w:type="dxa"/>
              <w:bottom w:w="100" w:type="dxa"/>
              <w:end w:w="120" w:type="dxa"/>
            </w:tcMar>
            <w:vAlign w:val="center"/>
            <w:shd w:fill="F7F9FB"/>
          </w:tcPr>
          <w:p>
            <w:r>
              <w:rPr>
                <w:rFonts w:ascii="Calibri" w:hAnsi="Calibri"/>
                <w:b w:val="0"/>
                <w:color w:val="1C2530"/>
                <w:sz w:val="19"/>
              </w:rPr>
              <w:t>Application tracker and weekly conversion review.</w:t>
            </w:r>
          </w:p>
        </w:tc>
      </w:tr>
    </w:tbl>
    <w:p>
      <w:pPr>
        <w:spacing w:after="0"/>
      </w:pPr>
    </w:p>
    <w:p>
      <w:r>
        <w:br w:type="page"/>
      </w:r>
    </w:p>
    <w:p>
      <w:pPr>
        <w:pStyle w:val="Heading1"/>
      </w:pPr>
      <w:r>
        <w:t>2. Admission, baseline and readiness</w:t>
      </w:r>
    </w:p>
    <w:p>
      <w:r>
        <w:rPr>
          <w:rFonts w:ascii="Calibri" w:hAnsi="Calibri"/>
          <w:b w:val="0"/>
          <w:i w:val="0"/>
          <w:color w:val="1C2530"/>
          <w:sz w:val="22"/>
        </w:rPr>
        <w:t>No technology degree or prior BA title is required. The participant must be able to write professional English, attend agreed meetings, protect confidential information and complete independent work. Basic competence in Word, Excel, online meetings and file management is expected.</w:t>
      </w:r>
    </w:p>
    <w:p>
      <w:pPr>
        <w:pStyle w:val="Heading2"/>
      </w:pPr>
      <w:r>
        <w:t>Baseline assessment</w:t>
      </w:r>
    </w:p>
    <w:tbl>
      <w:tblPr>
        <w:tblW w:type="dxa" w:w="9360"/>
        <w:jc w:val="left"/>
        <w:tblLayout w:type="fixed"/>
        <w:tblLook w:firstColumn="1" w:firstRow="1" w:lastColumn="0" w:lastRow="0" w:noHBand="0" w:noVBand="1" w:val="04A0"/>
        <w:tblInd w:w="120" w:type="dxa"/>
      </w:tblPr>
      <w:tblGrid>
        <w:gridCol w:w="1700"/>
        <w:gridCol w:w="4700"/>
        <w:gridCol w:w="2960"/>
      </w:tblGrid>
      <w:tr>
        <w:trPr>
          <w:tblHeader w:val="true"/>
        </w:trPr>
        <w:tc>
          <w:tcPr>
            <w:tcW w:type="dxa" w:w="1700"/>
            <w:tcMar>
              <w:top w:w="100" w:type="dxa"/>
              <w:start w:w="120" w:type="dxa"/>
              <w:bottom w:w="100" w:type="dxa"/>
              <w:end w:w="120" w:type="dxa"/>
            </w:tcMar>
            <w:vAlign w:val="center"/>
            <w:shd w:fill="102A43"/>
          </w:tcPr>
          <w:p>
            <w:pPr>
              <w:jc w:val="left"/>
            </w:pPr>
            <w:r>
              <w:rPr>
                <w:rFonts w:ascii="Calibri" w:hAnsi="Calibri"/>
                <w:b/>
                <w:color w:val="FFFFFF"/>
                <w:sz w:val="18"/>
              </w:rPr>
              <w:t>Area</w:t>
            </w:r>
          </w:p>
        </w:tc>
        <w:tc>
          <w:tcPr>
            <w:tcW w:type="dxa" w:w="4700"/>
            <w:tcMar>
              <w:top w:w="100" w:type="dxa"/>
              <w:start w:w="120" w:type="dxa"/>
              <w:bottom w:w="100" w:type="dxa"/>
              <w:end w:w="120" w:type="dxa"/>
            </w:tcMar>
            <w:vAlign w:val="center"/>
            <w:shd w:fill="102A43"/>
          </w:tcPr>
          <w:p>
            <w:pPr>
              <w:jc w:val="left"/>
            </w:pPr>
            <w:r>
              <w:rPr>
                <w:rFonts w:ascii="Calibri" w:hAnsi="Calibri"/>
                <w:b/>
                <w:color w:val="FFFFFF"/>
                <w:sz w:val="18"/>
              </w:rPr>
              <w:t>Diagnostic task</w:t>
            </w:r>
          </w:p>
        </w:tc>
        <w:tc>
          <w:tcPr>
            <w:tcW w:type="dxa" w:w="2960"/>
            <w:tcMar>
              <w:top w:w="100" w:type="dxa"/>
              <w:start w:w="120" w:type="dxa"/>
              <w:bottom w:w="100" w:type="dxa"/>
              <w:end w:w="120" w:type="dxa"/>
            </w:tcMar>
            <w:vAlign w:val="center"/>
            <w:shd w:fill="102A43"/>
          </w:tcPr>
          <w:p>
            <w:pPr>
              <w:jc w:val="left"/>
            </w:pPr>
            <w:r>
              <w:rPr>
                <w:rFonts w:ascii="Calibri" w:hAnsi="Calibri"/>
                <w:b/>
                <w:color w:val="FFFFFF"/>
                <w:sz w:val="18"/>
              </w:rPr>
              <w:t>Starting evidence</w:t>
            </w:r>
          </w:p>
        </w:tc>
      </w:tr>
      <w:tr>
        <w:tc>
          <w:tcPr>
            <w:tcW w:type="dxa" w:w="1700"/>
            <w:tcMar>
              <w:top w:w="100" w:type="dxa"/>
              <w:start w:w="120" w:type="dxa"/>
              <w:bottom w:w="100" w:type="dxa"/>
              <w:end w:w="120" w:type="dxa"/>
            </w:tcMar>
            <w:vAlign w:val="center"/>
          </w:tcPr>
          <w:p>
            <w:r>
              <w:rPr>
                <w:rFonts w:ascii="Calibri" w:hAnsi="Calibri"/>
                <w:b w:val="0"/>
                <w:color w:val="1C2530"/>
                <w:sz w:val="18"/>
              </w:rPr>
              <w:t>Problem solving</w:t>
            </w:r>
          </w:p>
        </w:tc>
        <w:tc>
          <w:tcPr>
            <w:tcW w:type="dxa" w:w="4700"/>
            <w:tcMar>
              <w:top w:w="100" w:type="dxa"/>
              <w:start w:w="120" w:type="dxa"/>
              <w:bottom w:w="100" w:type="dxa"/>
              <w:end w:w="120" w:type="dxa"/>
            </w:tcMar>
            <w:vAlign w:val="center"/>
          </w:tcPr>
          <w:p>
            <w:r>
              <w:rPr>
                <w:rFonts w:ascii="Calibri" w:hAnsi="Calibri"/>
                <w:b w:val="0"/>
                <w:color w:val="1C2530"/>
                <w:sz w:val="18"/>
              </w:rPr>
              <w:t>Turn a broad complaint into one clear problem statement.</w:t>
            </w:r>
          </w:p>
        </w:tc>
        <w:tc>
          <w:tcPr>
            <w:tcW w:type="dxa" w:w="2960"/>
            <w:tcMar>
              <w:top w:w="100" w:type="dxa"/>
              <w:start w:w="120" w:type="dxa"/>
              <w:bottom w:w="100" w:type="dxa"/>
              <w:end w:w="120" w:type="dxa"/>
            </w:tcMar>
            <w:vAlign w:val="center"/>
          </w:tcPr>
          <w:p>
            <w:r>
              <w:rPr>
                <w:rFonts w:ascii="Calibri" w:hAnsi="Calibri"/>
                <w:b w:val="0"/>
                <w:color w:val="1C2530"/>
                <w:sz w:val="18"/>
              </w:rPr>
              <w:t>One-page response.</w:t>
            </w:r>
          </w:p>
        </w:tc>
      </w:tr>
      <w:tr>
        <w:tc>
          <w:tcPr>
            <w:tcW w:type="dxa" w:w="1700"/>
            <w:tcMar>
              <w:top w:w="100" w:type="dxa"/>
              <w:start w:w="120" w:type="dxa"/>
              <w:bottom w:w="100" w:type="dxa"/>
              <w:end w:w="120" w:type="dxa"/>
            </w:tcMar>
            <w:vAlign w:val="center"/>
            <w:shd w:fill="F7F9FB"/>
          </w:tcPr>
          <w:p>
            <w:r>
              <w:rPr>
                <w:rFonts w:ascii="Calibri" w:hAnsi="Calibri"/>
                <w:b w:val="0"/>
                <w:color w:val="1C2530"/>
                <w:sz w:val="18"/>
              </w:rPr>
              <w:t>Communication</w:t>
            </w:r>
          </w:p>
        </w:tc>
        <w:tc>
          <w:tcPr>
            <w:tcW w:type="dxa" w:w="4700"/>
            <w:tcMar>
              <w:top w:w="100" w:type="dxa"/>
              <w:start w:w="120" w:type="dxa"/>
              <w:bottom w:w="100" w:type="dxa"/>
              <w:end w:w="120" w:type="dxa"/>
            </w:tcMar>
            <w:vAlign w:val="center"/>
            <w:shd w:fill="F7F9FB"/>
          </w:tcPr>
          <w:p>
            <w:r>
              <w:rPr>
                <w:rFonts w:ascii="Calibri" w:hAnsi="Calibri"/>
                <w:b w:val="0"/>
                <w:color w:val="1C2530"/>
                <w:sz w:val="18"/>
              </w:rPr>
              <w:t>Explain a change to a non-technical stakeholder.</w:t>
            </w:r>
          </w:p>
        </w:tc>
        <w:tc>
          <w:tcPr>
            <w:tcW w:type="dxa" w:w="2960"/>
            <w:tcMar>
              <w:top w:w="100" w:type="dxa"/>
              <w:start w:w="120" w:type="dxa"/>
              <w:bottom w:w="100" w:type="dxa"/>
              <w:end w:w="120" w:type="dxa"/>
            </w:tcMar>
            <w:vAlign w:val="center"/>
            <w:shd w:fill="F7F9FB"/>
          </w:tcPr>
          <w:p>
            <w:r>
              <w:rPr>
                <w:rFonts w:ascii="Calibri" w:hAnsi="Calibri"/>
                <w:b w:val="0"/>
                <w:color w:val="1C2530"/>
                <w:sz w:val="18"/>
              </w:rPr>
              <w:t>Three-minute recorded explanation.</w:t>
            </w:r>
          </w:p>
        </w:tc>
      </w:tr>
      <w:tr>
        <w:tc>
          <w:tcPr>
            <w:tcW w:type="dxa" w:w="1700"/>
            <w:tcMar>
              <w:top w:w="100" w:type="dxa"/>
              <w:start w:w="120" w:type="dxa"/>
              <w:bottom w:w="100" w:type="dxa"/>
              <w:end w:w="120" w:type="dxa"/>
            </w:tcMar>
            <w:vAlign w:val="center"/>
          </w:tcPr>
          <w:p>
            <w:r>
              <w:rPr>
                <w:rFonts w:ascii="Calibri" w:hAnsi="Calibri"/>
                <w:b w:val="0"/>
                <w:color w:val="1C2530"/>
                <w:sz w:val="18"/>
              </w:rPr>
              <w:t>Process thinking</w:t>
            </w:r>
          </w:p>
        </w:tc>
        <w:tc>
          <w:tcPr>
            <w:tcW w:type="dxa" w:w="4700"/>
            <w:tcMar>
              <w:top w:w="100" w:type="dxa"/>
              <w:start w:w="120" w:type="dxa"/>
              <w:bottom w:w="100" w:type="dxa"/>
              <w:end w:w="120" w:type="dxa"/>
            </w:tcMar>
            <w:vAlign w:val="center"/>
          </w:tcPr>
          <w:p>
            <w:r>
              <w:rPr>
                <w:rFonts w:ascii="Calibri" w:hAnsi="Calibri"/>
                <w:b w:val="0"/>
                <w:color w:val="1C2530"/>
                <w:sz w:val="18"/>
              </w:rPr>
              <w:t>Map a familiar process using five to eight steps.</w:t>
            </w:r>
          </w:p>
        </w:tc>
        <w:tc>
          <w:tcPr>
            <w:tcW w:type="dxa" w:w="2960"/>
            <w:tcMar>
              <w:top w:w="100" w:type="dxa"/>
              <w:start w:w="120" w:type="dxa"/>
              <w:bottom w:w="100" w:type="dxa"/>
              <w:end w:w="120" w:type="dxa"/>
            </w:tcMar>
            <w:vAlign w:val="center"/>
          </w:tcPr>
          <w:p>
            <w:r>
              <w:rPr>
                <w:rFonts w:ascii="Calibri" w:hAnsi="Calibri"/>
                <w:b w:val="0"/>
                <w:color w:val="1C2530"/>
                <w:sz w:val="18"/>
              </w:rPr>
              <w:t>Simple swimlane or flow.</w:t>
            </w:r>
          </w:p>
        </w:tc>
      </w:tr>
      <w:tr>
        <w:tc>
          <w:tcPr>
            <w:tcW w:type="dxa" w:w="1700"/>
            <w:tcMar>
              <w:top w:w="100" w:type="dxa"/>
              <w:start w:w="120" w:type="dxa"/>
              <w:bottom w:w="100" w:type="dxa"/>
              <w:end w:w="120" w:type="dxa"/>
            </w:tcMar>
            <w:vAlign w:val="center"/>
            <w:shd w:fill="F7F9FB"/>
          </w:tcPr>
          <w:p>
            <w:r>
              <w:rPr>
                <w:rFonts w:ascii="Calibri" w:hAnsi="Calibri"/>
                <w:b w:val="0"/>
                <w:color w:val="1C2530"/>
                <w:sz w:val="18"/>
              </w:rPr>
              <w:t>Requirements</w:t>
            </w:r>
          </w:p>
        </w:tc>
        <w:tc>
          <w:tcPr>
            <w:tcW w:type="dxa" w:w="4700"/>
            <w:tcMar>
              <w:top w:w="100" w:type="dxa"/>
              <w:start w:w="120" w:type="dxa"/>
              <w:bottom w:w="100" w:type="dxa"/>
              <w:end w:w="120" w:type="dxa"/>
            </w:tcMar>
            <w:vAlign w:val="center"/>
            <w:shd w:fill="F7F9FB"/>
          </w:tcPr>
          <w:p>
            <w:r>
              <w:rPr>
                <w:rFonts w:ascii="Calibri" w:hAnsi="Calibri"/>
                <w:b w:val="0"/>
                <w:color w:val="1C2530"/>
                <w:sz w:val="18"/>
              </w:rPr>
              <w:t>Write three user stories with acceptance criteria.</w:t>
            </w:r>
          </w:p>
        </w:tc>
        <w:tc>
          <w:tcPr>
            <w:tcW w:type="dxa" w:w="2960"/>
            <w:tcMar>
              <w:top w:w="100" w:type="dxa"/>
              <w:start w:w="120" w:type="dxa"/>
              <w:bottom w:w="100" w:type="dxa"/>
              <w:end w:w="120" w:type="dxa"/>
            </w:tcMar>
            <w:vAlign w:val="center"/>
            <w:shd w:fill="F7F9FB"/>
          </w:tcPr>
          <w:p>
            <w:r>
              <w:rPr>
                <w:rFonts w:ascii="Calibri" w:hAnsi="Calibri"/>
                <w:b w:val="0"/>
                <w:color w:val="1C2530"/>
                <w:sz w:val="18"/>
              </w:rPr>
              <w:t>Draft story set.</w:t>
            </w:r>
          </w:p>
        </w:tc>
      </w:tr>
      <w:tr>
        <w:tc>
          <w:tcPr>
            <w:tcW w:type="dxa" w:w="1700"/>
            <w:tcMar>
              <w:top w:w="100" w:type="dxa"/>
              <w:start w:w="120" w:type="dxa"/>
              <w:bottom w:w="100" w:type="dxa"/>
              <w:end w:w="120" w:type="dxa"/>
            </w:tcMar>
            <w:vAlign w:val="center"/>
          </w:tcPr>
          <w:p>
            <w:r>
              <w:rPr>
                <w:rFonts w:ascii="Calibri" w:hAnsi="Calibri"/>
                <w:b w:val="0"/>
                <w:color w:val="1C2530"/>
                <w:sz w:val="18"/>
              </w:rPr>
              <w:t>Data</w:t>
            </w:r>
          </w:p>
        </w:tc>
        <w:tc>
          <w:tcPr>
            <w:tcW w:type="dxa" w:w="4700"/>
            <w:tcMar>
              <w:top w:w="100" w:type="dxa"/>
              <w:start w:w="120" w:type="dxa"/>
              <w:bottom w:w="100" w:type="dxa"/>
              <w:end w:w="120" w:type="dxa"/>
            </w:tcMar>
            <w:vAlign w:val="center"/>
          </w:tcPr>
          <w:p>
            <w:r>
              <w:rPr>
                <w:rFonts w:ascii="Calibri" w:hAnsi="Calibri"/>
                <w:b w:val="0"/>
                <w:color w:val="1C2530"/>
                <w:sz w:val="18"/>
              </w:rPr>
              <w:t>Interpret a small operational table and identify one trend.</w:t>
            </w:r>
          </w:p>
        </w:tc>
        <w:tc>
          <w:tcPr>
            <w:tcW w:type="dxa" w:w="2960"/>
            <w:tcMar>
              <w:top w:w="100" w:type="dxa"/>
              <w:start w:w="120" w:type="dxa"/>
              <w:bottom w:w="100" w:type="dxa"/>
              <w:end w:w="120" w:type="dxa"/>
            </w:tcMar>
            <w:vAlign w:val="center"/>
          </w:tcPr>
          <w:p>
            <w:r>
              <w:rPr>
                <w:rFonts w:ascii="Calibri" w:hAnsi="Calibri"/>
                <w:b w:val="0"/>
                <w:color w:val="1C2530"/>
                <w:sz w:val="18"/>
              </w:rPr>
              <w:t>Short finding note.</w:t>
            </w:r>
          </w:p>
        </w:tc>
      </w:tr>
      <w:tr>
        <w:tc>
          <w:tcPr>
            <w:tcW w:type="dxa" w:w="1700"/>
            <w:tcMar>
              <w:top w:w="100" w:type="dxa"/>
              <w:start w:w="120" w:type="dxa"/>
              <w:bottom w:w="100" w:type="dxa"/>
              <w:end w:w="120" w:type="dxa"/>
            </w:tcMar>
            <w:vAlign w:val="center"/>
            <w:shd w:fill="F7F9FB"/>
          </w:tcPr>
          <w:p>
            <w:r>
              <w:rPr>
                <w:rFonts w:ascii="Calibri" w:hAnsi="Calibri"/>
                <w:b w:val="0"/>
                <w:color w:val="1C2530"/>
                <w:sz w:val="18"/>
              </w:rPr>
              <w:t>Professional conduct</w:t>
            </w:r>
          </w:p>
        </w:tc>
        <w:tc>
          <w:tcPr>
            <w:tcW w:type="dxa" w:w="4700"/>
            <w:tcMar>
              <w:top w:w="100" w:type="dxa"/>
              <w:start w:w="120" w:type="dxa"/>
              <w:bottom w:w="100" w:type="dxa"/>
              <w:end w:w="120" w:type="dxa"/>
            </w:tcMar>
            <w:vAlign w:val="center"/>
            <w:shd w:fill="F7F9FB"/>
          </w:tcPr>
          <w:p>
            <w:r>
              <w:rPr>
                <w:rFonts w:ascii="Calibri" w:hAnsi="Calibri"/>
                <w:b w:val="0"/>
                <w:color w:val="1C2530"/>
                <w:sz w:val="18"/>
              </w:rPr>
              <w:t>Identify confidentiality and conflict risks.</w:t>
            </w:r>
          </w:p>
        </w:tc>
        <w:tc>
          <w:tcPr>
            <w:tcW w:type="dxa" w:w="2960"/>
            <w:tcMar>
              <w:top w:w="100" w:type="dxa"/>
              <w:start w:w="120" w:type="dxa"/>
              <w:bottom w:w="100" w:type="dxa"/>
              <w:end w:w="120" w:type="dxa"/>
            </w:tcMar>
            <w:vAlign w:val="center"/>
            <w:shd w:fill="F7F9FB"/>
          </w:tcPr>
          <w:p>
            <w:r>
              <w:rPr>
                <w:rFonts w:ascii="Calibri" w:hAnsi="Calibri"/>
                <w:b w:val="0"/>
                <w:color w:val="1C2530"/>
                <w:sz w:val="18"/>
              </w:rPr>
              <w:t>Signed conduct declaration.</w:t>
            </w:r>
          </w:p>
        </w:tc>
      </w:tr>
    </w:tbl>
    <w:p>
      <w:pPr>
        <w:spacing w:after="0"/>
      </w:pPr>
    </w:p>
    <w:p>
      <w:pPr>
        <w:pStyle w:val="Heading2"/>
      </w:pPr>
      <w:r>
        <w:t>Readiness gate</w:t>
      </w:r>
    </w:p>
    <w:p>
      <w:pPr>
        <w:spacing w:after="80"/>
        <w:ind w:left="144"/>
      </w:pPr>
      <w:r>
        <w:rPr>
          <w:rFonts w:ascii="Calibri" w:hAnsi="Calibri"/>
          <w:b/>
          <w:color w:val="007C83"/>
          <w:sz w:val="21"/>
        </w:rPr>
        <w:t xml:space="preserve">[ ] </w:t>
      </w:r>
      <w:r>
        <w:rPr>
          <w:rFonts w:ascii="Calibri" w:hAnsi="Calibri"/>
          <w:color w:val="1C2530"/>
          <w:sz w:val="21"/>
        </w:rPr>
        <w:t>A named Advantcore sponsor and separate supervisor are confirmed.</w:t>
      </w:r>
    </w:p>
    <w:p>
      <w:pPr>
        <w:spacing w:after="80"/>
        <w:ind w:left="144"/>
      </w:pPr>
      <w:r>
        <w:rPr>
          <w:rFonts w:ascii="Calibri" w:hAnsi="Calibri"/>
          <w:b/>
          <w:color w:val="007C83"/>
          <w:sz w:val="21"/>
        </w:rPr>
        <w:t xml:space="preserve">[ ] </w:t>
      </w:r>
      <w:r>
        <w:rPr>
          <w:rFonts w:ascii="Calibri" w:hAnsi="Calibri"/>
          <w:color w:val="1C2530"/>
          <w:sz w:val="21"/>
        </w:rPr>
        <w:t>The participant's employment status and pay position have been reviewed before productive work begins.</w:t>
      </w:r>
    </w:p>
    <w:p>
      <w:pPr>
        <w:spacing w:after="80"/>
        <w:ind w:left="144"/>
      </w:pPr>
      <w:r>
        <w:rPr>
          <w:rFonts w:ascii="Calibri" w:hAnsi="Calibri"/>
          <w:b/>
          <w:color w:val="007C83"/>
          <w:sz w:val="21"/>
        </w:rPr>
        <w:t xml:space="preserve">[ ] </w:t>
      </w:r>
      <w:r>
        <w:rPr>
          <w:rFonts w:ascii="Calibri" w:hAnsi="Calibri"/>
          <w:color w:val="1C2530"/>
          <w:sz w:val="21"/>
        </w:rPr>
        <w:t>Project scope, time commitment, confidentiality, IP ownership and data access are documented.</w:t>
      </w:r>
    </w:p>
    <w:p>
      <w:pPr>
        <w:spacing w:after="80"/>
        <w:ind w:left="144"/>
      </w:pPr>
      <w:r>
        <w:rPr>
          <w:rFonts w:ascii="Calibri" w:hAnsi="Calibri"/>
          <w:b/>
          <w:color w:val="007C83"/>
          <w:sz w:val="21"/>
        </w:rPr>
        <w:t xml:space="preserve">[ ] </w:t>
      </w:r>
      <w:r>
        <w:rPr>
          <w:rFonts w:ascii="Calibri" w:hAnsi="Calibri"/>
          <w:color w:val="1C2530"/>
          <w:sz w:val="21"/>
        </w:rPr>
        <w:t>A lawful, minimum-access data set is available, preferably synthetic or effectively anonymised.</w:t>
      </w:r>
    </w:p>
    <w:p>
      <w:pPr>
        <w:spacing w:after="80"/>
        <w:ind w:left="144"/>
      </w:pPr>
      <w:r>
        <w:rPr>
          <w:rFonts w:ascii="Calibri" w:hAnsi="Calibri"/>
          <w:b/>
          <w:color w:val="007C83"/>
          <w:sz w:val="21"/>
        </w:rPr>
        <w:t xml:space="preserve">[ ] </w:t>
      </w:r>
      <w:r>
        <w:rPr>
          <w:rFonts w:ascii="Calibri" w:hAnsi="Calibri"/>
          <w:color w:val="1C2530"/>
          <w:sz w:val="21"/>
        </w:rPr>
        <w:t>The participant has a secure company workspace and a clear file naming/version rule.</w:t>
      </w:r>
    </w:p>
    <w:p>
      <w:pPr>
        <w:spacing w:after="80"/>
        <w:ind w:left="144"/>
      </w:pPr>
      <w:r>
        <w:rPr>
          <w:rFonts w:ascii="Calibri" w:hAnsi="Calibri"/>
          <w:b/>
          <w:color w:val="007C83"/>
          <w:sz w:val="21"/>
        </w:rPr>
        <w:t xml:space="preserve">[ ] </w:t>
      </w:r>
      <w:r>
        <w:rPr>
          <w:rFonts w:ascii="Calibri" w:hAnsi="Calibri"/>
          <w:color w:val="1C2530"/>
          <w:sz w:val="21"/>
        </w:rPr>
        <w:t>No promise of employment, sponsorship, certification pass or reference has been made.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DECEC"/>
          </w:tcPr>
          <w:p>
            <w:pPr>
              <w:spacing w:after="40"/>
            </w:pPr>
            <w:r>
              <w:rPr>
                <w:rFonts w:ascii="Calibri" w:hAnsi="Calibri"/>
                <w:b/>
                <w:color w:val="9B1C1C"/>
                <w:sz w:val="20"/>
              </w:rPr>
              <w:t xml:space="preserve">UK WORK EXPERIENCE COMPLIANCE  </w:t>
            </w:r>
            <w:r>
              <w:rPr>
                <w:rFonts w:ascii="Calibri" w:hAnsi="Calibri"/>
                <w:b w:val="0"/>
                <w:color w:val="1C2530"/>
                <w:sz w:val="21"/>
              </w:rPr>
              <w:t>If the reality of the arrangement makes the participant a worker, Advantcore should pay at least the applicable National Minimum Wage and follow worker record-keeping obligations. Calling the person an intern, trainee or volunteer does not decide employment status.</w:t>
            </w:r>
          </w:p>
        </w:tc>
      </w:tr>
    </w:tbl>
    <w:p>
      <w:pPr>
        <w:spacing w:after="0"/>
      </w:pPr>
    </w:p>
    <w:p>
      <w:r>
        <w:br w:type="page"/>
      </w:r>
    </w:p>
    <w:p>
      <w:pPr>
        <w:pStyle w:val="Heading1"/>
      </w:pPr>
      <w:r>
        <w:t>3. Advantcore project model</w:t>
      </w:r>
    </w:p>
    <w:p>
      <w:pPr>
        <w:pStyle w:val="Heading2"/>
      </w:pPr>
      <w:r>
        <w:t>Minimum viable project</w:t>
      </w:r>
    </w:p>
    <w:p>
      <w:r>
        <w:rPr>
          <w:rFonts w:ascii="Calibri" w:hAnsi="Calibri"/>
          <w:b w:val="0"/>
          <w:i w:val="0"/>
          <w:color w:val="1C2530"/>
          <w:sz w:val="22"/>
        </w:rPr>
        <w:t>The default project improves how Advantcore receives enquiries, qualifies opportunities, captures requirements, prepares proposals and hands approved work into delivery. It is suitable because a digital agency naturally depends on these activities and because it produces a complete BA lifecycle without requiring sensitive client data.</w:t>
      </w:r>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100" w:type="dxa"/>
              <w:start w:w="120" w:type="dxa"/>
              <w:bottom w:w="100" w:type="dxa"/>
              <w:end w:w="120" w:type="dxa"/>
            </w:tcMar>
            <w:vAlign w:val="center"/>
            <w:shd w:fill="007C83"/>
          </w:tcPr>
          <w:p>
            <w:pPr>
              <w:jc w:val="left"/>
            </w:pPr>
            <w:r>
              <w:rPr>
                <w:rFonts w:ascii="Calibri" w:hAnsi="Calibri"/>
                <w:b/>
                <w:color w:val="FFFFFF"/>
                <w:sz w:val="19"/>
              </w:rPr>
              <w:t>Field</w:t>
            </w:r>
          </w:p>
        </w:tc>
        <w:tc>
          <w:tcPr>
            <w:tcW w:type="dxa" w:w="6960"/>
            <w:tcMar>
              <w:top w:w="100" w:type="dxa"/>
              <w:start w:w="120" w:type="dxa"/>
              <w:bottom w:w="100" w:type="dxa"/>
              <w:end w:w="120" w:type="dxa"/>
            </w:tcMar>
            <w:vAlign w:val="center"/>
            <w:shd w:fill="007C83"/>
          </w:tcPr>
          <w:p>
            <w:pPr>
              <w:jc w:val="left"/>
            </w:pPr>
            <w:r>
              <w:rPr>
                <w:rFonts w:ascii="Calibri" w:hAnsi="Calibri"/>
                <w:b/>
                <w:color w:val="FFFFFF"/>
                <w:sz w:val="19"/>
              </w:rPr>
              <w:t>Entry</w:t>
            </w:r>
          </w:p>
        </w:tc>
      </w:tr>
      <w:tr>
        <w:tc>
          <w:tcPr>
            <w:tcW w:type="dxa" w:w="2400"/>
            <w:tcMar>
              <w:top w:w="100" w:type="dxa"/>
              <w:start w:w="120" w:type="dxa"/>
              <w:bottom w:w="100" w:type="dxa"/>
              <w:end w:w="120" w:type="dxa"/>
            </w:tcMar>
            <w:vAlign w:val="center"/>
          </w:tcPr>
          <w:p>
            <w:r>
              <w:rPr>
                <w:rFonts w:ascii="Calibri" w:hAnsi="Calibri"/>
                <w:b w:val="0"/>
                <w:color w:val="1C2530"/>
                <w:sz w:val="19"/>
              </w:rPr>
              <w:t>Working title</w:t>
            </w:r>
          </w:p>
        </w:tc>
        <w:tc>
          <w:tcPr>
            <w:tcW w:type="dxa" w:w="6960"/>
            <w:tcMar>
              <w:top w:w="100" w:type="dxa"/>
              <w:start w:w="120" w:type="dxa"/>
              <w:bottom w:w="100" w:type="dxa"/>
              <w:end w:w="120" w:type="dxa"/>
            </w:tcMar>
            <w:vAlign w:val="center"/>
          </w:tcPr>
          <w:p>
            <w:r>
              <w:rPr>
                <w:rFonts w:ascii="Calibri" w:hAnsi="Calibri"/>
                <w:b w:val="0"/>
                <w:color w:val="1C2530"/>
                <w:sz w:val="19"/>
              </w:rPr>
              <w:t>Advantcore Client Enquiry-to-Delivery Improvement</w:t>
            </w:r>
          </w:p>
        </w:tc>
      </w:tr>
      <w:tr>
        <w:tc>
          <w:tcPr>
            <w:tcW w:type="dxa" w:w="2400"/>
            <w:tcMar>
              <w:top w:w="100" w:type="dxa"/>
              <w:start w:w="120" w:type="dxa"/>
              <w:bottom w:w="100" w:type="dxa"/>
              <w:end w:w="120" w:type="dxa"/>
            </w:tcMar>
            <w:vAlign w:val="center"/>
            <w:shd w:fill="F7F9FB"/>
          </w:tcPr>
          <w:p>
            <w:r>
              <w:rPr>
                <w:rFonts w:ascii="Calibri" w:hAnsi="Calibri"/>
                <w:b w:val="0"/>
                <w:color w:val="1C2530"/>
                <w:sz w:val="19"/>
              </w:rPr>
              <w:t>Business problem</w:t>
            </w:r>
          </w:p>
        </w:tc>
        <w:tc>
          <w:tcPr>
            <w:tcW w:type="dxa" w:w="6960"/>
            <w:tcMar>
              <w:top w:w="100" w:type="dxa"/>
              <w:start w:w="120" w:type="dxa"/>
              <w:bottom w:w="100" w:type="dxa"/>
              <w:end w:w="120" w:type="dxa"/>
            </w:tcMar>
            <w:vAlign w:val="center"/>
            <w:shd w:fill="F7F9FB"/>
          </w:tcPr>
          <w:p>
            <w:r>
              <w:rPr>
                <w:rFonts w:ascii="Calibri" w:hAnsi="Calibri"/>
                <w:b w:val="0"/>
                <w:color w:val="1C2530"/>
                <w:sz w:val="19"/>
              </w:rPr>
              <w:t>Information is captured inconsistently, creating avoidable clarification, rework, delay or lost visibility.</w:t>
            </w:r>
          </w:p>
        </w:tc>
      </w:tr>
      <w:tr>
        <w:tc>
          <w:tcPr>
            <w:tcW w:type="dxa" w:w="2400"/>
            <w:tcMar>
              <w:top w:w="100" w:type="dxa"/>
              <w:start w:w="120" w:type="dxa"/>
              <w:bottom w:w="100" w:type="dxa"/>
              <w:end w:w="120" w:type="dxa"/>
            </w:tcMar>
            <w:vAlign w:val="center"/>
          </w:tcPr>
          <w:p>
            <w:r>
              <w:rPr>
                <w:rFonts w:ascii="Calibri" w:hAnsi="Calibri"/>
                <w:b w:val="0"/>
                <w:color w:val="1C2530"/>
                <w:sz w:val="19"/>
              </w:rPr>
              <w:t>Objectives</w:t>
            </w:r>
          </w:p>
        </w:tc>
        <w:tc>
          <w:tcPr>
            <w:tcW w:type="dxa" w:w="6960"/>
            <w:tcMar>
              <w:top w:w="100" w:type="dxa"/>
              <w:start w:w="120" w:type="dxa"/>
              <w:bottom w:w="100" w:type="dxa"/>
              <w:end w:w="120" w:type="dxa"/>
            </w:tcMar>
            <w:vAlign w:val="center"/>
          </w:tcPr>
          <w:p>
            <w:r>
              <w:rPr>
                <w:rFonts w:ascii="Calibri" w:hAnsi="Calibri"/>
                <w:b w:val="0"/>
                <w:color w:val="1C2530"/>
                <w:sz w:val="19"/>
              </w:rPr>
              <w:t>Standardise intake; improve requirement quality; make handover traceable; define useful KPIs.</w:t>
            </w:r>
          </w:p>
        </w:tc>
      </w:tr>
      <w:tr>
        <w:tc>
          <w:tcPr>
            <w:tcW w:type="dxa" w:w="2400"/>
            <w:tcMar>
              <w:top w:w="100" w:type="dxa"/>
              <w:start w:w="120" w:type="dxa"/>
              <w:bottom w:w="100" w:type="dxa"/>
              <w:end w:w="120" w:type="dxa"/>
            </w:tcMar>
            <w:vAlign w:val="center"/>
            <w:shd w:fill="F7F9FB"/>
          </w:tcPr>
          <w:p>
            <w:r>
              <w:rPr>
                <w:rFonts w:ascii="Calibri" w:hAnsi="Calibri"/>
                <w:b w:val="0"/>
                <w:color w:val="1C2530"/>
                <w:sz w:val="19"/>
              </w:rPr>
              <w:t>In scope</w:t>
            </w:r>
          </w:p>
        </w:tc>
        <w:tc>
          <w:tcPr>
            <w:tcW w:type="dxa" w:w="6960"/>
            <w:tcMar>
              <w:top w:w="100" w:type="dxa"/>
              <w:start w:w="120" w:type="dxa"/>
              <w:bottom w:w="100" w:type="dxa"/>
              <w:end w:w="120" w:type="dxa"/>
            </w:tcMar>
            <w:vAlign w:val="center"/>
            <w:shd w:fill="F7F9FB"/>
          </w:tcPr>
          <w:p>
            <w:r>
              <w:rPr>
                <w:rFonts w:ascii="Calibri" w:hAnsi="Calibri"/>
                <w:b w:val="0"/>
                <w:color w:val="1C2530"/>
                <w:sz w:val="19"/>
              </w:rPr>
              <w:t>Enquiry, qualification, discovery, proposal inputs, project handover, status reporting.</w:t>
            </w:r>
          </w:p>
        </w:tc>
      </w:tr>
      <w:tr>
        <w:tc>
          <w:tcPr>
            <w:tcW w:type="dxa" w:w="2400"/>
            <w:tcMar>
              <w:top w:w="100" w:type="dxa"/>
              <w:start w:w="120" w:type="dxa"/>
              <w:bottom w:w="100" w:type="dxa"/>
              <w:end w:w="120" w:type="dxa"/>
            </w:tcMar>
            <w:vAlign w:val="center"/>
          </w:tcPr>
          <w:p>
            <w:r>
              <w:rPr>
                <w:rFonts w:ascii="Calibri" w:hAnsi="Calibri"/>
                <w:b w:val="0"/>
                <w:color w:val="1C2530"/>
                <w:sz w:val="19"/>
              </w:rPr>
              <w:t>Out of scope</w:t>
            </w:r>
          </w:p>
        </w:tc>
        <w:tc>
          <w:tcPr>
            <w:tcW w:type="dxa" w:w="6960"/>
            <w:tcMar>
              <w:top w:w="100" w:type="dxa"/>
              <w:start w:w="120" w:type="dxa"/>
              <w:bottom w:w="100" w:type="dxa"/>
              <w:end w:w="120" w:type="dxa"/>
            </w:tcMar>
            <w:vAlign w:val="center"/>
          </w:tcPr>
          <w:p>
            <w:r>
              <w:rPr>
                <w:rFonts w:ascii="Calibri" w:hAnsi="Calibri"/>
                <w:b w:val="0"/>
                <w:color w:val="1C2530"/>
                <w:sz w:val="19"/>
              </w:rPr>
              <w:t>Full CRM implementation, production code, commercial pricing approval, legal contract drafting.</w:t>
            </w:r>
          </w:p>
        </w:tc>
      </w:tr>
      <w:tr>
        <w:tc>
          <w:tcPr>
            <w:tcW w:type="dxa" w:w="2400"/>
            <w:tcMar>
              <w:top w:w="100" w:type="dxa"/>
              <w:start w:w="120" w:type="dxa"/>
              <w:bottom w:w="100" w:type="dxa"/>
              <w:end w:w="120" w:type="dxa"/>
            </w:tcMar>
            <w:vAlign w:val="center"/>
            <w:shd w:fill="F7F9FB"/>
          </w:tcPr>
          <w:p>
            <w:r>
              <w:rPr>
                <w:rFonts w:ascii="Calibri" w:hAnsi="Calibri"/>
                <w:b w:val="0"/>
                <w:color w:val="1C2530"/>
                <w:sz w:val="19"/>
              </w:rPr>
              <w:t>Indicative users</w:t>
            </w:r>
          </w:p>
        </w:tc>
        <w:tc>
          <w:tcPr>
            <w:tcW w:type="dxa" w:w="6960"/>
            <w:tcMar>
              <w:top w:w="100" w:type="dxa"/>
              <w:start w:w="120" w:type="dxa"/>
              <w:bottom w:w="100" w:type="dxa"/>
              <w:end w:w="120" w:type="dxa"/>
            </w:tcMar>
            <w:vAlign w:val="center"/>
            <w:shd w:fill="F7F9FB"/>
          </w:tcPr>
          <w:p>
            <w:r>
              <w:rPr>
                <w:rFonts w:ascii="Calibri" w:hAnsi="Calibri"/>
                <w:b w:val="0"/>
                <w:color w:val="1C2530"/>
                <w:sz w:val="19"/>
              </w:rPr>
              <w:t>Sales/business development, project lead, designer, developer, finance/admin and client contact.</w:t>
            </w:r>
          </w:p>
        </w:tc>
      </w:tr>
      <w:tr>
        <w:tc>
          <w:tcPr>
            <w:tcW w:type="dxa" w:w="2400"/>
            <w:tcMar>
              <w:top w:w="100" w:type="dxa"/>
              <w:start w:w="120" w:type="dxa"/>
              <w:bottom w:w="100" w:type="dxa"/>
              <w:end w:w="120" w:type="dxa"/>
            </w:tcMar>
            <w:vAlign w:val="center"/>
          </w:tcPr>
          <w:p>
            <w:r>
              <w:rPr>
                <w:rFonts w:ascii="Calibri" w:hAnsi="Calibri"/>
                <w:b w:val="0"/>
                <w:color w:val="1C2530"/>
                <w:sz w:val="19"/>
              </w:rPr>
              <w:t>Expected decision</w:t>
            </w:r>
          </w:p>
        </w:tc>
        <w:tc>
          <w:tcPr>
            <w:tcW w:type="dxa" w:w="6960"/>
            <w:tcMar>
              <w:top w:w="100" w:type="dxa"/>
              <w:start w:w="120" w:type="dxa"/>
              <w:bottom w:w="100" w:type="dxa"/>
              <w:end w:w="120" w:type="dxa"/>
            </w:tcMar>
            <w:vAlign w:val="center"/>
          </w:tcPr>
          <w:p>
            <w:r>
              <w:rPr>
                <w:rFonts w:ascii="Calibri" w:hAnsi="Calibri"/>
                <w:b w:val="0"/>
                <w:color w:val="1C2530"/>
                <w:sz w:val="19"/>
              </w:rPr>
              <w:t>Approve, pilot, revise or stop the proposed future-state workflow.</w:t>
            </w:r>
          </w:p>
        </w:tc>
      </w:tr>
    </w:tbl>
    <w:p>
      <w:pPr>
        <w:spacing w:after="0"/>
      </w:pPr>
    </w:p>
    <w:p>
      <w:pPr>
        <w:pStyle w:val="Heading2"/>
      </w:pPr>
      <w:r>
        <w:t>Optional live-client extension</w:t>
      </w:r>
    </w:p>
    <w:p>
      <w:r>
        <w:rPr>
          <w:rFonts w:ascii="Calibri" w:hAnsi="Calibri"/>
          <w:b w:val="0"/>
          <w:i w:val="0"/>
          <w:color w:val="1C2530"/>
          <w:sz w:val="22"/>
        </w:rPr>
        <w:t>Where a suitable client consents, the participant may support discovery, requirements, backlog refinement or UAT on a live engagement. The internal project remains the minimum evidence base. A client extension must have written approval, limited access, a named client stakeholder and a sanitised portfolio version.</w:t>
      </w:r>
    </w:p>
    <w:p>
      <w:pPr>
        <w:pStyle w:val="Heading2"/>
      </w:pPr>
      <w:r>
        <w:t>Project governance</w:t>
      </w:r>
    </w:p>
    <w:tbl>
      <w:tblPr>
        <w:tblW w:type="dxa" w:w="9360"/>
        <w:jc w:val="left"/>
        <w:tblLayout w:type="fixed"/>
        <w:tblLook w:firstColumn="1" w:firstRow="1" w:lastColumn="0" w:lastRow="0" w:noHBand="0" w:noVBand="1" w:val="04A0"/>
        <w:tblInd w:w="120" w:type="dxa"/>
      </w:tblPr>
      <w:tblGrid>
        <w:gridCol w:w="1700"/>
        <w:gridCol w:w="4700"/>
        <w:gridCol w:w="2960"/>
      </w:tblGrid>
      <w:tr>
        <w:trPr>
          <w:tblHeader w:val="true"/>
        </w:trPr>
        <w:tc>
          <w:tcPr>
            <w:tcW w:type="dxa" w:w="1700"/>
            <w:tcMar>
              <w:top w:w="100" w:type="dxa"/>
              <w:start w:w="120" w:type="dxa"/>
              <w:bottom w:w="100" w:type="dxa"/>
              <w:end w:w="120" w:type="dxa"/>
            </w:tcMar>
            <w:vAlign w:val="center"/>
            <w:shd w:fill="102A43"/>
          </w:tcPr>
          <w:p>
            <w:pPr>
              <w:jc w:val="left"/>
            </w:pPr>
            <w:r>
              <w:rPr>
                <w:rFonts w:ascii="Calibri" w:hAnsi="Calibri"/>
                <w:b/>
                <w:color w:val="FFFFFF"/>
                <w:sz w:val="18"/>
              </w:rPr>
              <w:t>Role</w:t>
            </w:r>
          </w:p>
        </w:tc>
        <w:tc>
          <w:tcPr>
            <w:tcW w:type="dxa" w:w="4700"/>
            <w:tcMar>
              <w:top w:w="100" w:type="dxa"/>
              <w:start w:w="120" w:type="dxa"/>
              <w:bottom w:w="100" w:type="dxa"/>
              <w:end w:w="120" w:type="dxa"/>
            </w:tcMar>
            <w:vAlign w:val="center"/>
            <w:shd w:fill="102A43"/>
          </w:tcPr>
          <w:p>
            <w:pPr>
              <w:jc w:val="left"/>
            </w:pPr>
            <w:r>
              <w:rPr>
                <w:rFonts w:ascii="Calibri" w:hAnsi="Calibri"/>
                <w:b/>
                <w:color w:val="FFFFFF"/>
                <w:sz w:val="18"/>
              </w:rPr>
              <w:t>Accountability</w:t>
            </w:r>
          </w:p>
        </w:tc>
        <w:tc>
          <w:tcPr>
            <w:tcW w:type="dxa" w:w="2960"/>
            <w:tcMar>
              <w:top w:w="100" w:type="dxa"/>
              <w:start w:w="120" w:type="dxa"/>
              <w:bottom w:w="100" w:type="dxa"/>
              <w:end w:w="120" w:type="dxa"/>
            </w:tcMar>
            <w:vAlign w:val="center"/>
            <w:shd w:fill="102A43"/>
          </w:tcPr>
          <w:p>
            <w:pPr>
              <w:jc w:val="left"/>
            </w:pPr>
            <w:r>
              <w:rPr>
                <w:rFonts w:ascii="Calibri" w:hAnsi="Calibri"/>
                <w:b/>
                <w:color w:val="FFFFFF"/>
                <w:sz w:val="18"/>
              </w:rPr>
              <w:t>Evidence</w:t>
            </w:r>
          </w:p>
        </w:tc>
      </w:tr>
      <w:tr>
        <w:tc>
          <w:tcPr>
            <w:tcW w:type="dxa" w:w="1700"/>
            <w:tcMar>
              <w:top w:w="100" w:type="dxa"/>
              <w:start w:w="120" w:type="dxa"/>
              <w:bottom w:w="100" w:type="dxa"/>
              <w:end w:w="120" w:type="dxa"/>
            </w:tcMar>
            <w:vAlign w:val="center"/>
          </w:tcPr>
          <w:p>
            <w:r>
              <w:rPr>
                <w:rFonts w:ascii="Calibri" w:hAnsi="Calibri"/>
                <w:b w:val="0"/>
                <w:color w:val="1C2530"/>
                <w:sz w:val="18"/>
              </w:rPr>
              <w:t>Project sponsor</w:t>
            </w:r>
          </w:p>
        </w:tc>
        <w:tc>
          <w:tcPr>
            <w:tcW w:type="dxa" w:w="4700"/>
            <w:tcMar>
              <w:top w:w="100" w:type="dxa"/>
              <w:start w:w="120" w:type="dxa"/>
              <w:bottom w:w="100" w:type="dxa"/>
              <w:end w:w="120" w:type="dxa"/>
            </w:tcMar>
            <w:vAlign w:val="center"/>
          </w:tcPr>
          <w:p>
            <w:r>
              <w:rPr>
                <w:rFonts w:ascii="Calibri" w:hAnsi="Calibri"/>
                <w:b w:val="0"/>
                <w:color w:val="1C2530"/>
                <w:sz w:val="18"/>
              </w:rPr>
              <w:t>Owns the business problem and makes scope and acceptance decisions.</w:t>
            </w:r>
          </w:p>
        </w:tc>
        <w:tc>
          <w:tcPr>
            <w:tcW w:type="dxa" w:w="2960"/>
            <w:tcMar>
              <w:top w:w="100" w:type="dxa"/>
              <w:start w:w="120" w:type="dxa"/>
              <w:bottom w:w="100" w:type="dxa"/>
              <w:end w:w="120" w:type="dxa"/>
            </w:tcMar>
            <w:vAlign w:val="center"/>
          </w:tcPr>
          <w:p>
            <w:r>
              <w:rPr>
                <w:rFonts w:ascii="Calibri" w:hAnsi="Calibri"/>
                <w:b w:val="0"/>
                <w:color w:val="1C2530"/>
                <w:sz w:val="18"/>
              </w:rPr>
              <w:t>Charter and gate approvals.</w:t>
            </w:r>
          </w:p>
        </w:tc>
      </w:tr>
      <w:tr>
        <w:tc>
          <w:tcPr>
            <w:tcW w:type="dxa" w:w="1700"/>
            <w:tcMar>
              <w:top w:w="100" w:type="dxa"/>
              <w:start w:w="120" w:type="dxa"/>
              <w:bottom w:w="100" w:type="dxa"/>
              <w:end w:w="120" w:type="dxa"/>
            </w:tcMar>
            <w:vAlign w:val="center"/>
            <w:shd w:fill="F7F9FB"/>
          </w:tcPr>
          <w:p>
            <w:r>
              <w:rPr>
                <w:rFonts w:ascii="Calibri" w:hAnsi="Calibri"/>
                <w:b w:val="0"/>
                <w:color w:val="1C2530"/>
                <w:sz w:val="18"/>
              </w:rPr>
              <w:t>BA supervisor</w:t>
            </w:r>
          </w:p>
        </w:tc>
        <w:tc>
          <w:tcPr>
            <w:tcW w:type="dxa" w:w="4700"/>
            <w:tcMar>
              <w:top w:w="100" w:type="dxa"/>
              <w:start w:w="120" w:type="dxa"/>
              <w:bottom w:w="100" w:type="dxa"/>
              <w:end w:w="120" w:type="dxa"/>
            </w:tcMar>
            <w:vAlign w:val="center"/>
            <w:shd w:fill="F7F9FB"/>
          </w:tcPr>
          <w:p>
            <w:r>
              <w:rPr>
                <w:rFonts w:ascii="Calibri" w:hAnsi="Calibri"/>
                <w:b w:val="0"/>
                <w:color w:val="1C2530"/>
                <w:sz w:val="18"/>
              </w:rPr>
              <w:t>Coaches, reviews methods and scores performance.</w:t>
            </w:r>
          </w:p>
        </w:tc>
        <w:tc>
          <w:tcPr>
            <w:tcW w:type="dxa" w:w="2960"/>
            <w:tcMar>
              <w:top w:w="100" w:type="dxa"/>
              <w:start w:w="120" w:type="dxa"/>
              <w:bottom w:w="100" w:type="dxa"/>
              <w:end w:w="120" w:type="dxa"/>
            </w:tcMar>
            <w:vAlign w:val="center"/>
            <w:shd w:fill="F7F9FB"/>
          </w:tcPr>
          <w:p>
            <w:r>
              <w:rPr>
                <w:rFonts w:ascii="Calibri" w:hAnsi="Calibri"/>
                <w:b w:val="0"/>
                <w:color w:val="1C2530"/>
                <w:sz w:val="18"/>
              </w:rPr>
              <w:t>Weekly feedback and final scorecard.</w:t>
            </w:r>
          </w:p>
        </w:tc>
      </w:tr>
      <w:tr>
        <w:tc>
          <w:tcPr>
            <w:tcW w:type="dxa" w:w="1700"/>
            <w:tcMar>
              <w:top w:w="100" w:type="dxa"/>
              <w:start w:w="120" w:type="dxa"/>
              <w:bottom w:w="100" w:type="dxa"/>
              <w:end w:w="120" w:type="dxa"/>
            </w:tcMar>
            <w:vAlign w:val="center"/>
          </w:tcPr>
          <w:p>
            <w:r>
              <w:rPr>
                <w:rFonts w:ascii="Calibri" w:hAnsi="Calibri"/>
                <w:b w:val="0"/>
                <w:color w:val="1C2530"/>
                <w:sz w:val="18"/>
              </w:rPr>
              <w:t>Participant</w:t>
            </w:r>
          </w:p>
        </w:tc>
        <w:tc>
          <w:tcPr>
            <w:tcW w:type="dxa" w:w="4700"/>
            <w:tcMar>
              <w:top w:w="100" w:type="dxa"/>
              <w:start w:w="120" w:type="dxa"/>
              <w:bottom w:w="100" w:type="dxa"/>
              <w:end w:w="120" w:type="dxa"/>
            </w:tcMar>
            <w:vAlign w:val="center"/>
          </w:tcPr>
          <w:p>
            <w:r>
              <w:rPr>
                <w:rFonts w:ascii="Calibri" w:hAnsi="Calibri"/>
                <w:b w:val="0"/>
                <w:color w:val="1C2530"/>
                <w:sz w:val="18"/>
              </w:rPr>
              <w:t>Plans analysis, produces artefacts, manages actions and reflects honestly.</w:t>
            </w:r>
          </w:p>
        </w:tc>
        <w:tc>
          <w:tcPr>
            <w:tcW w:type="dxa" w:w="2960"/>
            <w:tcMar>
              <w:top w:w="100" w:type="dxa"/>
              <w:start w:w="120" w:type="dxa"/>
              <w:bottom w:w="100" w:type="dxa"/>
              <w:end w:w="120" w:type="dxa"/>
            </w:tcMar>
            <w:vAlign w:val="center"/>
          </w:tcPr>
          <w:p>
            <w:r>
              <w:rPr>
                <w:rFonts w:ascii="Calibri" w:hAnsi="Calibri"/>
                <w:b w:val="0"/>
                <w:color w:val="1C2530"/>
                <w:sz w:val="18"/>
              </w:rPr>
              <w:t>Dated work products and journal.</w:t>
            </w:r>
          </w:p>
        </w:tc>
      </w:tr>
      <w:tr>
        <w:tc>
          <w:tcPr>
            <w:tcW w:type="dxa" w:w="1700"/>
            <w:tcMar>
              <w:top w:w="100" w:type="dxa"/>
              <w:start w:w="120" w:type="dxa"/>
              <w:bottom w:w="100" w:type="dxa"/>
              <w:end w:w="120" w:type="dxa"/>
            </w:tcMar>
            <w:vAlign w:val="center"/>
            <w:shd w:fill="F7F9FB"/>
          </w:tcPr>
          <w:p>
            <w:r>
              <w:rPr>
                <w:rFonts w:ascii="Calibri" w:hAnsi="Calibri"/>
                <w:b w:val="0"/>
                <w:color w:val="1C2530"/>
                <w:sz w:val="18"/>
              </w:rPr>
              <w:t>Operational stakeholders</w:t>
            </w:r>
          </w:p>
        </w:tc>
        <w:tc>
          <w:tcPr>
            <w:tcW w:type="dxa" w:w="4700"/>
            <w:tcMar>
              <w:top w:w="100" w:type="dxa"/>
              <w:start w:w="120" w:type="dxa"/>
              <w:bottom w:w="100" w:type="dxa"/>
              <w:end w:w="120" w:type="dxa"/>
            </w:tcMar>
            <w:vAlign w:val="center"/>
            <w:shd w:fill="F7F9FB"/>
          </w:tcPr>
          <w:p>
            <w:r>
              <w:rPr>
                <w:rFonts w:ascii="Calibri" w:hAnsi="Calibri"/>
                <w:b w:val="0"/>
                <w:color w:val="1C2530"/>
                <w:sz w:val="18"/>
              </w:rPr>
              <w:t>Provide facts, validate models and test the proposed change.</w:t>
            </w:r>
          </w:p>
        </w:tc>
        <w:tc>
          <w:tcPr>
            <w:tcW w:type="dxa" w:w="2960"/>
            <w:tcMar>
              <w:top w:w="100" w:type="dxa"/>
              <w:start w:w="120" w:type="dxa"/>
              <w:bottom w:w="100" w:type="dxa"/>
              <w:end w:w="120" w:type="dxa"/>
            </w:tcMar>
            <w:vAlign w:val="center"/>
            <w:shd w:fill="F7F9FB"/>
          </w:tcPr>
          <w:p>
            <w:r>
              <w:rPr>
                <w:rFonts w:ascii="Calibri" w:hAnsi="Calibri"/>
                <w:b w:val="0"/>
                <w:color w:val="1C2530"/>
                <w:sz w:val="18"/>
              </w:rPr>
              <w:t>Meeting notes and sign-offs.</w:t>
            </w:r>
          </w:p>
        </w:tc>
      </w:tr>
      <w:tr>
        <w:tc>
          <w:tcPr>
            <w:tcW w:type="dxa" w:w="1700"/>
            <w:tcMar>
              <w:top w:w="100" w:type="dxa"/>
              <w:start w:w="120" w:type="dxa"/>
              <w:bottom w:w="100" w:type="dxa"/>
              <w:end w:w="120" w:type="dxa"/>
            </w:tcMar>
            <w:vAlign w:val="center"/>
          </w:tcPr>
          <w:p>
            <w:r>
              <w:rPr>
                <w:rFonts w:ascii="Calibri" w:hAnsi="Calibri"/>
                <w:b w:val="0"/>
                <w:color w:val="1C2530"/>
                <w:sz w:val="18"/>
              </w:rPr>
              <w:t>Independent reviewer</w:t>
            </w:r>
          </w:p>
        </w:tc>
        <w:tc>
          <w:tcPr>
            <w:tcW w:type="dxa" w:w="4700"/>
            <w:tcMar>
              <w:top w:w="100" w:type="dxa"/>
              <w:start w:w="120" w:type="dxa"/>
              <w:bottom w:w="100" w:type="dxa"/>
              <w:end w:w="120" w:type="dxa"/>
            </w:tcMar>
            <w:vAlign w:val="center"/>
          </w:tcPr>
          <w:p>
            <w:r>
              <w:rPr>
                <w:rFonts w:ascii="Calibri" w:hAnsi="Calibri"/>
                <w:b w:val="0"/>
                <w:color w:val="1C2530"/>
                <w:sz w:val="18"/>
              </w:rPr>
              <w:t>Challenges the final case study and evidence quality.</w:t>
            </w:r>
          </w:p>
        </w:tc>
        <w:tc>
          <w:tcPr>
            <w:tcW w:type="dxa" w:w="2960"/>
            <w:tcMar>
              <w:top w:w="100" w:type="dxa"/>
              <w:start w:w="120" w:type="dxa"/>
              <w:bottom w:w="100" w:type="dxa"/>
              <w:end w:w="120" w:type="dxa"/>
            </w:tcMar>
            <w:vAlign w:val="center"/>
          </w:tcPr>
          <w:p>
            <w:r>
              <w:rPr>
                <w:rFonts w:ascii="Calibri" w:hAnsi="Calibri"/>
                <w:b w:val="0"/>
                <w:color w:val="1C2530"/>
                <w:sz w:val="18"/>
              </w:rPr>
              <w:t>Panel outcome and improvement actions.</w:t>
            </w:r>
          </w:p>
        </w:tc>
      </w:tr>
    </w:tbl>
    <w:p>
      <w:pPr>
        <w:spacing w:after="0"/>
      </w:pPr>
    </w:p>
    <w:p>
      <w:pPr>
        <w:pStyle w:val="Heading2"/>
      </w:pPr>
      <w:r>
        <w:t>Working rhythm</w:t>
      </w:r>
    </w:p>
    <w:p>
      <w:pPr>
        <w:pStyle w:val="ListBullet"/>
      </w:pPr>
      <w:r>
        <w:rPr>
          <w:rFonts w:ascii="Calibri" w:hAnsi="Calibri"/>
          <w:color w:val="1C2530"/>
          <w:sz w:val="22"/>
        </w:rPr>
        <w:t>Monday: plan the learning and project outcomes for the week.</w:t>
      </w:r>
    </w:p>
    <w:p>
      <w:pPr>
        <w:pStyle w:val="ListBullet"/>
      </w:pPr>
      <w:r>
        <w:rPr>
          <w:rFonts w:ascii="Calibri" w:hAnsi="Calibri"/>
          <w:color w:val="1C2530"/>
          <w:sz w:val="22"/>
        </w:rPr>
        <w:t>Midweek: complete discovery, analysis and drafting.</w:t>
      </w:r>
    </w:p>
    <w:p>
      <w:pPr>
        <w:pStyle w:val="ListBullet"/>
      </w:pPr>
      <w:r>
        <w:rPr>
          <w:rFonts w:ascii="Calibri" w:hAnsi="Calibri"/>
          <w:color w:val="1C2530"/>
          <w:sz w:val="22"/>
        </w:rPr>
        <w:t>Friday: review artefacts with the supervisor, record feedback and agree the gate decision.</w:t>
      </w:r>
    </w:p>
    <w:p>
      <w:pPr>
        <w:pStyle w:val="ListBullet"/>
      </w:pPr>
      <w:r>
        <w:rPr>
          <w:rFonts w:ascii="Calibri" w:hAnsi="Calibri"/>
          <w:color w:val="1C2530"/>
          <w:sz w:val="22"/>
        </w:rPr>
        <w:t>Every meeting: keep an agenda, attendance, decisions, actions, due dates and approval status.</w:t>
      </w:r>
    </w:p>
    <w:p>
      <w:pPr>
        <w:pStyle w:val="ListBullet"/>
      </w:pPr>
      <w:r>
        <w:rPr>
          <w:rFonts w:ascii="Calibri" w:hAnsi="Calibri"/>
          <w:color w:val="1C2530"/>
          <w:sz w:val="22"/>
        </w:rPr>
        <w:t>Every artefact: include project, author, date, version, status, confidentiality and approver.</w:t>
      </w:r>
    </w:p>
    <w:p>
      <w:r>
        <w:br w:type="page"/>
      </w:r>
    </w:p>
    <w:p>
      <w:pPr>
        <w:pStyle w:val="Heading1"/>
      </w:pPr>
      <w:r>
        <w:t>4. The 12-week delivery plan</w:t>
      </w:r>
    </w:p>
    <w:p>
      <w:r>
        <w:rPr>
          <w:rFonts w:ascii="Calibri" w:hAnsi="Calibri"/>
          <w:b w:val="0"/>
          <w:i w:val="0"/>
          <w:color w:val="1C2530"/>
          <w:sz w:val="22"/>
        </w:rPr>
        <w:t>Each week combines study with work. Knowledge without application is insufficient, and project activity without method is not professional business analysis.</w:t>
      </w:r>
    </w:p>
    <w:p>
      <w:pPr>
        <w:pStyle w:val="Heading2"/>
      </w:pPr>
      <w:r>
        <w:t>Week 1: Business analysis foundations and mobilisation</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Role boundaries, business change lifecycle, evidence standards, project governance and baseline assessment.</w:t>
            </w:r>
          </w:p>
        </w:tc>
        <w:tc>
          <w:tcPr>
            <w:tcW w:type="dxa" w:w="2600"/>
            <w:tcMar>
              <w:top w:w="100" w:type="dxa"/>
              <w:start w:w="120" w:type="dxa"/>
              <w:bottom w:w="100" w:type="dxa"/>
              <w:end w:w="120" w:type="dxa"/>
            </w:tcMar>
            <w:vAlign w:val="center"/>
          </w:tcPr>
          <w:p>
            <w:r>
              <w:rPr>
                <w:rFonts w:ascii="Calibri" w:hAnsi="Calibri"/>
                <w:b w:val="0"/>
                <w:color w:val="1C2530"/>
                <w:sz w:val="17"/>
              </w:rPr>
              <w:t>Confirm the Advantcore project sponsor, define the business problem, open the evidence repository and agree the project charter.</w:t>
            </w:r>
          </w:p>
        </w:tc>
        <w:tc>
          <w:tcPr>
            <w:tcW w:type="dxa" w:w="2600"/>
            <w:tcMar>
              <w:top w:w="100" w:type="dxa"/>
              <w:start w:w="120" w:type="dxa"/>
              <w:bottom w:w="100" w:type="dxa"/>
              <w:end w:w="120" w:type="dxa"/>
            </w:tcMar>
            <w:vAlign w:val="center"/>
          </w:tcPr>
          <w:p>
            <w:r>
              <w:rPr>
                <w:rFonts w:ascii="Calibri" w:hAnsi="Calibri"/>
                <w:b w:val="0"/>
                <w:color w:val="1C2530"/>
                <w:sz w:val="17"/>
              </w:rPr>
              <w:t>Signed project charter; baseline skills score; learning plan; repository structure; compliance classification.</w:t>
            </w:r>
          </w:p>
        </w:tc>
        <w:tc>
          <w:tcPr>
            <w:tcW w:type="dxa" w:w="2110"/>
            <w:tcMar>
              <w:top w:w="100" w:type="dxa"/>
              <w:start w:w="120" w:type="dxa"/>
              <w:bottom w:w="100" w:type="dxa"/>
              <w:end w:w="120" w:type="dxa"/>
            </w:tcMar>
            <w:vAlign w:val="center"/>
          </w:tcPr>
          <w:p>
            <w:r>
              <w:rPr>
                <w:rFonts w:ascii="Calibri" w:hAnsi="Calibri"/>
                <w:b w:val="0"/>
                <w:color w:val="1C2530"/>
                <w:sz w:val="17"/>
              </w:rPr>
              <w:t>Sponsor confirms the problem is genuine, scope is realistic and participant access is lawful.</w:t>
            </w:r>
          </w:p>
        </w:tc>
      </w:tr>
    </w:tbl>
    <w:p>
      <w:pPr>
        <w:spacing w:after="0"/>
      </w:pPr>
    </w:p>
    <w:p>
      <w:pPr>
        <w:pStyle w:val="Heading2"/>
      </w:pPr>
      <w:r>
        <w:t>Week 2: Strategy and problem framing</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PESTLE, VMOST, SWOT, POPIT, business model canvas, critical success factors and KPIs.</w:t>
            </w:r>
          </w:p>
        </w:tc>
        <w:tc>
          <w:tcPr>
            <w:tcW w:type="dxa" w:w="2600"/>
            <w:tcMar>
              <w:top w:w="100" w:type="dxa"/>
              <w:start w:w="120" w:type="dxa"/>
              <w:bottom w:w="100" w:type="dxa"/>
              <w:end w:w="120" w:type="dxa"/>
            </w:tcMar>
            <w:vAlign w:val="center"/>
          </w:tcPr>
          <w:p>
            <w:r>
              <w:rPr>
                <w:rFonts w:ascii="Calibri" w:hAnsi="Calibri"/>
                <w:b w:val="0"/>
                <w:color w:val="1C2530"/>
                <w:sz w:val="17"/>
              </w:rPr>
              <w:t>Analyse Advantcore's enquiry-to-delivery process and separate symptoms from root business causes.</w:t>
            </w:r>
          </w:p>
        </w:tc>
        <w:tc>
          <w:tcPr>
            <w:tcW w:type="dxa" w:w="2600"/>
            <w:tcMar>
              <w:top w:w="100" w:type="dxa"/>
              <w:start w:w="120" w:type="dxa"/>
              <w:bottom w:w="100" w:type="dxa"/>
              <w:end w:w="120" w:type="dxa"/>
            </w:tcMar>
            <w:vAlign w:val="center"/>
          </w:tcPr>
          <w:p>
            <w:r>
              <w:rPr>
                <w:rFonts w:ascii="Calibri" w:hAnsi="Calibri"/>
                <w:b w:val="0"/>
                <w:color w:val="1C2530"/>
                <w:sz w:val="17"/>
              </w:rPr>
              <w:t>Problem statement; strategic context note; baseline KPI definition; assumptions log.</w:t>
            </w:r>
          </w:p>
        </w:tc>
        <w:tc>
          <w:tcPr>
            <w:tcW w:type="dxa" w:w="2110"/>
            <w:tcMar>
              <w:top w:w="100" w:type="dxa"/>
              <w:start w:w="120" w:type="dxa"/>
              <w:bottom w:w="100" w:type="dxa"/>
              <w:end w:w="120" w:type="dxa"/>
            </w:tcMar>
            <w:vAlign w:val="center"/>
          </w:tcPr>
          <w:p>
            <w:r>
              <w:rPr>
                <w:rFonts w:ascii="Calibri" w:hAnsi="Calibri"/>
                <w:b w:val="0"/>
                <w:color w:val="1C2530"/>
                <w:sz w:val="17"/>
              </w:rPr>
              <w:t>Evidence shows why the problem matters and what success will mean.</w:t>
            </w:r>
          </w:p>
        </w:tc>
      </w:tr>
    </w:tbl>
    <w:p>
      <w:pPr>
        <w:spacing w:after="0"/>
      </w:pPr>
    </w:p>
    <w:p>
      <w:pPr>
        <w:pStyle w:val="Heading2"/>
      </w:pPr>
      <w:r>
        <w:t>Week 3: Stakeholders and discovery</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Stakeholder identification, power-interest analysis, RACI, interviews, observation, workshops and questionnaires.</w:t>
            </w:r>
          </w:p>
        </w:tc>
        <w:tc>
          <w:tcPr>
            <w:tcW w:type="dxa" w:w="2600"/>
            <w:tcMar>
              <w:top w:w="100" w:type="dxa"/>
              <w:start w:w="120" w:type="dxa"/>
              <w:bottom w:w="100" w:type="dxa"/>
              <w:end w:w="120" w:type="dxa"/>
            </w:tcMar>
            <w:vAlign w:val="center"/>
          </w:tcPr>
          <w:p>
            <w:r>
              <w:rPr>
                <w:rFonts w:ascii="Calibri" w:hAnsi="Calibri"/>
                <w:b w:val="0"/>
                <w:color w:val="1C2530"/>
                <w:sz w:val="17"/>
              </w:rPr>
              <w:t>Run at least two structured discovery sessions with the project sponsor and operational users.</w:t>
            </w:r>
          </w:p>
        </w:tc>
        <w:tc>
          <w:tcPr>
            <w:tcW w:type="dxa" w:w="2600"/>
            <w:tcMar>
              <w:top w:w="100" w:type="dxa"/>
              <w:start w:w="120" w:type="dxa"/>
              <w:bottom w:w="100" w:type="dxa"/>
              <w:end w:w="120" w:type="dxa"/>
            </w:tcMar>
            <w:vAlign w:val="center"/>
          </w:tcPr>
          <w:p>
            <w:r>
              <w:rPr>
                <w:rFonts w:ascii="Calibri" w:hAnsi="Calibri"/>
                <w:b w:val="0"/>
                <w:color w:val="1C2530"/>
                <w:sz w:val="17"/>
              </w:rPr>
              <w:t>Stakeholder register; engagement plan; interview guide; consented notes; decision log.</w:t>
            </w:r>
          </w:p>
        </w:tc>
        <w:tc>
          <w:tcPr>
            <w:tcW w:type="dxa" w:w="2110"/>
            <w:tcMar>
              <w:top w:w="100" w:type="dxa"/>
              <w:start w:w="120" w:type="dxa"/>
              <w:bottom w:w="100" w:type="dxa"/>
              <w:end w:w="120" w:type="dxa"/>
            </w:tcMar>
            <w:vAlign w:val="center"/>
          </w:tcPr>
          <w:p>
            <w:r>
              <w:rPr>
                <w:rFonts w:ascii="Calibri" w:hAnsi="Calibri"/>
                <w:b w:val="0"/>
                <w:color w:val="1C2530"/>
                <w:sz w:val="17"/>
              </w:rPr>
              <w:t>Notes are dated, attributable and approved; confidential data is removed from portfolio copies.</w:t>
            </w:r>
          </w:p>
        </w:tc>
      </w:tr>
    </w:tbl>
    <w:p>
      <w:pPr>
        <w:spacing w:after="0"/>
      </w:pPr>
    </w:p>
    <w:p>
      <w:pPr>
        <w:pStyle w:val="Heading2"/>
      </w:pPr>
      <w:r>
        <w:t>Week 4: Current-state process and root causes</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Process modelling, business events, swimlanes, hand-offs, bottlenecks, 5 Whys and cause-effect analysis.</w:t>
            </w:r>
          </w:p>
        </w:tc>
        <w:tc>
          <w:tcPr>
            <w:tcW w:type="dxa" w:w="2600"/>
            <w:tcMar>
              <w:top w:w="100" w:type="dxa"/>
              <w:start w:w="120" w:type="dxa"/>
              <w:bottom w:w="100" w:type="dxa"/>
              <w:end w:w="120" w:type="dxa"/>
            </w:tcMar>
            <w:vAlign w:val="center"/>
          </w:tcPr>
          <w:p>
            <w:r>
              <w:rPr>
                <w:rFonts w:ascii="Calibri" w:hAnsi="Calibri"/>
                <w:b w:val="0"/>
                <w:color w:val="1C2530"/>
                <w:sz w:val="17"/>
              </w:rPr>
              <w:t>Model the current enquiry, qualification, proposal, handover and delivery workflow.</w:t>
            </w:r>
          </w:p>
        </w:tc>
        <w:tc>
          <w:tcPr>
            <w:tcW w:type="dxa" w:w="2600"/>
            <w:tcMar>
              <w:top w:w="100" w:type="dxa"/>
              <w:start w:w="120" w:type="dxa"/>
              <w:bottom w:w="100" w:type="dxa"/>
              <w:end w:w="120" w:type="dxa"/>
            </w:tcMar>
            <w:vAlign w:val="center"/>
          </w:tcPr>
          <w:p>
            <w:r>
              <w:rPr>
                <w:rFonts w:ascii="Calibri" w:hAnsi="Calibri"/>
                <w:b w:val="0"/>
                <w:color w:val="1C2530"/>
                <w:sz w:val="17"/>
              </w:rPr>
              <w:t>As-is process model; pain-point register; root-cause analysis; baseline measures.</w:t>
            </w:r>
          </w:p>
        </w:tc>
        <w:tc>
          <w:tcPr>
            <w:tcW w:type="dxa" w:w="2110"/>
            <w:tcMar>
              <w:top w:w="100" w:type="dxa"/>
              <w:start w:w="120" w:type="dxa"/>
              <w:bottom w:w="100" w:type="dxa"/>
              <w:end w:w="120" w:type="dxa"/>
            </w:tcMar>
            <w:vAlign w:val="center"/>
          </w:tcPr>
          <w:p>
            <w:r>
              <w:rPr>
                <w:rFonts w:ascii="Calibri" w:hAnsi="Calibri"/>
                <w:b w:val="0"/>
                <w:color w:val="1C2530"/>
                <w:sz w:val="17"/>
              </w:rPr>
              <w:t>Model matches observed practice and stakeholders validate the main failure points.</w:t>
            </w:r>
          </w:p>
        </w:tc>
      </w:tr>
    </w:tbl>
    <w:p>
      <w:pPr>
        <w:spacing w:after="0"/>
      </w:pPr>
    </w:p>
    <w:p>
      <w:pPr>
        <w:pStyle w:val="Heading2"/>
      </w:pPr>
      <w:r>
        <w:t>Week 5: Requirements engineering</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Elicitation, requirement categories, atomicity, testability, user stories, acceptance criteria and traceability.</w:t>
            </w:r>
          </w:p>
        </w:tc>
        <w:tc>
          <w:tcPr>
            <w:tcW w:type="dxa" w:w="2600"/>
            <w:tcMar>
              <w:top w:w="100" w:type="dxa"/>
              <w:start w:w="120" w:type="dxa"/>
              <w:bottom w:w="100" w:type="dxa"/>
              <w:end w:w="120" w:type="dxa"/>
            </w:tcMar>
            <w:vAlign w:val="center"/>
          </w:tcPr>
          <w:p>
            <w:r>
              <w:rPr>
                <w:rFonts w:ascii="Calibri" w:hAnsi="Calibri"/>
                <w:b w:val="0"/>
                <w:color w:val="1C2530"/>
                <w:sz w:val="17"/>
              </w:rPr>
              <w:t>Create a prioritised catalogue for the improved client intake and project handover capability.</w:t>
            </w:r>
          </w:p>
        </w:tc>
        <w:tc>
          <w:tcPr>
            <w:tcW w:type="dxa" w:w="2600"/>
            <w:tcMar>
              <w:top w:w="100" w:type="dxa"/>
              <w:start w:w="120" w:type="dxa"/>
              <w:bottom w:w="100" w:type="dxa"/>
              <w:end w:w="120" w:type="dxa"/>
            </w:tcMar>
            <w:vAlign w:val="center"/>
          </w:tcPr>
          <w:p>
            <w:r>
              <w:rPr>
                <w:rFonts w:ascii="Calibri" w:hAnsi="Calibri"/>
                <w:b w:val="0"/>
                <w:color w:val="1C2530"/>
                <w:sz w:val="17"/>
              </w:rPr>
              <w:t>Requirements catalogue; user stories; acceptance criteria; glossary; traceability matrix version 1.</w:t>
            </w:r>
          </w:p>
        </w:tc>
        <w:tc>
          <w:tcPr>
            <w:tcW w:type="dxa" w:w="2110"/>
            <w:tcMar>
              <w:top w:w="100" w:type="dxa"/>
              <w:start w:w="120" w:type="dxa"/>
              <w:bottom w:w="100" w:type="dxa"/>
              <w:end w:w="120" w:type="dxa"/>
            </w:tcMar>
            <w:vAlign w:val="center"/>
          </w:tcPr>
          <w:p>
            <w:r>
              <w:rPr>
                <w:rFonts w:ascii="Calibri" w:hAnsi="Calibri"/>
                <w:b w:val="0"/>
                <w:color w:val="1C2530"/>
                <w:sz w:val="17"/>
              </w:rPr>
              <w:t>Requirements are clear, uniquely identified, feasible, prioritised and linked to business objectives.</w:t>
            </w:r>
          </w:p>
        </w:tc>
      </w:tr>
    </w:tbl>
    <w:p>
      <w:pPr>
        <w:spacing w:after="0"/>
      </w:pPr>
    </w:p>
    <w:p>
      <w:pPr>
        <w:pStyle w:val="Heading2"/>
      </w:pPr>
      <w:r>
        <w:t>Week 6: Options and business case</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Solution-neutral analysis, feasibility, cost-benefit reasoning, risk, impact, payback and recommendation writing.</w:t>
            </w:r>
          </w:p>
        </w:tc>
        <w:tc>
          <w:tcPr>
            <w:tcW w:type="dxa" w:w="2600"/>
            <w:tcMar>
              <w:top w:w="100" w:type="dxa"/>
              <w:start w:w="120" w:type="dxa"/>
              <w:bottom w:w="100" w:type="dxa"/>
              <w:end w:w="120" w:type="dxa"/>
            </w:tcMar>
            <w:vAlign w:val="center"/>
          </w:tcPr>
          <w:p>
            <w:r>
              <w:rPr>
                <w:rFonts w:ascii="Calibri" w:hAnsi="Calibri"/>
                <w:b w:val="0"/>
                <w:color w:val="1C2530"/>
                <w:sz w:val="17"/>
              </w:rPr>
              <w:t>Compare at least three options, including process-only, configuration and new-build choices where relevant.</w:t>
            </w:r>
          </w:p>
        </w:tc>
        <w:tc>
          <w:tcPr>
            <w:tcW w:type="dxa" w:w="2600"/>
            <w:tcMar>
              <w:top w:w="100" w:type="dxa"/>
              <w:start w:w="120" w:type="dxa"/>
              <w:bottom w:w="100" w:type="dxa"/>
              <w:end w:w="120" w:type="dxa"/>
            </w:tcMar>
            <w:vAlign w:val="center"/>
          </w:tcPr>
          <w:p>
            <w:r>
              <w:rPr>
                <w:rFonts w:ascii="Calibri" w:hAnsi="Calibri"/>
                <w:b w:val="0"/>
                <w:color w:val="1C2530"/>
                <w:sz w:val="17"/>
              </w:rPr>
              <w:t>Options appraisal; outline business case; risk assessment; sponsor decision record.</w:t>
            </w:r>
          </w:p>
        </w:tc>
        <w:tc>
          <w:tcPr>
            <w:tcW w:type="dxa" w:w="2110"/>
            <w:tcMar>
              <w:top w:w="100" w:type="dxa"/>
              <w:start w:w="120" w:type="dxa"/>
              <w:bottom w:w="100" w:type="dxa"/>
              <w:end w:w="120" w:type="dxa"/>
            </w:tcMar>
            <w:vAlign w:val="center"/>
          </w:tcPr>
          <w:p>
            <w:r>
              <w:rPr>
                <w:rFonts w:ascii="Calibri" w:hAnsi="Calibri"/>
                <w:b w:val="0"/>
                <w:color w:val="1C2530"/>
                <w:sz w:val="17"/>
              </w:rPr>
              <w:t>Recommendation is supported by transparent criteria, not personal preference.</w:t>
            </w:r>
          </w:p>
        </w:tc>
      </w:tr>
    </w:tbl>
    <w:p>
      <w:pPr>
        <w:spacing w:after="0"/>
      </w:pPr>
    </w:p>
    <w:p>
      <w:pPr>
        <w:pStyle w:val="Heading2"/>
      </w:pPr>
      <w:r>
        <w:t>Week 7: Agile backlog and solution definition</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Product vision, epics, features, stories, refinement, MoSCoW, Definition of Ready and Definition of Done.</w:t>
            </w:r>
          </w:p>
        </w:tc>
        <w:tc>
          <w:tcPr>
            <w:tcW w:type="dxa" w:w="2600"/>
            <w:tcMar>
              <w:top w:w="100" w:type="dxa"/>
              <w:start w:w="120" w:type="dxa"/>
              <w:bottom w:w="100" w:type="dxa"/>
              <w:end w:w="120" w:type="dxa"/>
            </w:tcMar>
            <w:vAlign w:val="center"/>
          </w:tcPr>
          <w:p>
            <w:r>
              <w:rPr>
                <w:rFonts w:ascii="Calibri" w:hAnsi="Calibri"/>
                <w:b w:val="0"/>
                <w:color w:val="1C2530"/>
                <w:sz w:val="17"/>
              </w:rPr>
              <w:t>Translate approved requirements into a sequenced Advantcore backlog and low-fidelity prototype or service blueprint.</w:t>
            </w:r>
          </w:p>
        </w:tc>
        <w:tc>
          <w:tcPr>
            <w:tcW w:type="dxa" w:w="2600"/>
            <w:tcMar>
              <w:top w:w="100" w:type="dxa"/>
              <w:start w:w="120" w:type="dxa"/>
              <w:bottom w:w="100" w:type="dxa"/>
              <w:end w:w="120" w:type="dxa"/>
            </w:tcMar>
            <w:vAlign w:val="center"/>
          </w:tcPr>
          <w:p>
            <w:r>
              <w:rPr>
                <w:rFonts w:ascii="Calibri" w:hAnsi="Calibri"/>
                <w:b w:val="0"/>
                <w:color w:val="1C2530"/>
                <w:sz w:val="17"/>
              </w:rPr>
              <w:t>Product vision; prioritised backlog; prototype/service blueprint; refinement notes.</w:t>
            </w:r>
          </w:p>
        </w:tc>
        <w:tc>
          <w:tcPr>
            <w:tcW w:type="dxa" w:w="2110"/>
            <w:tcMar>
              <w:top w:w="100" w:type="dxa"/>
              <w:start w:w="120" w:type="dxa"/>
              <w:bottom w:w="100" w:type="dxa"/>
              <w:end w:w="120" w:type="dxa"/>
            </w:tcMar>
            <w:vAlign w:val="center"/>
          </w:tcPr>
          <w:p>
            <w:r>
              <w:rPr>
                <w:rFonts w:ascii="Calibri" w:hAnsi="Calibri"/>
                <w:b w:val="0"/>
                <w:color w:val="1C2530"/>
                <w:sz w:val="17"/>
              </w:rPr>
              <w:t>Sponsor approves minimum viable scope and each priority has a reason.</w:t>
            </w:r>
          </w:p>
        </w:tc>
      </w:tr>
    </w:tbl>
    <w:p>
      <w:pPr>
        <w:spacing w:after="0"/>
      </w:pPr>
    </w:p>
    <w:p>
      <w:pPr>
        <w:pStyle w:val="Heading2"/>
      </w:pPr>
      <w:r>
        <w:t>Week 8: Data, controls and non-functional requirements</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Data dictionary, validation rules, reporting needs, access control, privacy, performance, availability and usability.</w:t>
            </w:r>
          </w:p>
        </w:tc>
        <w:tc>
          <w:tcPr>
            <w:tcW w:type="dxa" w:w="2600"/>
            <w:tcMar>
              <w:top w:w="100" w:type="dxa"/>
              <w:start w:w="120" w:type="dxa"/>
              <w:bottom w:w="100" w:type="dxa"/>
              <w:end w:w="120" w:type="dxa"/>
            </w:tcMar>
            <w:vAlign w:val="center"/>
          </w:tcPr>
          <w:p>
            <w:r>
              <w:rPr>
                <w:rFonts w:ascii="Calibri" w:hAnsi="Calibri"/>
                <w:b w:val="0"/>
                <w:color w:val="1C2530"/>
                <w:sz w:val="17"/>
              </w:rPr>
              <w:t>Define the minimum client/project data set and controls for the proposed workflow.</w:t>
            </w:r>
          </w:p>
        </w:tc>
        <w:tc>
          <w:tcPr>
            <w:tcW w:type="dxa" w:w="2600"/>
            <w:tcMar>
              <w:top w:w="100" w:type="dxa"/>
              <w:start w:w="120" w:type="dxa"/>
              <w:bottom w:w="100" w:type="dxa"/>
              <w:end w:w="120" w:type="dxa"/>
            </w:tcMar>
            <w:vAlign w:val="center"/>
          </w:tcPr>
          <w:p>
            <w:r>
              <w:rPr>
                <w:rFonts w:ascii="Calibri" w:hAnsi="Calibri"/>
                <w:b w:val="0"/>
                <w:color w:val="1C2530"/>
                <w:sz w:val="17"/>
              </w:rPr>
              <w:t>Data dictionary; non-functional requirements; KPI specification; data-handling checklist.</w:t>
            </w:r>
          </w:p>
        </w:tc>
        <w:tc>
          <w:tcPr>
            <w:tcW w:type="dxa" w:w="2110"/>
            <w:tcMar>
              <w:top w:w="100" w:type="dxa"/>
              <w:start w:w="120" w:type="dxa"/>
              <w:bottom w:w="100" w:type="dxa"/>
              <w:end w:w="120" w:type="dxa"/>
            </w:tcMar>
            <w:vAlign w:val="center"/>
          </w:tcPr>
          <w:p>
            <w:r>
              <w:rPr>
                <w:rFonts w:ascii="Calibri" w:hAnsi="Calibri"/>
                <w:b w:val="0"/>
                <w:color w:val="1C2530"/>
                <w:sz w:val="17"/>
              </w:rPr>
              <w:t>No real personal or client-confidential data appears in training or public portfolio copies.</w:t>
            </w:r>
          </w:p>
        </w:tc>
      </w:tr>
    </w:tbl>
    <w:p>
      <w:pPr>
        <w:spacing w:after="0"/>
      </w:pPr>
    </w:p>
    <w:p>
      <w:pPr>
        <w:pStyle w:val="Heading2"/>
      </w:pPr>
      <w:r>
        <w:t>Week 9: Validation and traceability</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Requirement reviews, walkthroughs, prototypes, change control, impact analysis and end-to-end traceability.</w:t>
            </w:r>
          </w:p>
        </w:tc>
        <w:tc>
          <w:tcPr>
            <w:tcW w:type="dxa" w:w="2600"/>
            <w:tcMar>
              <w:top w:w="100" w:type="dxa"/>
              <w:start w:w="120" w:type="dxa"/>
              <w:bottom w:w="100" w:type="dxa"/>
              <w:end w:w="120" w:type="dxa"/>
            </w:tcMar>
            <w:vAlign w:val="center"/>
          </w:tcPr>
          <w:p>
            <w:r>
              <w:rPr>
                <w:rFonts w:ascii="Calibri" w:hAnsi="Calibri"/>
                <w:b w:val="0"/>
                <w:color w:val="1C2530"/>
                <w:sz w:val="17"/>
              </w:rPr>
              <w:t>Run a formal requirements review and close ambiguities before testing.</w:t>
            </w:r>
          </w:p>
        </w:tc>
        <w:tc>
          <w:tcPr>
            <w:tcW w:type="dxa" w:w="2600"/>
            <w:tcMar>
              <w:top w:w="100" w:type="dxa"/>
              <w:start w:w="120" w:type="dxa"/>
              <w:bottom w:w="100" w:type="dxa"/>
              <w:end w:w="120" w:type="dxa"/>
            </w:tcMar>
            <w:vAlign w:val="center"/>
          </w:tcPr>
          <w:p>
            <w:r>
              <w:rPr>
                <w:rFonts w:ascii="Calibri" w:hAnsi="Calibri"/>
                <w:b w:val="0"/>
                <w:color w:val="1C2530"/>
                <w:sz w:val="17"/>
              </w:rPr>
              <w:t>Review record; updated catalogue; change log; traceability matrix version 2.</w:t>
            </w:r>
          </w:p>
        </w:tc>
        <w:tc>
          <w:tcPr>
            <w:tcW w:type="dxa" w:w="2110"/>
            <w:tcMar>
              <w:top w:w="100" w:type="dxa"/>
              <w:start w:w="120" w:type="dxa"/>
              <w:bottom w:w="100" w:type="dxa"/>
              <w:end w:w="120" w:type="dxa"/>
            </w:tcMar>
            <w:vAlign w:val="center"/>
          </w:tcPr>
          <w:p>
            <w:r>
              <w:rPr>
                <w:rFonts w:ascii="Calibri" w:hAnsi="Calibri"/>
                <w:b w:val="0"/>
                <w:color w:val="1C2530"/>
                <w:sz w:val="17"/>
              </w:rPr>
              <w:t>Every approved requirement has a business objective, owner, priority and planned test.</w:t>
            </w:r>
          </w:p>
        </w:tc>
      </w:tr>
    </w:tbl>
    <w:p>
      <w:pPr>
        <w:spacing w:after="0"/>
      </w:pPr>
    </w:p>
    <w:p>
      <w:pPr>
        <w:pStyle w:val="Heading2"/>
      </w:pPr>
      <w:r>
        <w:t>Week 10: Business acceptance testing</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UAT purpose, scenarios, test data, expected results, defect triage, severity and acceptance decisions.</w:t>
            </w:r>
          </w:p>
        </w:tc>
        <w:tc>
          <w:tcPr>
            <w:tcW w:type="dxa" w:w="2600"/>
            <w:tcMar>
              <w:top w:w="100" w:type="dxa"/>
              <w:start w:w="120" w:type="dxa"/>
              <w:bottom w:w="100" w:type="dxa"/>
              <w:end w:w="120" w:type="dxa"/>
            </w:tcMar>
            <w:vAlign w:val="center"/>
          </w:tcPr>
          <w:p>
            <w:r>
              <w:rPr>
                <w:rFonts w:ascii="Calibri" w:hAnsi="Calibri"/>
                <w:b w:val="0"/>
                <w:color w:val="1C2530"/>
                <w:sz w:val="17"/>
              </w:rPr>
              <w:t>Plan and facilitate UAT for the agreed process, configuration or prototype.</w:t>
            </w:r>
          </w:p>
        </w:tc>
        <w:tc>
          <w:tcPr>
            <w:tcW w:type="dxa" w:w="2600"/>
            <w:tcMar>
              <w:top w:w="100" w:type="dxa"/>
              <w:start w:w="120" w:type="dxa"/>
              <w:bottom w:w="100" w:type="dxa"/>
              <w:end w:w="120" w:type="dxa"/>
            </w:tcMar>
            <w:vAlign w:val="center"/>
          </w:tcPr>
          <w:p>
            <w:r>
              <w:rPr>
                <w:rFonts w:ascii="Calibri" w:hAnsi="Calibri"/>
                <w:b w:val="0"/>
                <w:color w:val="1C2530"/>
                <w:sz w:val="17"/>
              </w:rPr>
              <w:t>UAT plan; test scenarios; test evidence; defect log; acceptance summary.</w:t>
            </w:r>
          </w:p>
        </w:tc>
        <w:tc>
          <w:tcPr>
            <w:tcW w:type="dxa" w:w="2110"/>
            <w:tcMar>
              <w:top w:w="100" w:type="dxa"/>
              <w:start w:w="120" w:type="dxa"/>
              <w:bottom w:w="100" w:type="dxa"/>
              <w:end w:w="120" w:type="dxa"/>
            </w:tcMar>
            <w:vAlign w:val="center"/>
          </w:tcPr>
          <w:p>
            <w:r>
              <w:rPr>
                <w:rFonts w:ascii="Calibri" w:hAnsi="Calibri"/>
                <w:b w:val="0"/>
                <w:color w:val="1C2530"/>
                <w:sz w:val="17"/>
              </w:rPr>
              <w:t>Critical defects are resolved or formally accepted with rationale.</w:t>
            </w:r>
          </w:p>
        </w:tc>
      </w:tr>
    </w:tbl>
    <w:p>
      <w:pPr>
        <w:spacing w:after="0"/>
      </w:pPr>
    </w:p>
    <w:p>
      <w:pPr>
        <w:pStyle w:val="Heading2"/>
      </w:pPr>
      <w:r>
        <w:t>Week 11: Change, benefits and handover</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Change impact, communications, training, readiness, transition, benefits ownership and measurement.</w:t>
            </w:r>
          </w:p>
        </w:tc>
        <w:tc>
          <w:tcPr>
            <w:tcW w:type="dxa" w:w="2600"/>
            <w:tcMar>
              <w:top w:w="100" w:type="dxa"/>
              <w:start w:w="120" w:type="dxa"/>
              <w:bottom w:w="100" w:type="dxa"/>
              <w:end w:w="120" w:type="dxa"/>
            </w:tcMar>
            <w:vAlign w:val="center"/>
          </w:tcPr>
          <w:p>
            <w:r>
              <w:rPr>
                <w:rFonts w:ascii="Calibri" w:hAnsi="Calibri"/>
                <w:b w:val="0"/>
                <w:color w:val="1C2530"/>
                <w:sz w:val="17"/>
              </w:rPr>
              <w:t>Prepare Advantcore's rollout and benefit measurement approach.</w:t>
            </w:r>
          </w:p>
        </w:tc>
        <w:tc>
          <w:tcPr>
            <w:tcW w:type="dxa" w:w="2600"/>
            <w:tcMar>
              <w:top w:w="100" w:type="dxa"/>
              <w:start w:w="120" w:type="dxa"/>
              <w:bottom w:w="100" w:type="dxa"/>
              <w:end w:w="120" w:type="dxa"/>
            </w:tcMar>
            <w:vAlign w:val="center"/>
          </w:tcPr>
          <w:p>
            <w:r>
              <w:rPr>
                <w:rFonts w:ascii="Calibri" w:hAnsi="Calibri"/>
                <w:b w:val="0"/>
                <w:color w:val="1C2530"/>
                <w:sz w:val="17"/>
              </w:rPr>
              <w:t>Change impact assessment; communications plan; handover pack; benefits register.</w:t>
            </w:r>
          </w:p>
        </w:tc>
        <w:tc>
          <w:tcPr>
            <w:tcW w:type="dxa" w:w="2110"/>
            <w:tcMar>
              <w:top w:w="100" w:type="dxa"/>
              <w:start w:w="120" w:type="dxa"/>
              <w:bottom w:w="100" w:type="dxa"/>
              <w:end w:w="120" w:type="dxa"/>
            </w:tcMar>
            <w:vAlign w:val="center"/>
          </w:tcPr>
          <w:p>
            <w:r>
              <w:rPr>
                <w:rFonts w:ascii="Calibri" w:hAnsi="Calibri"/>
                <w:b w:val="0"/>
                <w:color w:val="1C2530"/>
                <w:sz w:val="17"/>
              </w:rPr>
              <w:t>Named owners accept the new process and the post-implementation measures.</w:t>
            </w:r>
          </w:p>
        </w:tc>
      </w:tr>
    </w:tbl>
    <w:p>
      <w:pPr>
        <w:spacing w:after="0"/>
      </w:pPr>
    </w:p>
    <w:p>
      <w:pPr>
        <w:pStyle w:val="Heading2"/>
      </w:pPr>
      <w:r>
        <w:t>Week 12: Portfolio defence and career conversion</w:t>
      </w:r>
    </w:p>
    <w:tbl>
      <w:tblPr>
        <w:tblW w:type="dxa" w:w="9360"/>
        <w:jc w:val="left"/>
        <w:tblLayout w:type="fixed"/>
        <w:tblLook w:firstColumn="1" w:firstRow="1" w:lastColumn="0" w:lastRow="0" w:noHBand="0" w:noVBand="1" w:val="04A0"/>
        <w:tblInd w:w="120" w:type="dxa"/>
      </w:tblPr>
      <w:tblGrid>
        <w:gridCol w:w="2050"/>
        <w:gridCol w:w="2600"/>
        <w:gridCol w:w="2600"/>
        <w:gridCol w:w="2110"/>
      </w:tblGrid>
      <w:tr>
        <w:trPr>
          <w:tblHeader w:val="true"/>
        </w:trPr>
        <w:tc>
          <w:tcPr>
            <w:tcW w:type="dxa" w:w="2050"/>
            <w:tcMar>
              <w:top w:w="100" w:type="dxa"/>
              <w:start w:w="120" w:type="dxa"/>
              <w:bottom w:w="100" w:type="dxa"/>
              <w:end w:w="120" w:type="dxa"/>
            </w:tcMar>
            <w:vAlign w:val="center"/>
            <w:shd w:fill="102A43"/>
          </w:tcPr>
          <w:p>
            <w:pPr>
              <w:jc w:val="left"/>
            </w:pPr>
            <w:r>
              <w:rPr>
                <w:rFonts w:ascii="Calibri" w:hAnsi="Calibri"/>
                <w:b/>
                <w:color w:val="FFFFFF"/>
                <w:sz w:val="17"/>
              </w:rPr>
              <w:t>Learn</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Advantcore work</w:t>
            </w:r>
          </w:p>
        </w:tc>
        <w:tc>
          <w:tcPr>
            <w:tcW w:type="dxa" w:w="2600"/>
            <w:tcMar>
              <w:top w:w="100" w:type="dxa"/>
              <w:start w:w="120" w:type="dxa"/>
              <w:bottom w:w="100" w:type="dxa"/>
              <w:end w:w="120" w:type="dxa"/>
            </w:tcMar>
            <w:vAlign w:val="center"/>
            <w:shd w:fill="102A43"/>
          </w:tcPr>
          <w:p>
            <w:pPr>
              <w:jc w:val="left"/>
            </w:pPr>
            <w:r>
              <w:rPr>
                <w:rFonts w:ascii="Calibri" w:hAnsi="Calibri"/>
                <w:b/>
                <w:color w:val="FFFFFF"/>
                <w:sz w:val="17"/>
              </w:rPr>
              <w:t>Required outputs</w:t>
            </w:r>
          </w:p>
        </w:tc>
        <w:tc>
          <w:tcPr>
            <w:tcW w:type="dxa" w:w="2110"/>
            <w:tcMar>
              <w:top w:w="100" w:type="dxa"/>
              <w:start w:w="120" w:type="dxa"/>
              <w:bottom w:w="100" w:type="dxa"/>
              <w:end w:w="120" w:type="dxa"/>
            </w:tcMar>
            <w:vAlign w:val="center"/>
            <w:shd w:fill="102A43"/>
          </w:tcPr>
          <w:p>
            <w:pPr>
              <w:jc w:val="left"/>
            </w:pPr>
            <w:r>
              <w:rPr>
                <w:rFonts w:ascii="Calibri" w:hAnsi="Calibri"/>
                <w:b/>
                <w:color w:val="FFFFFF"/>
                <w:sz w:val="17"/>
              </w:rPr>
              <w:t>Gate</w:t>
            </w:r>
          </w:p>
        </w:tc>
      </w:tr>
      <w:tr>
        <w:tc>
          <w:tcPr>
            <w:tcW w:type="dxa" w:w="2050"/>
            <w:tcMar>
              <w:top w:w="100" w:type="dxa"/>
              <w:start w:w="120" w:type="dxa"/>
              <w:bottom w:w="100" w:type="dxa"/>
              <w:end w:w="120" w:type="dxa"/>
            </w:tcMar>
            <w:vAlign w:val="center"/>
          </w:tcPr>
          <w:p>
            <w:r>
              <w:rPr>
                <w:rFonts w:ascii="Calibri" w:hAnsi="Calibri"/>
                <w:b w:val="0"/>
                <w:color w:val="1C2530"/>
                <w:sz w:val="17"/>
              </w:rPr>
              <w:t>Case-study writing, confidentiality-safe evidence, reflective practice, competency mapping and interview defence.</w:t>
            </w:r>
          </w:p>
        </w:tc>
        <w:tc>
          <w:tcPr>
            <w:tcW w:type="dxa" w:w="2600"/>
            <w:tcMar>
              <w:top w:w="100" w:type="dxa"/>
              <w:start w:w="120" w:type="dxa"/>
              <w:bottom w:w="100" w:type="dxa"/>
              <w:end w:w="120" w:type="dxa"/>
            </w:tcMar>
            <w:vAlign w:val="center"/>
          </w:tcPr>
          <w:p>
            <w:r>
              <w:rPr>
                <w:rFonts w:ascii="Calibri" w:hAnsi="Calibri"/>
                <w:b w:val="0"/>
                <w:color w:val="1C2530"/>
                <w:sz w:val="17"/>
              </w:rPr>
              <w:t>Present the project to an Advantcore review panel and respond to challenge questions.</w:t>
            </w:r>
          </w:p>
        </w:tc>
        <w:tc>
          <w:tcPr>
            <w:tcW w:type="dxa" w:w="2600"/>
            <w:tcMar>
              <w:top w:w="100" w:type="dxa"/>
              <w:start w:w="120" w:type="dxa"/>
              <w:bottom w:w="100" w:type="dxa"/>
              <w:end w:w="120" w:type="dxa"/>
            </w:tcMar>
            <w:vAlign w:val="center"/>
          </w:tcPr>
          <w:p>
            <w:r>
              <w:rPr>
                <w:rFonts w:ascii="Calibri" w:hAnsi="Calibri"/>
                <w:b w:val="0"/>
                <w:color w:val="1C2530"/>
                <w:sz w:val="17"/>
              </w:rPr>
              <w:t>Final case study; portfolio index; competency matrix; supervisor scorecard; completion decision.</w:t>
            </w:r>
          </w:p>
        </w:tc>
        <w:tc>
          <w:tcPr>
            <w:tcW w:type="dxa" w:w="2110"/>
            <w:tcMar>
              <w:top w:w="100" w:type="dxa"/>
              <w:start w:w="120" w:type="dxa"/>
              <w:bottom w:w="100" w:type="dxa"/>
              <w:end w:w="120" w:type="dxa"/>
            </w:tcMar>
            <w:vAlign w:val="center"/>
          </w:tcPr>
          <w:p>
            <w:r>
              <w:rPr>
                <w:rFonts w:ascii="Calibri" w:hAnsi="Calibri"/>
                <w:b w:val="0"/>
                <w:color w:val="1C2530"/>
                <w:sz w:val="17"/>
              </w:rPr>
              <w:t>Only approved, accurate claims proceed to CV, LinkedIn and reference letter.</w:t>
            </w:r>
          </w:p>
        </w:tc>
      </w:tr>
    </w:tbl>
    <w:p>
      <w:pPr>
        <w:spacing w:after="0"/>
      </w:pPr>
    </w:p>
    <w:p>
      <w:pPr>
        <w:pStyle w:val="Heading1"/>
      </w:pPr>
      <w:r>
        <w:t>5. Assessment and completion</w:t>
      </w:r>
    </w:p>
    <w:p>
      <w:pPr>
        <w:pStyle w:val="Heading2"/>
      </w:pPr>
      <w:r>
        <w:t>Scoring model</w:t>
      </w:r>
    </w:p>
    <w:tbl>
      <w:tblPr>
        <w:tblW w:type="dxa" w:w="9360"/>
        <w:jc w:val="left"/>
        <w:tblLayout w:type="fixed"/>
        <w:tblLook w:firstColumn="1" w:firstRow="1" w:lastColumn="0" w:lastRow="0" w:noHBand="0" w:noVBand="1" w:val="04A0"/>
        <w:tblInd w:w="120" w:type="dxa"/>
      </w:tblPr>
      <w:tblGrid>
        <w:gridCol w:w="2900"/>
        <w:gridCol w:w="900"/>
        <w:gridCol w:w="4000"/>
        <w:gridCol w:w="1560"/>
      </w:tblGrid>
      <w:tr>
        <w:trPr>
          <w:tblHeader w:val="true"/>
        </w:trPr>
        <w:tc>
          <w:tcPr>
            <w:tcW w:type="dxa" w:w="2900"/>
            <w:tcMar>
              <w:top w:w="100" w:type="dxa"/>
              <w:start w:w="120" w:type="dxa"/>
              <w:bottom w:w="100" w:type="dxa"/>
              <w:end w:w="120" w:type="dxa"/>
            </w:tcMar>
            <w:vAlign w:val="center"/>
            <w:shd w:fill="102A43"/>
          </w:tcPr>
          <w:p>
            <w:pPr>
              <w:jc w:val="left"/>
            </w:pPr>
            <w:r>
              <w:rPr>
                <w:rFonts w:ascii="Calibri" w:hAnsi="Calibri"/>
                <w:b/>
                <w:color w:val="FFFFFF"/>
                <w:sz w:val="18"/>
              </w:rPr>
              <w:t>Component</w:t>
            </w:r>
          </w:p>
        </w:tc>
        <w:tc>
          <w:tcPr>
            <w:tcW w:type="dxa" w:w="900"/>
            <w:tcMar>
              <w:top w:w="100" w:type="dxa"/>
              <w:start w:w="120" w:type="dxa"/>
              <w:bottom w:w="100" w:type="dxa"/>
              <w:end w:w="120" w:type="dxa"/>
            </w:tcMar>
            <w:vAlign w:val="center"/>
            <w:shd w:fill="102A43"/>
          </w:tcPr>
          <w:p>
            <w:pPr>
              <w:jc w:val="left"/>
            </w:pPr>
            <w:r>
              <w:rPr>
                <w:rFonts w:ascii="Calibri" w:hAnsi="Calibri"/>
                <w:b/>
                <w:color w:val="FFFFFF"/>
                <w:sz w:val="18"/>
              </w:rPr>
              <w:t>Weight</w:t>
            </w:r>
          </w:p>
        </w:tc>
        <w:tc>
          <w:tcPr>
            <w:tcW w:type="dxa" w:w="4000"/>
            <w:tcMar>
              <w:top w:w="100" w:type="dxa"/>
              <w:start w:w="120" w:type="dxa"/>
              <w:bottom w:w="100" w:type="dxa"/>
              <w:end w:w="120" w:type="dxa"/>
            </w:tcMar>
            <w:vAlign w:val="center"/>
            <w:shd w:fill="102A43"/>
          </w:tcPr>
          <w:p>
            <w:pPr>
              <w:jc w:val="left"/>
            </w:pPr>
            <w:r>
              <w:rPr>
                <w:rFonts w:ascii="Calibri" w:hAnsi="Calibri"/>
                <w:b/>
                <w:color w:val="FFFFFF"/>
                <w:sz w:val="18"/>
              </w:rPr>
              <w:t>Evidence</w:t>
            </w:r>
          </w:p>
        </w:tc>
        <w:tc>
          <w:tcPr>
            <w:tcW w:type="dxa" w:w="1560"/>
            <w:tcMar>
              <w:top w:w="100" w:type="dxa"/>
              <w:start w:w="120" w:type="dxa"/>
              <w:bottom w:w="100" w:type="dxa"/>
              <w:end w:w="120" w:type="dxa"/>
            </w:tcMar>
            <w:vAlign w:val="center"/>
            <w:shd w:fill="102A43"/>
          </w:tcPr>
          <w:p>
            <w:pPr>
              <w:jc w:val="left"/>
            </w:pPr>
            <w:r>
              <w:rPr>
                <w:rFonts w:ascii="Calibri" w:hAnsi="Calibri"/>
                <w:b/>
                <w:color w:val="FFFFFF"/>
                <w:sz w:val="18"/>
              </w:rPr>
              <w:t>Minimum</w:t>
            </w:r>
          </w:p>
        </w:tc>
      </w:tr>
      <w:tr>
        <w:tc>
          <w:tcPr>
            <w:tcW w:type="dxa" w:w="2900"/>
            <w:tcMar>
              <w:top w:w="100" w:type="dxa"/>
              <w:start w:w="120" w:type="dxa"/>
              <w:bottom w:w="100" w:type="dxa"/>
              <w:end w:w="120" w:type="dxa"/>
            </w:tcMar>
            <w:vAlign w:val="center"/>
          </w:tcPr>
          <w:p>
            <w:r>
              <w:rPr>
                <w:rFonts w:ascii="Calibri" w:hAnsi="Calibri"/>
                <w:b w:val="0"/>
                <w:color w:val="1C2530"/>
                <w:sz w:val="18"/>
              </w:rPr>
              <w:t>Knowledge and certification readiness</w:t>
            </w:r>
          </w:p>
        </w:tc>
        <w:tc>
          <w:tcPr>
            <w:tcW w:type="dxa" w:w="900"/>
            <w:tcMar>
              <w:top w:w="100" w:type="dxa"/>
              <w:start w:w="120" w:type="dxa"/>
              <w:bottom w:w="100" w:type="dxa"/>
              <w:end w:w="120" w:type="dxa"/>
            </w:tcMar>
            <w:vAlign w:val="center"/>
          </w:tcPr>
          <w:p>
            <w:r>
              <w:rPr>
                <w:rFonts w:ascii="Calibri" w:hAnsi="Calibri"/>
                <w:b w:val="0"/>
                <w:color w:val="1C2530"/>
                <w:sz w:val="18"/>
              </w:rPr>
              <w:t>20%</w:t>
            </w:r>
          </w:p>
        </w:tc>
        <w:tc>
          <w:tcPr>
            <w:tcW w:type="dxa" w:w="4000"/>
            <w:tcMar>
              <w:top w:w="100" w:type="dxa"/>
              <w:start w:w="120" w:type="dxa"/>
              <w:bottom w:w="100" w:type="dxa"/>
              <w:end w:w="120" w:type="dxa"/>
            </w:tcMar>
            <w:vAlign w:val="center"/>
          </w:tcPr>
          <w:p>
            <w:r>
              <w:rPr>
                <w:rFonts w:ascii="Calibri" w:hAnsi="Calibri"/>
                <w:b w:val="0"/>
                <w:color w:val="1C2530"/>
                <w:sz w:val="18"/>
              </w:rPr>
              <w:t>Module checks, terminology drills and timed mocks.</w:t>
            </w:r>
          </w:p>
        </w:tc>
        <w:tc>
          <w:tcPr>
            <w:tcW w:type="dxa" w:w="1560"/>
            <w:tcMar>
              <w:top w:w="100" w:type="dxa"/>
              <w:start w:w="120" w:type="dxa"/>
              <w:bottom w:w="100" w:type="dxa"/>
              <w:end w:w="120" w:type="dxa"/>
            </w:tcMar>
            <w:vAlign w:val="center"/>
          </w:tcPr>
          <w:p>
            <w:r>
              <w:rPr>
                <w:rFonts w:ascii="Calibri" w:hAnsi="Calibri"/>
                <w:b w:val="0"/>
                <w:color w:val="1C2530"/>
                <w:sz w:val="18"/>
              </w:rPr>
              <w:t>70%</w:t>
            </w:r>
          </w:p>
        </w:tc>
      </w:tr>
      <w:tr>
        <w:tc>
          <w:tcPr>
            <w:tcW w:type="dxa" w:w="2900"/>
            <w:tcMar>
              <w:top w:w="100" w:type="dxa"/>
              <w:start w:w="120" w:type="dxa"/>
              <w:bottom w:w="100" w:type="dxa"/>
              <w:end w:w="120" w:type="dxa"/>
            </w:tcMar>
            <w:vAlign w:val="center"/>
            <w:shd w:fill="F7F9FB"/>
          </w:tcPr>
          <w:p>
            <w:r>
              <w:rPr>
                <w:rFonts w:ascii="Calibri" w:hAnsi="Calibri"/>
                <w:b w:val="0"/>
                <w:color w:val="1C2530"/>
                <w:sz w:val="18"/>
              </w:rPr>
              <w:t>BA artefact quality</w:t>
            </w:r>
          </w:p>
        </w:tc>
        <w:tc>
          <w:tcPr>
            <w:tcW w:type="dxa" w:w="900"/>
            <w:tcMar>
              <w:top w:w="100" w:type="dxa"/>
              <w:start w:w="120" w:type="dxa"/>
              <w:bottom w:w="100" w:type="dxa"/>
              <w:end w:w="120" w:type="dxa"/>
            </w:tcMar>
            <w:vAlign w:val="center"/>
            <w:shd w:fill="F7F9FB"/>
          </w:tcPr>
          <w:p>
            <w:r>
              <w:rPr>
                <w:rFonts w:ascii="Calibri" w:hAnsi="Calibri"/>
                <w:b w:val="0"/>
                <w:color w:val="1C2530"/>
                <w:sz w:val="18"/>
              </w:rPr>
              <w:t>35%</w:t>
            </w:r>
          </w:p>
        </w:tc>
        <w:tc>
          <w:tcPr>
            <w:tcW w:type="dxa" w:w="4000"/>
            <w:tcMar>
              <w:top w:w="100" w:type="dxa"/>
              <w:start w:w="120" w:type="dxa"/>
              <w:bottom w:w="100" w:type="dxa"/>
              <w:end w:w="120" w:type="dxa"/>
            </w:tcMar>
            <w:vAlign w:val="center"/>
            <w:shd w:fill="F7F9FB"/>
          </w:tcPr>
          <w:p>
            <w:r>
              <w:rPr>
                <w:rFonts w:ascii="Calibri" w:hAnsi="Calibri"/>
                <w:b w:val="0"/>
                <w:color w:val="1C2530"/>
                <w:sz w:val="18"/>
              </w:rPr>
              <w:t>Correctness, clarity, traceability, version control and usability.</w:t>
            </w:r>
          </w:p>
        </w:tc>
        <w:tc>
          <w:tcPr>
            <w:tcW w:type="dxa" w:w="1560"/>
            <w:tcMar>
              <w:top w:w="100" w:type="dxa"/>
              <w:start w:w="120" w:type="dxa"/>
              <w:bottom w:w="100" w:type="dxa"/>
              <w:end w:w="120" w:type="dxa"/>
            </w:tcMar>
            <w:vAlign w:val="center"/>
            <w:shd w:fill="F7F9FB"/>
          </w:tcPr>
          <w:p>
            <w:r>
              <w:rPr>
                <w:rFonts w:ascii="Calibri" w:hAnsi="Calibri"/>
                <w:b w:val="0"/>
                <w:color w:val="1C2530"/>
                <w:sz w:val="18"/>
              </w:rPr>
              <w:t>70%</w:t>
            </w:r>
          </w:p>
        </w:tc>
      </w:tr>
      <w:tr>
        <w:tc>
          <w:tcPr>
            <w:tcW w:type="dxa" w:w="2900"/>
            <w:tcMar>
              <w:top w:w="100" w:type="dxa"/>
              <w:start w:w="120" w:type="dxa"/>
              <w:bottom w:w="100" w:type="dxa"/>
              <w:end w:w="120" w:type="dxa"/>
            </w:tcMar>
            <w:vAlign w:val="center"/>
          </w:tcPr>
          <w:p>
            <w:r>
              <w:rPr>
                <w:rFonts w:ascii="Calibri" w:hAnsi="Calibri"/>
                <w:b w:val="0"/>
                <w:color w:val="1C2530"/>
                <w:sz w:val="18"/>
              </w:rPr>
              <w:t>Stakeholder and delivery behaviour</w:t>
            </w:r>
          </w:p>
        </w:tc>
        <w:tc>
          <w:tcPr>
            <w:tcW w:type="dxa" w:w="900"/>
            <w:tcMar>
              <w:top w:w="100" w:type="dxa"/>
              <w:start w:w="120" w:type="dxa"/>
              <w:bottom w:w="100" w:type="dxa"/>
              <w:end w:w="120" w:type="dxa"/>
            </w:tcMar>
            <w:vAlign w:val="center"/>
          </w:tcPr>
          <w:p>
            <w:r>
              <w:rPr>
                <w:rFonts w:ascii="Calibri" w:hAnsi="Calibri"/>
                <w:b w:val="0"/>
                <w:color w:val="1C2530"/>
                <w:sz w:val="18"/>
              </w:rPr>
              <w:t>20%</w:t>
            </w:r>
          </w:p>
        </w:tc>
        <w:tc>
          <w:tcPr>
            <w:tcW w:type="dxa" w:w="4000"/>
            <w:tcMar>
              <w:top w:w="100" w:type="dxa"/>
              <w:start w:w="120" w:type="dxa"/>
              <w:bottom w:w="100" w:type="dxa"/>
              <w:end w:w="120" w:type="dxa"/>
            </w:tcMar>
            <w:vAlign w:val="center"/>
          </w:tcPr>
          <w:p>
            <w:r>
              <w:rPr>
                <w:rFonts w:ascii="Calibri" w:hAnsi="Calibri"/>
                <w:b w:val="0"/>
                <w:color w:val="1C2530"/>
                <w:sz w:val="18"/>
              </w:rPr>
              <w:t>Preparation, facilitation, follow-through and response to feedback.</w:t>
            </w:r>
          </w:p>
        </w:tc>
        <w:tc>
          <w:tcPr>
            <w:tcW w:type="dxa" w:w="1560"/>
            <w:tcMar>
              <w:top w:w="100" w:type="dxa"/>
              <w:start w:w="120" w:type="dxa"/>
              <w:bottom w:w="100" w:type="dxa"/>
              <w:end w:w="120" w:type="dxa"/>
            </w:tcMar>
            <w:vAlign w:val="center"/>
          </w:tcPr>
          <w:p>
            <w:r>
              <w:rPr>
                <w:rFonts w:ascii="Calibri" w:hAnsi="Calibri"/>
                <w:b w:val="0"/>
                <w:color w:val="1C2530"/>
                <w:sz w:val="18"/>
              </w:rPr>
              <w:t>70%</w:t>
            </w:r>
          </w:p>
        </w:tc>
      </w:tr>
      <w:tr>
        <w:tc>
          <w:tcPr>
            <w:tcW w:type="dxa" w:w="2900"/>
            <w:tcMar>
              <w:top w:w="100" w:type="dxa"/>
              <w:start w:w="120" w:type="dxa"/>
              <w:bottom w:w="100" w:type="dxa"/>
              <w:end w:w="120" w:type="dxa"/>
            </w:tcMar>
            <w:vAlign w:val="center"/>
            <w:shd w:fill="F7F9FB"/>
          </w:tcPr>
          <w:p>
            <w:r>
              <w:rPr>
                <w:rFonts w:ascii="Calibri" w:hAnsi="Calibri"/>
                <w:b w:val="0"/>
                <w:color w:val="1C2530"/>
                <w:sz w:val="18"/>
              </w:rPr>
              <w:t>Ethics, confidentiality and accuracy</w:t>
            </w:r>
          </w:p>
        </w:tc>
        <w:tc>
          <w:tcPr>
            <w:tcW w:type="dxa" w:w="900"/>
            <w:tcMar>
              <w:top w:w="100" w:type="dxa"/>
              <w:start w:w="120" w:type="dxa"/>
              <w:bottom w:w="100" w:type="dxa"/>
              <w:end w:w="120" w:type="dxa"/>
            </w:tcMar>
            <w:vAlign w:val="center"/>
            <w:shd w:fill="F7F9FB"/>
          </w:tcPr>
          <w:p>
            <w:r>
              <w:rPr>
                <w:rFonts w:ascii="Calibri" w:hAnsi="Calibri"/>
                <w:b w:val="0"/>
                <w:color w:val="1C2530"/>
                <w:sz w:val="18"/>
              </w:rPr>
              <w:t>10%</w:t>
            </w:r>
          </w:p>
        </w:tc>
        <w:tc>
          <w:tcPr>
            <w:tcW w:type="dxa" w:w="4000"/>
            <w:tcMar>
              <w:top w:w="100" w:type="dxa"/>
              <w:start w:w="120" w:type="dxa"/>
              <w:bottom w:w="100" w:type="dxa"/>
              <w:end w:w="120" w:type="dxa"/>
            </w:tcMar>
            <w:vAlign w:val="center"/>
            <w:shd w:fill="F7F9FB"/>
          </w:tcPr>
          <w:p>
            <w:r>
              <w:rPr>
                <w:rFonts w:ascii="Calibri" w:hAnsi="Calibri"/>
                <w:b w:val="0"/>
                <w:color w:val="1C2530"/>
                <w:sz w:val="18"/>
              </w:rPr>
              <w:t>Data handling, honest claims and professional conduct.</w:t>
            </w:r>
          </w:p>
        </w:tc>
        <w:tc>
          <w:tcPr>
            <w:tcW w:type="dxa" w:w="1560"/>
            <w:tcMar>
              <w:top w:w="100" w:type="dxa"/>
              <w:start w:w="120" w:type="dxa"/>
              <w:bottom w:w="100" w:type="dxa"/>
              <w:end w:w="120" w:type="dxa"/>
            </w:tcMar>
            <w:vAlign w:val="center"/>
            <w:shd w:fill="F7F9FB"/>
          </w:tcPr>
          <w:p>
            <w:r>
              <w:rPr>
                <w:rFonts w:ascii="Calibri" w:hAnsi="Calibri"/>
                <w:b w:val="0"/>
                <w:color w:val="1C2530"/>
                <w:sz w:val="18"/>
              </w:rPr>
              <w:t>Pass required</w:t>
            </w:r>
          </w:p>
        </w:tc>
      </w:tr>
      <w:tr>
        <w:tc>
          <w:tcPr>
            <w:tcW w:type="dxa" w:w="2900"/>
            <w:tcMar>
              <w:top w:w="100" w:type="dxa"/>
              <w:start w:w="120" w:type="dxa"/>
              <w:bottom w:w="100" w:type="dxa"/>
              <w:end w:w="120" w:type="dxa"/>
            </w:tcMar>
            <w:vAlign w:val="center"/>
          </w:tcPr>
          <w:p>
            <w:r>
              <w:rPr>
                <w:rFonts w:ascii="Calibri" w:hAnsi="Calibri"/>
                <w:b w:val="0"/>
                <w:color w:val="1C2530"/>
                <w:sz w:val="18"/>
              </w:rPr>
              <w:t>Reflection and career translation</w:t>
            </w:r>
          </w:p>
        </w:tc>
        <w:tc>
          <w:tcPr>
            <w:tcW w:type="dxa" w:w="900"/>
            <w:tcMar>
              <w:top w:w="100" w:type="dxa"/>
              <w:start w:w="120" w:type="dxa"/>
              <w:bottom w:w="100" w:type="dxa"/>
              <w:end w:w="120" w:type="dxa"/>
            </w:tcMar>
            <w:vAlign w:val="center"/>
          </w:tcPr>
          <w:p>
            <w:r>
              <w:rPr>
                <w:rFonts w:ascii="Calibri" w:hAnsi="Calibri"/>
                <w:b w:val="0"/>
                <w:color w:val="1C2530"/>
                <w:sz w:val="18"/>
              </w:rPr>
              <w:t>15%</w:t>
            </w:r>
          </w:p>
        </w:tc>
        <w:tc>
          <w:tcPr>
            <w:tcW w:type="dxa" w:w="4000"/>
            <w:tcMar>
              <w:top w:w="100" w:type="dxa"/>
              <w:start w:w="120" w:type="dxa"/>
              <w:bottom w:w="100" w:type="dxa"/>
              <w:end w:w="120" w:type="dxa"/>
            </w:tcMar>
            <w:vAlign w:val="center"/>
          </w:tcPr>
          <w:p>
            <w:r>
              <w:rPr>
                <w:rFonts w:ascii="Calibri" w:hAnsi="Calibri"/>
                <w:b w:val="0"/>
                <w:color w:val="1C2530"/>
                <w:sz w:val="18"/>
              </w:rPr>
              <w:t>Learning journal, competency map, case study and interview defence.</w:t>
            </w:r>
          </w:p>
        </w:tc>
        <w:tc>
          <w:tcPr>
            <w:tcW w:type="dxa" w:w="1560"/>
            <w:tcMar>
              <w:top w:w="100" w:type="dxa"/>
              <w:start w:w="120" w:type="dxa"/>
              <w:bottom w:w="100" w:type="dxa"/>
              <w:end w:w="120" w:type="dxa"/>
            </w:tcMar>
            <w:vAlign w:val="center"/>
          </w:tcPr>
          <w:p>
            <w:r>
              <w:rPr>
                <w:rFonts w:ascii="Calibri" w:hAnsi="Calibri"/>
                <w:b w:val="0"/>
                <w:color w:val="1C2530"/>
                <w:sz w:val="18"/>
              </w:rPr>
              <w:t>70%</w:t>
            </w:r>
          </w:p>
        </w:tc>
      </w:tr>
    </w:tbl>
    <w:p>
      <w:pPr>
        <w:spacing w:after="0"/>
      </w:pPr>
    </w:p>
    <w:p>
      <w:r>
        <w:rPr>
          <w:rFonts w:ascii="Calibri" w:hAnsi="Calibri"/>
          <w:b w:val="0"/>
          <w:i w:val="0"/>
          <w:color w:val="1C2530"/>
          <w:sz w:val="22"/>
        </w:rPr>
        <w:t>Overall completion requires at least 70%, no critical conduct failure, all mandatory artefacts and a successful final panel. A certification pass is valuable but is not a substitute for the project evidence.</w:t>
      </w:r>
    </w:p>
    <w:p>
      <w:pPr>
        <w:pStyle w:val="Heading2"/>
      </w:pPr>
      <w:r>
        <w:t>Critical failures</w:t>
      </w:r>
    </w:p>
    <w:p>
      <w:pPr>
        <w:pStyle w:val="ListBullet"/>
      </w:pPr>
      <w:r>
        <w:rPr>
          <w:rFonts w:ascii="Calibri" w:hAnsi="Calibri"/>
          <w:color w:val="1C2530"/>
          <w:sz w:val="22"/>
        </w:rPr>
        <w:t>Fabricating meetings, data, responsibilities, outcomes or client involvement.</w:t>
      </w:r>
    </w:p>
    <w:p>
      <w:pPr>
        <w:pStyle w:val="ListBullet"/>
      </w:pPr>
      <w:r>
        <w:rPr>
          <w:rFonts w:ascii="Calibri" w:hAnsi="Calibri"/>
          <w:color w:val="1C2530"/>
          <w:sz w:val="22"/>
        </w:rPr>
        <w:t>Sharing confidential or personal information without authority.</w:t>
      </w:r>
    </w:p>
    <w:p>
      <w:pPr>
        <w:pStyle w:val="ListBullet"/>
      </w:pPr>
      <w:r>
        <w:rPr>
          <w:rFonts w:ascii="Calibri" w:hAnsi="Calibri"/>
          <w:color w:val="1C2530"/>
          <w:sz w:val="22"/>
        </w:rPr>
        <w:t>Submitting copied work as original analysis.</w:t>
      </w:r>
    </w:p>
    <w:p>
      <w:pPr>
        <w:pStyle w:val="ListBullet"/>
      </w:pPr>
      <w:r>
        <w:rPr>
          <w:rFonts w:ascii="Calibri" w:hAnsi="Calibri"/>
          <w:color w:val="1C2530"/>
          <w:sz w:val="22"/>
        </w:rPr>
        <w:t>Ignoring a material conflict of interest or supervisor direction.</w:t>
      </w:r>
    </w:p>
    <w:p>
      <w:pPr>
        <w:pStyle w:val="ListBullet"/>
      </w:pPr>
      <w:r>
        <w:rPr>
          <w:rFonts w:ascii="Calibri" w:hAnsi="Calibri"/>
          <w:color w:val="1C2530"/>
          <w:sz w:val="22"/>
        </w:rPr>
        <w:t>Claiming Advantcore work experience before the placement and evidence gates are completed.</w:t>
      </w:r>
    </w:p>
    <w:p>
      <w:pPr>
        <w:pStyle w:val="Heading2"/>
      </w:pPr>
      <w:r>
        <w:t>Reference standard</w:t>
      </w:r>
    </w:p>
    <w:p>
      <w:r>
        <w:rPr>
          <w:rFonts w:ascii="Calibri" w:hAnsi="Calibri"/>
          <w:b w:val="0"/>
          <w:i w:val="0"/>
          <w:color w:val="1C2530"/>
          <w:sz w:val="22"/>
        </w:rPr>
        <w:t>The factual reference should state the verified title, dates, hours or working pattern where appropriate, project context, responsibilities, observed competencies and completion outcome. It should be signed by a supervisor or director who reviewed the work, not by the participant. If the participant is also an Advantcore owner or director, an independent supervisor or client-side confirmation materially strengthens credibility.</w:t>
      </w:r>
    </w:p>
    <w:p>
      <w:pPr>
        <w:pStyle w:val="Heading1"/>
      </w:pPr>
      <w:r>
        <w:t>6. Certification overlay</w:t>
      </w:r>
    </w:p>
    <w:p>
      <w:r>
        <w:rPr>
          <w:rFonts w:ascii="Calibri" w:hAnsi="Calibri"/>
          <w:b w:val="0"/>
          <w:i w:val="0"/>
          <w:color w:val="1C2530"/>
          <w:sz w:val="22"/>
        </w:rPr>
        <w:t>The main route is the BCS Foundation Certificate in Business Analysis. BCS states that there are no entry requirements, self-study is possible and the current exam is a one-hour closed-book test with 40 multiple-choice questions and a pass mark of 65%. The study guide in this pack uses a safer internal target of 75% on two timed mocks.</w:t>
      </w:r>
    </w:p>
    <w:tbl>
      <w:tblPr>
        <w:tblW w:type="dxa" w:w="9360"/>
        <w:jc w:val="left"/>
        <w:tblLayout w:type="fixed"/>
        <w:tblLook w:firstColumn="1" w:firstRow="1" w:lastColumn="0" w:lastRow="0" w:noHBand="0" w:noVBand="1" w:val="04A0"/>
        <w:tblInd w:w="120" w:type="dxa"/>
      </w:tblPr>
      <w:tblGrid>
        <w:gridCol w:w="1350"/>
        <w:gridCol w:w="4300"/>
        <w:gridCol w:w="3710"/>
      </w:tblGrid>
      <w:tr>
        <w:trPr>
          <w:tblHeader w:val="true"/>
        </w:trPr>
        <w:tc>
          <w:tcPr>
            <w:tcW w:type="dxa" w:w="1350"/>
            <w:tcMar>
              <w:top w:w="100" w:type="dxa"/>
              <w:start w:w="120" w:type="dxa"/>
              <w:bottom w:w="100" w:type="dxa"/>
              <w:end w:w="120" w:type="dxa"/>
            </w:tcMar>
            <w:vAlign w:val="center"/>
            <w:shd w:fill="102A43"/>
          </w:tcPr>
          <w:p>
            <w:pPr>
              <w:jc w:val="left"/>
            </w:pPr>
            <w:r>
              <w:rPr>
                <w:rFonts w:ascii="Calibri" w:hAnsi="Calibri"/>
                <w:b/>
                <w:color w:val="FFFFFF"/>
                <w:sz w:val="18"/>
              </w:rPr>
              <w:t>Weeks</w:t>
            </w:r>
          </w:p>
        </w:tc>
        <w:tc>
          <w:tcPr>
            <w:tcW w:type="dxa" w:w="4300"/>
            <w:tcMar>
              <w:top w:w="100" w:type="dxa"/>
              <w:start w:w="120" w:type="dxa"/>
              <w:bottom w:w="100" w:type="dxa"/>
              <w:end w:w="120" w:type="dxa"/>
            </w:tcMar>
            <w:vAlign w:val="center"/>
            <w:shd w:fill="102A43"/>
          </w:tcPr>
          <w:p>
            <w:pPr>
              <w:jc w:val="left"/>
            </w:pPr>
            <w:r>
              <w:rPr>
                <w:rFonts w:ascii="Calibri" w:hAnsi="Calibri"/>
                <w:b/>
                <w:color w:val="FFFFFF"/>
                <w:sz w:val="18"/>
              </w:rPr>
              <w:t>Certification activity</w:t>
            </w:r>
          </w:p>
        </w:tc>
        <w:tc>
          <w:tcPr>
            <w:tcW w:type="dxa" w:w="3710"/>
            <w:tcMar>
              <w:top w:w="100" w:type="dxa"/>
              <w:start w:w="120" w:type="dxa"/>
              <w:bottom w:w="100" w:type="dxa"/>
              <w:end w:w="120" w:type="dxa"/>
            </w:tcMar>
            <w:vAlign w:val="center"/>
            <w:shd w:fill="102A43"/>
          </w:tcPr>
          <w:p>
            <w:pPr>
              <w:jc w:val="left"/>
            </w:pPr>
            <w:r>
              <w:rPr>
                <w:rFonts w:ascii="Calibri" w:hAnsi="Calibri"/>
                <w:b/>
                <w:color w:val="FFFFFF"/>
                <w:sz w:val="18"/>
              </w:rPr>
              <w:t>Project reinforcement</w:t>
            </w:r>
          </w:p>
        </w:tc>
      </w:tr>
      <w:tr>
        <w:tc>
          <w:tcPr>
            <w:tcW w:type="dxa" w:w="1350"/>
            <w:tcMar>
              <w:top w:w="100" w:type="dxa"/>
              <w:start w:w="120" w:type="dxa"/>
              <w:bottom w:w="100" w:type="dxa"/>
              <w:end w:w="120" w:type="dxa"/>
            </w:tcMar>
            <w:vAlign w:val="center"/>
          </w:tcPr>
          <w:p>
            <w:r>
              <w:rPr>
                <w:rFonts w:ascii="Calibri" w:hAnsi="Calibri"/>
                <w:b w:val="0"/>
                <w:color w:val="1C2530"/>
                <w:sz w:val="18"/>
              </w:rPr>
              <w:t>1-2</w:t>
            </w:r>
          </w:p>
        </w:tc>
        <w:tc>
          <w:tcPr>
            <w:tcW w:type="dxa" w:w="4300"/>
            <w:tcMar>
              <w:top w:w="100" w:type="dxa"/>
              <w:start w:w="120" w:type="dxa"/>
              <w:bottom w:w="100" w:type="dxa"/>
              <w:end w:w="120" w:type="dxa"/>
            </w:tcMar>
            <w:vAlign w:val="center"/>
          </w:tcPr>
          <w:p>
            <w:r>
              <w:rPr>
                <w:rFonts w:ascii="Calibri" w:hAnsi="Calibri"/>
                <w:b w:val="0"/>
                <w:color w:val="1C2530"/>
                <w:sz w:val="18"/>
              </w:rPr>
              <w:t>BA role, lifecycle, competencies and strategic context.</w:t>
            </w:r>
          </w:p>
        </w:tc>
        <w:tc>
          <w:tcPr>
            <w:tcW w:type="dxa" w:w="3710"/>
            <w:tcMar>
              <w:top w:w="100" w:type="dxa"/>
              <w:start w:w="120" w:type="dxa"/>
              <w:bottom w:w="100" w:type="dxa"/>
              <w:end w:w="120" w:type="dxa"/>
            </w:tcMar>
            <w:vAlign w:val="center"/>
          </w:tcPr>
          <w:p>
            <w:r>
              <w:rPr>
                <w:rFonts w:ascii="Calibri" w:hAnsi="Calibri"/>
                <w:b w:val="0"/>
                <w:color w:val="1C2530"/>
                <w:sz w:val="18"/>
              </w:rPr>
              <w:t>Charter and strategy analysis.</w:t>
            </w:r>
          </w:p>
        </w:tc>
      </w:tr>
      <w:tr>
        <w:tc>
          <w:tcPr>
            <w:tcW w:type="dxa" w:w="1350"/>
            <w:tcMar>
              <w:top w:w="100" w:type="dxa"/>
              <w:start w:w="120" w:type="dxa"/>
              <w:bottom w:w="100" w:type="dxa"/>
              <w:end w:w="120" w:type="dxa"/>
            </w:tcMar>
            <w:vAlign w:val="center"/>
            <w:shd w:fill="F7F9FB"/>
          </w:tcPr>
          <w:p>
            <w:r>
              <w:rPr>
                <w:rFonts w:ascii="Calibri" w:hAnsi="Calibri"/>
                <w:b w:val="0"/>
                <w:color w:val="1C2530"/>
                <w:sz w:val="18"/>
              </w:rPr>
              <w:t>3-4</w:t>
            </w:r>
          </w:p>
        </w:tc>
        <w:tc>
          <w:tcPr>
            <w:tcW w:type="dxa" w:w="4300"/>
            <w:tcMar>
              <w:top w:w="100" w:type="dxa"/>
              <w:start w:w="120" w:type="dxa"/>
              <w:bottom w:w="100" w:type="dxa"/>
              <w:end w:w="120" w:type="dxa"/>
            </w:tcMar>
            <w:vAlign w:val="center"/>
            <w:shd w:fill="F7F9FB"/>
          </w:tcPr>
          <w:p>
            <w:r>
              <w:rPr>
                <w:rFonts w:ascii="Calibri" w:hAnsi="Calibri"/>
                <w:b w:val="0"/>
                <w:color w:val="1C2530"/>
                <w:sz w:val="18"/>
              </w:rPr>
              <w:t>Investigation, stakeholders and process improvement.</w:t>
            </w:r>
          </w:p>
        </w:tc>
        <w:tc>
          <w:tcPr>
            <w:tcW w:type="dxa" w:w="3710"/>
            <w:tcMar>
              <w:top w:w="100" w:type="dxa"/>
              <w:start w:w="120" w:type="dxa"/>
              <w:bottom w:w="100" w:type="dxa"/>
              <w:end w:w="120" w:type="dxa"/>
            </w:tcMar>
            <w:vAlign w:val="center"/>
            <w:shd w:fill="F7F9FB"/>
          </w:tcPr>
          <w:p>
            <w:r>
              <w:rPr>
                <w:rFonts w:ascii="Calibri" w:hAnsi="Calibri"/>
                <w:b w:val="0"/>
                <w:color w:val="1C2530"/>
                <w:sz w:val="18"/>
              </w:rPr>
              <w:t>Discovery and current-state model.</w:t>
            </w:r>
          </w:p>
        </w:tc>
      </w:tr>
      <w:tr>
        <w:tc>
          <w:tcPr>
            <w:tcW w:type="dxa" w:w="1350"/>
            <w:tcMar>
              <w:top w:w="100" w:type="dxa"/>
              <w:start w:w="120" w:type="dxa"/>
              <w:bottom w:w="100" w:type="dxa"/>
              <w:end w:w="120" w:type="dxa"/>
            </w:tcMar>
            <w:vAlign w:val="center"/>
          </w:tcPr>
          <w:p>
            <w:r>
              <w:rPr>
                <w:rFonts w:ascii="Calibri" w:hAnsi="Calibri"/>
                <w:b w:val="0"/>
                <w:color w:val="1C2530"/>
                <w:sz w:val="18"/>
              </w:rPr>
              <w:t>5-6</w:t>
            </w:r>
          </w:p>
        </w:tc>
        <w:tc>
          <w:tcPr>
            <w:tcW w:type="dxa" w:w="4300"/>
            <w:tcMar>
              <w:top w:w="100" w:type="dxa"/>
              <w:start w:w="120" w:type="dxa"/>
              <w:bottom w:w="100" w:type="dxa"/>
              <w:end w:w="120" w:type="dxa"/>
            </w:tcMar>
            <w:vAlign w:val="center"/>
          </w:tcPr>
          <w:p>
            <w:r>
              <w:rPr>
                <w:rFonts w:ascii="Calibri" w:hAnsi="Calibri"/>
                <w:b w:val="0"/>
                <w:color w:val="1C2530"/>
                <w:sz w:val="18"/>
              </w:rPr>
              <w:t>Requirements, solution options and business case.</w:t>
            </w:r>
          </w:p>
        </w:tc>
        <w:tc>
          <w:tcPr>
            <w:tcW w:type="dxa" w:w="3710"/>
            <w:tcMar>
              <w:top w:w="100" w:type="dxa"/>
              <w:start w:w="120" w:type="dxa"/>
              <w:bottom w:w="100" w:type="dxa"/>
              <w:end w:w="120" w:type="dxa"/>
            </w:tcMar>
            <w:vAlign w:val="center"/>
          </w:tcPr>
          <w:p>
            <w:r>
              <w:rPr>
                <w:rFonts w:ascii="Calibri" w:hAnsi="Calibri"/>
                <w:b w:val="0"/>
                <w:color w:val="1C2530"/>
                <w:sz w:val="18"/>
              </w:rPr>
              <w:t>Catalogue and options appraisal.</w:t>
            </w:r>
          </w:p>
        </w:tc>
      </w:tr>
      <w:tr>
        <w:tc>
          <w:tcPr>
            <w:tcW w:type="dxa" w:w="1350"/>
            <w:tcMar>
              <w:top w:w="100" w:type="dxa"/>
              <w:start w:w="120" w:type="dxa"/>
              <w:bottom w:w="100" w:type="dxa"/>
              <w:end w:w="120" w:type="dxa"/>
            </w:tcMar>
            <w:vAlign w:val="center"/>
            <w:shd w:fill="F7F9FB"/>
          </w:tcPr>
          <w:p>
            <w:r>
              <w:rPr>
                <w:rFonts w:ascii="Calibri" w:hAnsi="Calibri"/>
                <w:b w:val="0"/>
                <w:color w:val="1C2530"/>
                <w:sz w:val="18"/>
              </w:rPr>
              <w:t>7-8</w:t>
            </w:r>
          </w:p>
        </w:tc>
        <w:tc>
          <w:tcPr>
            <w:tcW w:type="dxa" w:w="4300"/>
            <w:tcMar>
              <w:top w:w="100" w:type="dxa"/>
              <w:start w:w="120" w:type="dxa"/>
              <w:bottom w:w="100" w:type="dxa"/>
              <w:end w:w="120" w:type="dxa"/>
            </w:tcMar>
            <w:vAlign w:val="center"/>
            <w:shd w:fill="F7F9FB"/>
          </w:tcPr>
          <w:p>
            <w:r>
              <w:rPr>
                <w:rFonts w:ascii="Calibri" w:hAnsi="Calibri"/>
                <w:b w:val="0"/>
                <w:color w:val="1C2530"/>
                <w:sz w:val="18"/>
              </w:rPr>
              <w:t>Requirement modelling, data, prioritisation and controls.</w:t>
            </w:r>
          </w:p>
        </w:tc>
        <w:tc>
          <w:tcPr>
            <w:tcW w:type="dxa" w:w="3710"/>
            <w:tcMar>
              <w:top w:w="100" w:type="dxa"/>
              <w:start w:w="120" w:type="dxa"/>
              <w:bottom w:w="100" w:type="dxa"/>
              <w:end w:w="120" w:type="dxa"/>
            </w:tcMar>
            <w:vAlign w:val="center"/>
            <w:shd w:fill="F7F9FB"/>
          </w:tcPr>
          <w:p>
            <w:r>
              <w:rPr>
                <w:rFonts w:ascii="Calibri" w:hAnsi="Calibri"/>
                <w:b w:val="0"/>
                <w:color w:val="1C2530"/>
                <w:sz w:val="18"/>
              </w:rPr>
              <w:t>Backlog, prototype and NFRs.</w:t>
            </w:r>
          </w:p>
        </w:tc>
      </w:tr>
      <w:tr>
        <w:tc>
          <w:tcPr>
            <w:tcW w:type="dxa" w:w="1350"/>
            <w:tcMar>
              <w:top w:w="100" w:type="dxa"/>
              <w:start w:w="120" w:type="dxa"/>
              <w:bottom w:w="100" w:type="dxa"/>
              <w:end w:w="120" w:type="dxa"/>
            </w:tcMar>
            <w:vAlign w:val="center"/>
          </w:tcPr>
          <w:p>
            <w:r>
              <w:rPr>
                <w:rFonts w:ascii="Calibri" w:hAnsi="Calibri"/>
                <w:b w:val="0"/>
                <w:color w:val="1C2530"/>
                <w:sz w:val="18"/>
              </w:rPr>
              <w:t>9-10</w:t>
            </w:r>
          </w:p>
        </w:tc>
        <w:tc>
          <w:tcPr>
            <w:tcW w:type="dxa" w:w="4300"/>
            <w:tcMar>
              <w:top w:w="100" w:type="dxa"/>
              <w:start w:w="120" w:type="dxa"/>
              <w:bottom w:w="100" w:type="dxa"/>
              <w:end w:w="120" w:type="dxa"/>
            </w:tcMar>
            <w:vAlign w:val="center"/>
          </w:tcPr>
          <w:p>
            <w:r>
              <w:rPr>
                <w:rFonts w:ascii="Calibri" w:hAnsi="Calibri"/>
                <w:b w:val="0"/>
                <w:color w:val="1C2530"/>
                <w:sz w:val="18"/>
              </w:rPr>
              <w:t>Validation, delivery and business acceptance.</w:t>
            </w:r>
          </w:p>
        </w:tc>
        <w:tc>
          <w:tcPr>
            <w:tcW w:type="dxa" w:w="3710"/>
            <w:tcMar>
              <w:top w:w="100" w:type="dxa"/>
              <w:start w:w="120" w:type="dxa"/>
              <w:bottom w:w="100" w:type="dxa"/>
              <w:end w:w="120" w:type="dxa"/>
            </w:tcMar>
            <w:vAlign w:val="center"/>
          </w:tcPr>
          <w:p>
            <w:r>
              <w:rPr>
                <w:rFonts w:ascii="Calibri" w:hAnsi="Calibri"/>
                <w:b w:val="0"/>
                <w:color w:val="1C2530"/>
                <w:sz w:val="18"/>
              </w:rPr>
              <w:t>Reviews, traceability and UAT.</w:t>
            </w:r>
          </w:p>
        </w:tc>
      </w:tr>
      <w:tr>
        <w:tc>
          <w:tcPr>
            <w:tcW w:type="dxa" w:w="1350"/>
            <w:tcMar>
              <w:top w:w="100" w:type="dxa"/>
              <w:start w:w="120" w:type="dxa"/>
              <w:bottom w:w="100" w:type="dxa"/>
              <w:end w:w="120" w:type="dxa"/>
            </w:tcMar>
            <w:vAlign w:val="center"/>
            <w:shd w:fill="F7F9FB"/>
          </w:tcPr>
          <w:p>
            <w:r>
              <w:rPr>
                <w:rFonts w:ascii="Calibri" w:hAnsi="Calibri"/>
                <w:b w:val="0"/>
                <w:color w:val="1C2530"/>
                <w:sz w:val="18"/>
              </w:rPr>
              <w:t>11-12</w:t>
            </w:r>
          </w:p>
        </w:tc>
        <w:tc>
          <w:tcPr>
            <w:tcW w:type="dxa" w:w="4300"/>
            <w:tcMar>
              <w:top w:w="100" w:type="dxa"/>
              <w:start w:w="120" w:type="dxa"/>
              <w:bottom w:w="100" w:type="dxa"/>
              <w:end w:w="120" w:type="dxa"/>
            </w:tcMar>
            <w:vAlign w:val="center"/>
            <w:shd w:fill="F7F9FB"/>
          </w:tcPr>
          <w:p>
            <w:r>
              <w:rPr>
                <w:rFonts w:ascii="Calibri" w:hAnsi="Calibri"/>
                <w:b w:val="0"/>
                <w:color w:val="1C2530"/>
                <w:sz w:val="18"/>
              </w:rPr>
              <w:t>Business solution, benefits and final revision.</w:t>
            </w:r>
          </w:p>
        </w:tc>
        <w:tc>
          <w:tcPr>
            <w:tcW w:type="dxa" w:w="3710"/>
            <w:tcMar>
              <w:top w:w="100" w:type="dxa"/>
              <w:start w:w="120" w:type="dxa"/>
              <w:bottom w:w="100" w:type="dxa"/>
              <w:end w:w="120" w:type="dxa"/>
            </w:tcMar>
            <w:vAlign w:val="center"/>
            <w:shd w:fill="F7F9FB"/>
          </w:tcPr>
          <w:p>
            <w:r>
              <w:rPr>
                <w:rFonts w:ascii="Calibri" w:hAnsi="Calibri"/>
                <w:b w:val="0"/>
                <w:color w:val="1C2530"/>
                <w:sz w:val="18"/>
              </w:rPr>
              <w:t>Change, handover and panel defence.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4F4"/>
          </w:tcPr>
          <w:p>
            <w:pPr>
              <w:spacing w:after="40"/>
            </w:pPr>
            <w:r>
              <w:rPr>
                <w:rFonts w:ascii="Calibri" w:hAnsi="Calibri"/>
                <w:b/>
                <w:color w:val="007C83"/>
                <w:sz w:val="20"/>
              </w:rPr>
              <w:t xml:space="preserve">ALTERNATIVE  </w:t>
            </w:r>
            <w:r>
              <w:rPr>
                <w:rFonts w:ascii="Calibri" w:hAnsi="Calibri"/>
                <w:b w:val="0"/>
                <w:color w:val="1C2530"/>
                <w:sz w:val="21"/>
              </w:rPr>
              <w:t>IIBA's ECBA is a credible international entry certification. Its current examination uses 50 questions in 75 minutes and places greater emphasis on situational application. Choose one primary exam first rather than splitting attention.</w:t>
            </w:r>
          </w:p>
        </w:tc>
      </w:tr>
    </w:tbl>
    <w:p>
      <w:pPr>
        <w:spacing w:after="0"/>
      </w:pPr>
    </w:p>
    <w:p>
      <w:r>
        <w:br w:type="page"/>
      </w:r>
    </w:p>
    <w:p>
      <w:pPr>
        <w:pStyle w:val="Heading1"/>
      </w:pPr>
      <w:r>
        <w:t>7. Career conversion plan</w:t>
      </w:r>
    </w:p>
    <w:p>
      <w:pPr>
        <w:pStyle w:val="Heading2"/>
      </w:pPr>
      <w:r>
        <w:t>Market positioning</w:t>
      </w:r>
    </w:p>
    <w:p>
      <w:r>
        <w:rPr>
          <w:rFonts w:ascii="Calibri" w:hAnsi="Calibri"/>
          <w:b w:val="0"/>
          <w:i w:val="0"/>
          <w:color w:val="1C2530"/>
          <w:sz w:val="22"/>
        </w:rPr>
        <w:t>The participant should target roles whose essential duties match the evidence, not simply roles containing the word analyst. Suitable search titles may include Junior Business Analyst, Business Analyst, Digital Business Analyst, IT Business Analyst, Change Analyst, Process Analyst, Requirements Analyst, Product Analyst, Business Systems Analyst and PMO/Project Analyst where the duties fit.</w:t>
      </w:r>
    </w:p>
    <w:p>
      <w:pPr>
        <w:pStyle w:val="Heading2"/>
      </w:pPr>
      <w:r>
        <w:t>Weekly job-search operating system</w:t>
      </w:r>
    </w:p>
    <w:tbl>
      <w:tblPr>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tcMar>
              <w:top w:w="100" w:type="dxa"/>
              <w:start w:w="120" w:type="dxa"/>
              <w:bottom w:w="100" w:type="dxa"/>
              <w:end w:w="120" w:type="dxa"/>
            </w:tcMar>
            <w:vAlign w:val="center"/>
            <w:shd w:fill="102A43"/>
          </w:tcPr>
          <w:p>
            <w:pPr>
              <w:jc w:val="left"/>
            </w:pPr>
            <w:r>
              <w:rPr>
                <w:rFonts w:ascii="Calibri" w:hAnsi="Calibri"/>
                <w:b/>
                <w:color w:val="FFFFFF"/>
                <w:sz w:val="18"/>
              </w:rPr>
              <w:t>Activity</w:t>
            </w:r>
          </w:p>
        </w:tc>
        <w:tc>
          <w:tcPr>
            <w:tcW w:type="dxa" w:w="3700"/>
            <w:tcMar>
              <w:top w:w="100" w:type="dxa"/>
              <w:start w:w="120" w:type="dxa"/>
              <w:bottom w:w="100" w:type="dxa"/>
              <w:end w:w="120" w:type="dxa"/>
            </w:tcMar>
            <w:vAlign w:val="center"/>
            <w:shd w:fill="102A43"/>
          </w:tcPr>
          <w:p>
            <w:pPr>
              <w:jc w:val="left"/>
            </w:pPr>
            <w:r>
              <w:rPr>
                <w:rFonts w:ascii="Calibri" w:hAnsi="Calibri"/>
                <w:b/>
                <w:color w:val="FFFFFF"/>
                <w:sz w:val="18"/>
              </w:rPr>
              <w:t>Quality target</w:t>
            </w:r>
          </w:p>
        </w:tc>
        <w:tc>
          <w:tcPr>
            <w:tcW w:type="dxa" w:w="3760"/>
            <w:tcMar>
              <w:top w:w="100" w:type="dxa"/>
              <w:start w:w="120" w:type="dxa"/>
              <w:bottom w:w="100" w:type="dxa"/>
              <w:end w:w="120" w:type="dxa"/>
            </w:tcMar>
            <w:vAlign w:val="center"/>
            <w:shd w:fill="102A43"/>
          </w:tcPr>
          <w:p>
            <w:pPr>
              <w:jc w:val="left"/>
            </w:pPr>
            <w:r>
              <w:rPr>
                <w:rFonts w:ascii="Calibri" w:hAnsi="Calibri"/>
                <w:b/>
                <w:color w:val="FFFFFF"/>
                <w:sz w:val="18"/>
              </w:rPr>
              <w:t>Evidence</w:t>
            </w:r>
          </w:p>
        </w:tc>
      </w:tr>
      <w:tr>
        <w:tc>
          <w:tcPr>
            <w:tcW w:type="dxa" w:w="1900"/>
            <w:tcMar>
              <w:top w:w="100" w:type="dxa"/>
              <w:start w:w="120" w:type="dxa"/>
              <w:bottom w:w="100" w:type="dxa"/>
              <w:end w:w="120" w:type="dxa"/>
            </w:tcMar>
            <w:vAlign w:val="center"/>
          </w:tcPr>
          <w:p>
            <w:r>
              <w:rPr>
                <w:rFonts w:ascii="Calibri" w:hAnsi="Calibri"/>
                <w:b w:val="0"/>
                <w:color w:val="1C2530"/>
                <w:sz w:val="18"/>
              </w:rPr>
              <w:t>Targeted applications</w:t>
            </w:r>
          </w:p>
        </w:tc>
        <w:tc>
          <w:tcPr>
            <w:tcW w:type="dxa" w:w="3700"/>
            <w:tcMar>
              <w:top w:w="100" w:type="dxa"/>
              <w:start w:w="120" w:type="dxa"/>
              <w:bottom w:w="100" w:type="dxa"/>
              <w:end w:w="120" w:type="dxa"/>
            </w:tcMar>
            <w:vAlign w:val="center"/>
          </w:tcPr>
          <w:p>
            <w:r>
              <w:rPr>
                <w:rFonts w:ascii="Calibri" w:hAnsi="Calibri"/>
                <w:b w:val="0"/>
                <w:color w:val="1C2530"/>
                <w:sz w:val="18"/>
              </w:rPr>
              <w:t>5 to 8 strong applications each week.</w:t>
            </w:r>
          </w:p>
        </w:tc>
        <w:tc>
          <w:tcPr>
            <w:tcW w:type="dxa" w:w="3760"/>
            <w:tcMar>
              <w:top w:w="100" w:type="dxa"/>
              <w:start w:w="120" w:type="dxa"/>
              <w:bottom w:w="100" w:type="dxa"/>
              <w:end w:w="120" w:type="dxa"/>
            </w:tcMar>
            <w:vAlign w:val="center"/>
          </w:tcPr>
          <w:p>
            <w:r>
              <w:rPr>
                <w:rFonts w:ascii="Calibri" w:hAnsi="Calibri"/>
                <w:b w:val="0"/>
                <w:color w:val="1C2530"/>
                <w:sz w:val="18"/>
              </w:rPr>
              <w:t>Role-specific CV, cover response and match score.</w:t>
            </w:r>
          </w:p>
        </w:tc>
      </w:tr>
      <w:tr>
        <w:tc>
          <w:tcPr>
            <w:tcW w:type="dxa" w:w="1900"/>
            <w:tcMar>
              <w:top w:w="100" w:type="dxa"/>
              <w:start w:w="120" w:type="dxa"/>
              <w:bottom w:w="100" w:type="dxa"/>
              <w:end w:w="120" w:type="dxa"/>
            </w:tcMar>
            <w:vAlign w:val="center"/>
            <w:shd w:fill="F7F9FB"/>
          </w:tcPr>
          <w:p>
            <w:r>
              <w:rPr>
                <w:rFonts w:ascii="Calibri" w:hAnsi="Calibri"/>
                <w:b w:val="0"/>
                <w:color w:val="1C2530"/>
                <w:sz w:val="18"/>
              </w:rPr>
              <w:t>Networking</w:t>
            </w:r>
          </w:p>
        </w:tc>
        <w:tc>
          <w:tcPr>
            <w:tcW w:type="dxa" w:w="3700"/>
            <w:tcMar>
              <w:top w:w="100" w:type="dxa"/>
              <w:start w:w="120" w:type="dxa"/>
              <w:bottom w:w="100" w:type="dxa"/>
              <w:end w:w="120" w:type="dxa"/>
            </w:tcMar>
            <w:vAlign w:val="center"/>
            <w:shd w:fill="F7F9FB"/>
          </w:tcPr>
          <w:p>
            <w:r>
              <w:rPr>
                <w:rFonts w:ascii="Calibri" w:hAnsi="Calibri"/>
                <w:b w:val="0"/>
                <w:color w:val="1C2530"/>
                <w:sz w:val="18"/>
              </w:rPr>
              <w:t>10 useful contacts or follow-ups each week.</w:t>
            </w:r>
          </w:p>
        </w:tc>
        <w:tc>
          <w:tcPr>
            <w:tcW w:type="dxa" w:w="3760"/>
            <w:tcMar>
              <w:top w:w="100" w:type="dxa"/>
              <w:start w:w="120" w:type="dxa"/>
              <w:bottom w:w="100" w:type="dxa"/>
              <w:end w:w="120" w:type="dxa"/>
            </w:tcMar>
            <w:vAlign w:val="center"/>
            <w:shd w:fill="F7F9FB"/>
          </w:tcPr>
          <w:p>
            <w:r>
              <w:rPr>
                <w:rFonts w:ascii="Calibri" w:hAnsi="Calibri"/>
                <w:b w:val="0"/>
                <w:color w:val="1C2530"/>
                <w:sz w:val="18"/>
              </w:rPr>
              <w:t>Conversation log and next action.</w:t>
            </w:r>
          </w:p>
        </w:tc>
      </w:tr>
      <w:tr>
        <w:tc>
          <w:tcPr>
            <w:tcW w:type="dxa" w:w="1900"/>
            <w:tcMar>
              <w:top w:w="100" w:type="dxa"/>
              <w:start w:w="120" w:type="dxa"/>
              <w:bottom w:w="100" w:type="dxa"/>
              <w:end w:w="120" w:type="dxa"/>
            </w:tcMar>
            <w:vAlign w:val="center"/>
          </w:tcPr>
          <w:p>
            <w:r>
              <w:rPr>
                <w:rFonts w:ascii="Calibri" w:hAnsi="Calibri"/>
                <w:b w:val="0"/>
                <w:color w:val="1C2530"/>
                <w:sz w:val="18"/>
              </w:rPr>
              <w:t>Portfolio proof</w:t>
            </w:r>
          </w:p>
        </w:tc>
        <w:tc>
          <w:tcPr>
            <w:tcW w:type="dxa" w:w="3700"/>
            <w:tcMar>
              <w:top w:w="100" w:type="dxa"/>
              <w:start w:w="120" w:type="dxa"/>
              <w:bottom w:w="100" w:type="dxa"/>
              <w:end w:w="120" w:type="dxa"/>
            </w:tcMar>
            <w:vAlign w:val="center"/>
          </w:tcPr>
          <w:p>
            <w:r>
              <w:rPr>
                <w:rFonts w:ascii="Calibri" w:hAnsi="Calibri"/>
                <w:b w:val="0"/>
                <w:color w:val="1C2530"/>
                <w:sz w:val="18"/>
              </w:rPr>
              <w:t>One improvement or publication each week.</w:t>
            </w:r>
          </w:p>
        </w:tc>
        <w:tc>
          <w:tcPr>
            <w:tcW w:type="dxa" w:w="3760"/>
            <w:tcMar>
              <w:top w:w="100" w:type="dxa"/>
              <w:start w:w="120" w:type="dxa"/>
              <w:bottom w:w="100" w:type="dxa"/>
              <w:end w:w="120" w:type="dxa"/>
            </w:tcMar>
            <w:vAlign w:val="center"/>
          </w:tcPr>
          <w:p>
            <w:r>
              <w:rPr>
                <w:rFonts w:ascii="Calibri" w:hAnsi="Calibri"/>
                <w:b w:val="0"/>
                <w:color w:val="1C2530"/>
                <w:sz w:val="18"/>
              </w:rPr>
              <w:t>Updated case study or artefact excerpt.</w:t>
            </w:r>
          </w:p>
        </w:tc>
      </w:tr>
      <w:tr>
        <w:tc>
          <w:tcPr>
            <w:tcW w:type="dxa" w:w="1900"/>
            <w:tcMar>
              <w:top w:w="100" w:type="dxa"/>
              <w:start w:w="120" w:type="dxa"/>
              <w:bottom w:w="100" w:type="dxa"/>
              <w:end w:w="120" w:type="dxa"/>
            </w:tcMar>
            <w:vAlign w:val="center"/>
            <w:shd w:fill="F7F9FB"/>
          </w:tcPr>
          <w:p>
            <w:r>
              <w:rPr>
                <w:rFonts w:ascii="Calibri" w:hAnsi="Calibri"/>
                <w:b w:val="0"/>
                <w:color w:val="1C2530"/>
                <w:sz w:val="18"/>
              </w:rPr>
              <w:t>Interview practice</w:t>
            </w:r>
          </w:p>
        </w:tc>
        <w:tc>
          <w:tcPr>
            <w:tcW w:type="dxa" w:w="3700"/>
            <w:tcMar>
              <w:top w:w="100" w:type="dxa"/>
              <w:start w:w="120" w:type="dxa"/>
              <w:bottom w:w="100" w:type="dxa"/>
              <w:end w:w="120" w:type="dxa"/>
            </w:tcMar>
            <w:vAlign w:val="center"/>
            <w:shd w:fill="F7F9FB"/>
          </w:tcPr>
          <w:p>
            <w:r>
              <w:rPr>
                <w:rFonts w:ascii="Calibri" w:hAnsi="Calibri"/>
                <w:b w:val="0"/>
                <w:color w:val="1C2530"/>
                <w:sz w:val="18"/>
              </w:rPr>
              <w:t>Two recorded answers and one case exercise each week.</w:t>
            </w:r>
          </w:p>
        </w:tc>
        <w:tc>
          <w:tcPr>
            <w:tcW w:type="dxa" w:w="3760"/>
            <w:tcMar>
              <w:top w:w="100" w:type="dxa"/>
              <w:start w:w="120" w:type="dxa"/>
              <w:bottom w:w="100" w:type="dxa"/>
              <w:end w:w="120" w:type="dxa"/>
            </w:tcMar>
            <w:vAlign w:val="center"/>
            <w:shd w:fill="F7F9FB"/>
          </w:tcPr>
          <w:p>
            <w:r>
              <w:rPr>
                <w:rFonts w:ascii="Calibri" w:hAnsi="Calibri"/>
                <w:b w:val="0"/>
                <w:color w:val="1C2530"/>
                <w:sz w:val="18"/>
              </w:rPr>
              <w:t>Score and improvement note.</w:t>
            </w:r>
          </w:p>
        </w:tc>
      </w:tr>
      <w:tr>
        <w:tc>
          <w:tcPr>
            <w:tcW w:type="dxa" w:w="1900"/>
            <w:tcMar>
              <w:top w:w="100" w:type="dxa"/>
              <w:start w:w="120" w:type="dxa"/>
              <w:bottom w:w="100" w:type="dxa"/>
              <w:end w:w="120" w:type="dxa"/>
            </w:tcMar>
            <w:vAlign w:val="center"/>
          </w:tcPr>
          <w:p>
            <w:r>
              <w:rPr>
                <w:rFonts w:ascii="Calibri" w:hAnsi="Calibri"/>
                <w:b w:val="0"/>
                <w:color w:val="1C2530"/>
                <w:sz w:val="18"/>
              </w:rPr>
              <w:t>Pipeline review</w:t>
            </w:r>
          </w:p>
        </w:tc>
        <w:tc>
          <w:tcPr>
            <w:tcW w:type="dxa" w:w="3700"/>
            <w:tcMar>
              <w:top w:w="100" w:type="dxa"/>
              <w:start w:w="120" w:type="dxa"/>
              <w:bottom w:w="100" w:type="dxa"/>
              <w:end w:w="120" w:type="dxa"/>
            </w:tcMar>
            <w:vAlign w:val="center"/>
          </w:tcPr>
          <w:p>
            <w:r>
              <w:rPr>
                <w:rFonts w:ascii="Calibri" w:hAnsi="Calibri"/>
                <w:b w:val="0"/>
                <w:color w:val="1C2530"/>
                <w:sz w:val="18"/>
              </w:rPr>
              <w:t>Thirty minutes every Friday.</w:t>
            </w:r>
          </w:p>
        </w:tc>
        <w:tc>
          <w:tcPr>
            <w:tcW w:type="dxa" w:w="3760"/>
            <w:tcMar>
              <w:top w:w="100" w:type="dxa"/>
              <w:start w:w="120" w:type="dxa"/>
              <w:bottom w:w="100" w:type="dxa"/>
              <w:end w:w="120" w:type="dxa"/>
            </w:tcMar>
            <w:vAlign w:val="center"/>
          </w:tcPr>
          <w:p>
            <w:r>
              <w:rPr>
                <w:rFonts w:ascii="Calibri" w:hAnsi="Calibri"/>
                <w:b w:val="0"/>
                <w:color w:val="1C2530"/>
                <w:sz w:val="18"/>
              </w:rPr>
              <w:t>Conversion rates by source and stage.</w:t>
            </w:r>
          </w:p>
        </w:tc>
      </w:tr>
    </w:tbl>
    <w:p>
      <w:pPr>
        <w:spacing w:after="0"/>
      </w:pPr>
    </w:p>
    <w:p>
      <w:pPr>
        <w:pStyle w:val="Heading2"/>
      </w:pPr>
      <w:r>
        <w:t>Sponsorship-aware mode</w:t>
      </w:r>
    </w:p>
    <w:p>
      <w:r>
        <w:rPr>
          <w:rFonts w:ascii="Calibri" w:hAnsi="Calibri"/>
          <w:b w:val="0"/>
          <w:i w:val="0"/>
          <w:color w:val="1C2530"/>
          <w:sz w:val="22"/>
        </w:rPr>
        <w:t>Where sponsorship is required, use the current Home Office register of licensed sponsors as a company-screening source, then verify the specific role, occupation code, salary and genuine vacancy requirements. Business Analyst jobs may be coded differently depending on their actual duties. The title alone is not sufficient, and being on the sponsor register does not mean an employer will sponsor a particular vacancy.</w:t>
      </w:r>
    </w:p>
    <w:p>
      <w:r>
        <w:br w:type="page"/>
      </w:r>
    </w:p>
    <w:p>
      <w:pPr>
        <w:pStyle w:val="Heading1"/>
      </w:pPr>
      <w:r>
        <w:t>8. Implementation checklist for Advantcore</w:t>
      </w:r>
    </w:p>
    <w:p>
      <w:pPr>
        <w:spacing w:after="80"/>
        <w:ind w:left="144"/>
      </w:pPr>
      <w:r>
        <w:rPr>
          <w:rFonts w:ascii="Calibri" w:hAnsi="Calibri"/>
          <w:b/>
          <w:color w:val="007C83"/>
          <w:sz w:val="21"/>
        </w:rPr>
        <w:t xml:space="preserve">[ ] </w:t>
      </w:r>
      <w:r>
        <w:rPr>
          <w:rFonts w:ascii="Calibri" w:hAnsi="Calibri"/>
          <w:color w:val="1C2530"/>
          <w:sz w:val="21"/>
        </w:rPr>
        <w:t>Appoint a programme owner, project sponsor, BA supervisor and independent final reviewer.</w:t>
      </w:r>
    </w:p>
    <w:p>
      <w:pPr>
        <w:spacing w:after="80"/>
        <w:ind w:left="144"/>
      </w:pPr>
      <w:r>
        <w:rPr>
          <w:rFonts w:ascii="Calibri" w:hAnsi="Calibri"/>
          <w:b/>
          <w:color w:val="007C83"/>
          <w:sz w:val="21"/>
        </w:rPr>
        <w:t xml:space="preserve">[ ] </w:t>
      </w:r>
      <w:r>
        <w:rPr>
          <w:rFonts w:ascii="Calibri" w:hAnsi="Calibri"/>
          <w:color w:val="1C2530"/>
          <w:sz w:val="21"/>
        </w:rPr>
        <w:t>Decide whether the arrangement is paid work, formal course placement, job shadowing or another lawful category.</w:t>
      </w:r>
    </w:p>
    <w:p>
      <w:pPr>
        <w:spacing w:after="80"/>
        <w:ind w:left="144"/>
      </w:pPr>
      <w:r>
        <w:rPr>
          <w:rFonts w:ascii="Calibri" w:hAnsi="Calibri"/>
          <w:b/>
          <w:color w:val="007C83"/>
          <w:sz w:val="21"/>
        </w:rPr>
        <w:t xml:space="preserve">[ ] </w:t>
      </w:r>
      <w:r>
        <w:rPr>
          <w:rFonts w:ascii="Calibri" w:hAnsi="Calibri"/>
          <w:color w:val="1C2530"/>
          <w:sz w:val="21"/>
        </w:rPr>
        <w:t>Issue written terms covering scope, hours, pay/status, confidentiality, IP, data, conduct and termination.</w:t>
      </w:r>
    </w:p>
    <w:p>
      <w:pPr>
        <w:spacing w:after="80"/>
        <w:ind w:left="144"/>
      </w:pPr>
      <w:r>
        <w:rPr>
          <w:rFonts w:ascii="Calibri" w:hAnsi="Calibri"/>
          <w:b/>
          <w:color w:val="007C83"/>
          <w:sz w:val="21"/>
        </w:rPr>
        <w:t xml:space="preserve">[ ] </w:t>
      </w:r>
      <w:r>
        <w:rPr>
          <w:rFonts w:ascii="Calibri" w:hAnsi="Calibri"/>
          <w:color w:val="1C2530"/>
          <w:sz w:val="21"/>
        </w:rPr>
        <w:t>Create one secure repository per participant and limit access by role.</w:t>
      </w:r>
    </w:p>
    <w:p>
      <w:pPr>
        <w:spacing w:after="80"/>
        <w:ind w:left="144"/>
      </w:pPr>
      <w:r>
        <w:rPr>
          <w:rFonts w:ascii="Calibri" w:hAnsi="Calibri"/>
          <w:b/>
          <w:color w:val="007C83"/>
          <w:sz w:val="21"/>
        </w:rPr>
        <w:t xml:space="preserve">[ ] </w:t>
      </w:r>
      <w:r>
        <w:rPr>
          <w:rFonts w:ascii="Calibri" w:hAnsi="Calibri"/>
          <w:color w:val="1C2530"/>
          <w:sz w:val="21"/>
        </w:rPr>
        <w:t>Use the weekly gate rubric and return weak work for correction.</w:t>
      </w:r>
    </w:p>
    <w:p>
      <w:pPr>
        <w:spacing w:after="80"/>
        <w:ind w:left="144"/>
      </w:pPr>
      <w:r>
        <w:rPr>
          <w:rFonts w:ascii="Calibri" w:hAnsi="Calibri"/>
          <w:b/>
          <w:color w:val="007C83"/>
          <w:sz w:val="21"/>
        </w:rPr>
        <w:t xml:space="preserve">[ ] </w:t>
      </w:r>
      <w:r>
        <w:rPr>
          <w:rFonts w:ascii="Calibri" w:hAnsi="Calibri"/>
          <w:color w:val="1C2530"/>
          <w:sz w:val="21"/>
        </w:rPr>
        <w:t>Keep supervisor feedback specific and dated.</w:t>
      </w:r>
    </w:p>
    <w:p>
      <w:pPr>
        <w:spacing w:after="80"/>
        <w:ind w:left="144"/>
      </w:pPr>
      <w:r>
        <w:rPr>
          <w:rFonts w:ascii="Calibri" w:hAnsi="Calibri"/>
          <w:b/>
          <w:color w:val="007C83"/>
          <w:sz w:val="21"/>
        </w:rPr>
        <w:t xml:space="preserve">[ ] </w:t>
      </w:r>
      <w:r>
        <w:rPr>
          <w:rFonts w:ascii="Calibri" w:hAnsi="Calibri"/>
          <w:color w:val="1C2530"/>
          <w:sz w:val="21"/>
        </w:rPr>
        <w:t>Use real business problems, but remove or anonymise confidential information from training and portfolio copies.</w:t>
      </w:r>
    </w:p>
    <w:p>
      <w:pPr>
        <w:spacing w:after="80"/>
        <w:ind w:left="144"/>
      </w:pPr>
      <w:r>
        <w:rPr>
          <w:rFonts w:ascii="Calibri" w:hAnsi="Calibri"/>
          <w:b/>
          <w:color w:val="007C83"/>
          <w:sz w:val="21"/>
        </w:rPr>
        <w:t xml:space="preserve">[ ] </w:t>
      </w:r>
      <w:r>
        <w:rPr>
          <w:rFonts w:ascii="Calibri" w:hAnsi="Calibri"/>
          <w:color w:val="1C2530"/>
          <w:sz w:val="21"/>
        </w:rPr>
        <w:t>Do not issue a completion letter or reference until the final evidence audit passes.</w:t>
      </w:r>
    </w:p>
    <w:p>
      <w:pPr>
        <w:spacing w:after="80"/>
        <w:ind w:left="144"/>
      </w:pPr>
      <w:r>
        <w:rPr>
          <w:rFonts w:ascii="Calibri" w:hAnsi="Calibri"/>
          <w:b/>
          <w:color w:val="007C83"/>
          <w:sz w:val="21"/>
        </w:rPr>
        <w:t xml:space="preserve">[ ] </w:t>
      </w:r>
      <w:r>
        <w:rPr>
          <w:rFonts w:ascii="Calibri" w:hAnsi="Calibri"/>
          <w:color w:val="1C2530"/>
          <w:sz w:val="21"/>
        </w:rPr>
        <w:t>Review outcomes after each cohort: completion, certification readiness, portfolio quality, interview conversion and placement results.</w:t>
      </w:r>
    </w:p>
    <w:p>
      <w:pPr>
        <w:spacing w:after="80"/>
        <w:ind w:left="144"/>
      </w:pPr>
      <w:r>
        <w:rPr>
          <w:rFonts w:ascii="Calibri" w:hAnsi="Calibri"/>
          <w:b/>
          <w:color w:val="007C83"/>
          <w:sz w:val="21"/>
        </w:rPr>
        <w:t xml:space="preserve">[ ] </w:t>
      </w:r>
      <w:r>
        <w:rPr>
          <w:rFonts w:ascii="Calibri" w:hAnsi="Calibri"/>
          <w:color w:val="1C2530"/>
          <w:sz w:val="21"/>
        </w:rPr>
        <w:t>Update certification, employment and visa information before every new cohort.</w:t>
      </w:r>
    </w:p>
    <w:p>
      <w:r>
        <w:br w:type="page"/>
      </w:r>
    </w:p>
    <w:p>
      <w:pPr>
        <w:pStyle w:val="Heading1"/>
      </w:pPr>
      <w:r>
        <w:t>9. Success measures and review</w:t>
      </w:r>
    </w:p>
    <w:tbl>
      <w:tblPr>
        <w:tblW w:type="dxa" w:w="9360"/>
        <w:jc w:val="left"/>
        <w:tblLayout w:type="fixed"/>
        <w:tblLook w:firstColumn="1" w:firstRow="1" w:lastColumn="0" w:lastRow="0" w:noHBand="0" w:noVBand="1" w:val="04A0"/>
        <w:tblInd w:w="120" w:type="dxa"/>
      </w:tblPr>
      <w:tblGrid>
        <w:gridCol w:w="2500"/>
        <w:gridCol w:w="1800"/>
        <w:gridCol w:w="2000"/>
        <w:gridCol w:w="3060"/>
      </w:tblGrid>
      <w:tr>
        <w:trPr>
          <w:tblHeader w:val="true"/>
        </w:trPr>
        <w:tc>
          <w:tcPr>
            <w:tcW w:type="dxa" w:w="2500"/>
            <w:tcMar>
              <w:top w:w="100" w:type="dxa"/>
              <w:start w:w="120" w:type="dxa"/>
              <w:bottom w:w="100" w:type="dxa"/>
              <w:end w:w="120" w:type="dxa"/>
            </w:tcMar>
            <w:vAlign w:val="center"/>
            <w:shd w:fill="102A43"/>
          </w:tcPr>
          <w:p>
            <w:pPr>
              <w:jc w:val="left"/>
            </w:pPr>
            <w:r>
              <w:rPr>
                <w:rFonts w:ascii="Calibri" w:hAnsi="Calibri"/>
                <w:b/>
                <w:color w:val="FFFFFF"/>
                <w:sz w:val="18"/>
              </w:rPr>
              <w:t>Measure</w:t>
            </w:r>
          </w:p>
        </w:tc>
        <w:tc>
          <w:tcPr>
            <w:tcW w:type="dxa" w:w="1800"/>
            <w:tcMar>
              <w:top w:w="100" w:type="dxa"/>
              <w:start w:w="120" w:type="dxa"/>
              <w:bottom w:w="100" w:type="dxa"/>
              <w:end w:w="120" w:type="dxa"/>
            </w:tcMar>
            <w:vAlign w:val="center"/>
            <w:shd w:fill="102A43"/>
          </w:tcPr>
          <w:p>
            <w:pPr>
              <w:jc w:val="left"/>
            </w:pPr>
            <w:r>
              <w:rPr>
                <w:rFonts w:ascii="Calibri" w:hAnsi="Calibri"/>
                <w:b/>
                <w:color w:val="FFFFFF"/>
                <w:sz w:val="18"/>
              </w:rPr>
              <w:t>Green</w:t>
            </w:r>
          </w:p>
        </w:tc>
        <w:tc>
          <w:tcPr>
            <w:tcW w:type="dxa" w:w="2000"/>
            <w:tcMar>
              <w:top w:w="100" w:type="dxa"/>
              <w:start w:w="120" w:type="dxa"/>
              <w:bottom w:w="100" w:type="dxa"/>
              <w:end w:w="120" w:type="dxa"/>
            </w:tcMar>
            <w:vAlign w:val="center"/>
            <w:shd w:fill="102A43"/>
          </w:tcPr>
          <w:p>
            <w:pPr>
              <w:jc w:val="left"/>
            </w:pPr>
            <w:r>
              <w:rPr>
                <w:rFonts w:ascii="Calibri" w:hAnsi="Calibri"/>
                <w:b/>
                <w:color w:val="FFFFFF"/>
                <w:sz w:val="18"/>
              </w:rPr>
              <w:t>Amber</w:t>
            </w:r>
          </w:p>
        </w:tc>
        <w:tc>
          <w:tcPr>
            <w:tcW w:type="dxa" w:w="3060"/>
            <w:tcMar>
              <w:top w:w="100" w:type="dxa"/>
              <w:start w:w="120" w:type="dxa"/>
              <w:bottom w:w="100" w:type="dxa"/>
              <w:end w:w="120" w:type="dxa"/>
            </w:tcMar>
            <w:vAlign w:val="center"/>
            <w:shd w:fill="102A43"/>
          </w:tcPr>
          <w:p>
            <w:pPr>
              <w:jc w:val="left"/>
            </w:pPr>
            <w:r>
              <w:rPr>
                <w:rFonts w:ascii="Calibri" w:hAnsi="Calibri"/>
                <w:b/>
                <w:color w:val="FFFFFF"/>
                <w:sz w:val="18"/>
              </w:rPr>
              <w:t>Action if red</w:t>
            </w:r>
          </w:p>
        </w:tc>
      </w:tr>
      <w:tr>
        <w:tc>
          <w:tcPr>
            <w:tcW w:type="dxa" w:w="2500"/>
            <w:tcMar>
              <w:top w:w="100" w:type="dxa"/>
              <w:start w:w="120" w:type="dxa"/>
              <w:bottom w:w="100" w:type="dxa"/>
              <w:end w:w="120" w:type="dxa"/>
            </w:tcMar>
            <w:vAlign w:val="center"/>
          </w:tcPr>
          <w:p>
            <w:r>
              <w:rPr>
                <w:rFonts w:ascii="Calibri" w:hAnsi="Calibri"/>
                <w:b w:val="0"/>
                <w:color w:val="1C2530"/>
                <w:sz w:val="18"/>
              </w:rPr>
              <w:t>Weekly gate completion</w:t>
            </w:r>
          </w:p>
        </w:tc>
        <w:tc>
          <w:tcPr>
            <w:tcW w:type="dxa" w:w="1800"/>
            <w:tcMar>
              <w:top w:w="100" w:type="dxa"/>
              <w:start w:w="120" w:type="dxa"/>
              <w:bottom w:w="100" w:type="dxa"/>
              <w:end w:w="120" w:type="dxa"/>
            </w:tcMar>
            <w:vAlign w:val="center"/>
          </w:tcPr>
          <w:p>
            <w:r>
              <w:rPr>
                <w:rFonts w:ascii="Calibri" w:hAnsi="Calibri"/>
                <w:b w:val="0"/>
                <w:color w:val="1C2530"/>
                <w:sz w:val="18"/>
              </w:rPr>
              <w:t>100%</w:t>
            </w:r>
          </w:p>
        </w:tc>
        <w:tc>
          <w:tcPr>
            <w:tcW w:type="dxa" w:w="2000"/>
            <w:tcMar>
              <w:top w:w="100" w:type="dxa"/>
              <w:start w:w="120" w:type="dxa"/>
              <w:bottom w:w="100" w:type="dxa"/>
              <w:end w:w="120" w:type="dxa"/>
            </w:tcMar>
            <w:vAlign w:val="center"/>
          </w:tcPr>
          <w:p>
            <w:r>
              <w:rPr>
                <w:rFonts w:ascii="Calibri" w:hAnsi="Calibri"/>
                <w:b w:val="0"/>
                <w:color w:val="1C2530"/>
                <w:sz w:val="18"/>
              </w:rPr>
              <w:t>One late gate</w:t>
            </w:r>
          </w:p>
        </w:tc>
        <w:tc>
          <w:tcPr>
            <w:tcW w:type="dxa" w:w="3060"/>
            <w:tcMar>
              <w:top w:w="100" w:type="dxa"/>
              <w:start w:w="120" w:type="dxa"/>
              <w:bottom w:w="100" w:type="dxa"/>
              <w:end w:w="120" w:type="dxa"/>
            </w:tcMar>
            <w:vAlign w:val="center"/>
          </w:tcPr>
          <w:p>
            <w:r>
              <w:rPr>
                <w:rFonts w:ascii="Calibri" w:hAnsi="Calibri"/>
                <w:b w:val="0"/>
                <w:color w:val="1C2530"/>
                <w:sz w:val="18"/>
              </w:rPr>
              <w:t>Pause new work and recover evidence.</w:t>
            </w:r>
          </w:p>
        </w:tc>
      </w:tr>
      <w:tr>
        <w:tc>
          <w:tcPr>
            <w:tcW w:type="dxa" w:w="2500"/>
            <w:tcMar>
              <w:top w:w="100" w:type="dxa"/>
              <w:start w:w="120" w:type="dxa"/>
              <w:bottom w:w="100" w:type="dxa"/>
              <w:end w:w="120" w:type="dxa"/>
            </w:tcMar>
            <w:vAlign w:val="center"/>
            <w:shd w:fill="F7F9FB"/>
          </w:tcPr>
          <w:p>
            <w:r>
              <w:rPr>
                <w:rFonts w:ascii="Calibri" w:hAnsi="Calibri"/>
                <w:b w:val="0"/>
                <w:color w:val="1C2530"/>
                <w:sz w:val="18"/>
              </w:rPr>
              <w:t>Mock exam score</w:t>
            </w:r>
          </w:p>
        </w:tc>
        <w:tc>
          <w:tcPr>
            <w:tcW w:type="dxa" w:w="1800"/>
            <w:tcMar>
              <w:top w:w="100" w:type="dxa"/>
              <w:start w:w="120" w:type="dxa"/>
              <w:bottom w:w="100" w:type="dxa"/>
              <w:end w:w="120" w:type="dxa"/>
            </w:tcMar>
            <w:vAlign w:val="center"/>
            <w:shd w:fill="F7F9FB"/>
          </w:tcPr>
          <w:p>
            <w:r>
              <w:rPr>
                <w:rFonts w:ascii="Calibri" w:hAnsi="Calibri"/>
                <w:b w:val="0"/>
                <w:color w:val="1C2530"/>
                <w:sz w:val="18"/>
              </w:rPr>
              <w:t>75%+ twice</w:t>
            </w:r>
          </w:p>
        </w:tc>
        <w:tc>
          <w:tcPr>
            <w:tcW w:type="dxa" w:w="2000"/>
            <w:tcMar>
              <w:top w:w="100" w:type="dxa"/>
              <w:start w:w="120" w:type="dxa"/>
              <w:bottom w:w="100" w:type="dxa"/>
              <w:end w:w="120" w:type="dxa"/>
            </w:tcMar>
            <w:vAlign w:val="center"/>
            <w:shd w:fill="F7F9FB"/>
          </w:tcPr>
          <w:p>
            <w:r>
              <w:rPr>
                <w:rFonts w:ascii="Calibri" w:hAnsi="Calibri"/>
                <w:b w:val="0"/>
                <w:color w:val="1C2530"/>
                <w:sz w:val="18"/>
              </w:rPr>
              <w:t>65-74%</w:t>
            </w:r>
          </w:p>
        </w:tc>
        <w:tc>
          <w:tcPr>
            <w:tcW w:type="dxa" w:w="3060"/>
            <w:tcMar>
              <w:top w:w="100" w:type="dxa"/>
              <w:start w:w="120" w:type="dxa"/>
              <w:bottom w:w="100" w:type="dxa"/>
              <w:end w:w="120" w:type="dxa"/>
            </w:tcMar>
            <w:vAlign w:val="center"/>
            <w:shd w:fill="F7F9FB"/>
          </w:tcPr>
          <w:p>
            <w:r>
              <w:rPr>
                <w:rFonts w:ascii="Calibri" w:hAnsi="Calibri"/>
                <w:b w:val="0"/>
                <w:color w:val="1C2530"/>
                <w:sz w:val="18"/>
              </w:rPr>
              <w:t>Return to weighted weak topics.</w:t>
            </w:r>
          </w:p>
        </w:tc>
      </w:tr>
      <w:tr>
        <w:tc>
          <w:tcPr>
            <w:tcW w:type="dxa" w:w="2500"/>
            <w:tcMar>
              <w:top w:w="100" w:type="dxa"/>
              <w:start w:w="120" w:type="dxa"/>
              <w:bottom w:w="100" w:type="dxa"/>
              <w:end w:w="120" w:type="dxa"/>
            </w:tcMar>
            <w:vAlign w:val="center"/>
          </w:tcPr>
          <w:p>
            <w:r>
              <w:rPr>
                <w:rFonts w:ascii="Calibri" w:hAnsi="Calibri"/>
                <w:b w:val="0"/>
                <w:color w:val="1C2530"/>
                <w:sz w:val="18"/>
              </w:rPr>
              <w:t>Mandatory artefacts</w:t>
            </w:r>
          </w:p>
        </w:tc>
        <w:tc>
          <w:tcPr>
            <w:tcW w:type="dxa" w:w="1800"/>
            <w:tcMar>
              <w:top w:w="100" w:type="dxa"/>
              <w:start w:w="120" w:type="dxa"/>
              <w:bottom w:w="100" w:type="dxa"/>
              <w:end w:w="120" w:type="dxa"/>
            </w:tcMar>
            <w:vAlign w:val="center"/>
          </w:tcPr>
          <w:p>
            <w:r>
              <w:rPr>
                <w:rFonts w:ascii="Calibri" w:hAnsi="Calibri"/>
                <w:b w:val="0"/>
                <w:color w:val="1C2530"/>
                <w:sz w:val="18"/>
              </w:rPr>
              <w:t>All approved</w:t>
            </w:r>
          </w:p>
        </w:tc>
        <w:tc>
          <w:tcPr>
            <w:tcW w:type="dxa" w:w="2000"/>
            <w:tcMar>
              <w:top w:w="100" w:type="dxa"/>
              <w:start w:w="120" w:type="dxa"/>
              <w:bottom w:w="100" w:type="dxa"/>
              <w:end w:w="120" w:type="dxa"/>
            </w:tcMar>
            <w:vAlign w:val="center"/>
          </w:tcPr>
          <w:p>
            <w:r>
              <w:rPr>
                <w:rFonts w:ascii="Calibri" w:hAnsi="Calibri"/>
                <w:b w:val="0"/>
                <w:color w:val="1C2530"/>
                <w:sz w:val="18"/>
              </w:rPr>
              <w:t>Minor corrections</w:t>
            </w:r>
          </w:p>
        </w:tc>
        <w:tc>
          <w:tcPr>
            <w:tcW w:type="dxa" w:w="3060"/>
            <w:tcMar>
              <w:top w:w="100" w:type="dxa"/>
              <w:start w:w="120" w:type="dxa"/>
              <w:bottom w:w="100" w:type="dxa"/>
              <w:end w:w="120" w:type="dxa"/>
            </w:tcMar>
            <w:vAlign w:val="center"/>
          </w:tcPr>
          <w:p>
            <w:r>
              <w:rPr>
                <w:rFonts w:ascii="Calibri" w:hAnsi="Calibri"/>
                <w:b w:val="0"/>
                <w:color w:val="1C2530"/>
                <w:sz w:val="18"/>
              </w:rPr>
              <w:t>Do not complete programme.</w:t>
            </w:r>
          </w:p>
        </w:tc>
      </w:tr>
      <w:tr>
        <w:tc>
          <w:tcPr>
            <w:tcW w:type="dxa" w:w="2500"/>
            <w:tcMar>
              <w:top w:w="100" w:type="dxa"/>
              <w:start w:w="120" w:type="dxa"/>
              <w:bottom w:w="100" w:type="dxa"/>
              <w:end w:w="120" w:type="dxa"/>
            </w:tcMar>
            <w:vAlign w:val="center"/>
            <w:shd w:fill="F7F9FB"/>
          </w:tcPr>
          <w:p>
            <w:r>
              <w:rPr>
                <w:rFonts w:ascii="Calibri" w:hAnsi="Calibri"/>
                <w:b w:val="0"/>
                <w:color w:val="1C2530"/>
                <w:sz w:val="18"/>
              </w:rPr>
              <w:t>Application quality</w:t>
            </w:r>
          </w:p>
        </w:tc>
        <w:tc>
          <w:tcPr>
            <w:tcW w:type="dxa" w:w="1800"/>
            <w:tcMar>
              <w:top w:w="100" w:type="dxa"/>
              <w:start w:w="120" w:type="dxa"/>
              <w:bottom w:w="100" w:type="dxa"/>
              <w:end w:w="120" w:type="dxa"/>
            </w:tcMar>
            <w:vAlign w:val="center"/>
            <w:shd w:fill="F7F9FB"/>
          </w:tcPr>
          <w:p>
            <w:r>
              <w:rPr>
                <w:rFonts w:ascii="Calibri" w:hAnsi="Calibri"/>
                <w:b w:val="0"/>
                <w:color w:val="1C2530"/>
                <w:sz w:val="18"/>
              </w:rPr>
              <w:t>80%+ role match</w:t>
            </w:r>
          </w:p>
        </w:tc>
        <w:tc>
          <w:tcPr>
            <w:tcW w:type="dxa" w:w="2000"/>
            <w:tcMar>
              <w:top w:w="100" w:type="dxa"/>
              <w:start w:w="120" w:type="dxa"/>
              <w:bottom w:w="100" w:type="dxa"/>
              <w:end w:w="120" w:type="dxa"/>
            </w:tcMar>
            <w:vAlign w:val="center"/>
            <w:shd w:fill="F7F9FB"/>
          </w:tcPr>
          <w:p>
            <w:r>
              <w:rPr>
                <w:rFonts w:ascii="Calibri" w:hAnsi="Calibri"/>
                <w:b w:val="0"/>
                <w:color w:val="1C2530"/>
                <w:sz w:val="18"/>
              </w:rPr>
              <w:t>65-79%</w:t>
            </w:r>
          </w:p>
        </w:tc>
        <w:tc>
          <w:tcPr>
            <w:tcW w:type="dxa" w:w="3060"/>
            <w:tcMar>
              <w:top w:w="100" w:type="dxa"/>
              <w:start w:w="120" w:type="dxa"/>
              <w:bottom w:w="100" w:type="dxa"/>
              <w:end w:w="120" w:type="dxa"/>
            </w:tcMar>
            <w:vAlign w:val="center"/>
            <w:shd w:fill="F7F9FB"/>
          </w:tcPr>
          <w:p>
            <w:r>
              <w:rPr>
                <w:rFonts w:ascii="Calibri" w:hAnsi="Calibri"/>
                <w:b w:val="0"/>
                <w:color w:val="1C2530"/>
                <w:sz w:val="18"/>
              </w:rPr>
              <w:t>Retarget role or close gaps.</w:t>
            </w:r>
          </w:p>
        </w:tc>
      </w:tr>
      <w:tr>
        <w:tc>
          <w:tcPr>
            <w:tcW w:type="dxa" w:w="2500"/>
            <w:tcMar>
              <w:top w:w="100" w:type="dxa"/>
              <w:start w:w="120" w:type="dxa"/>
              <w:bottom w:w="100" w:type="dxa"/>
              <w:end w:w="120" w:type="dxa"/>
            </w:tcMar>
            <w:vAlign w:val="center"/>
          </w:tcPr>
          <w:p>
            <w:r>
              <w:rPr>
                <w:rFonts w:ascii="Calibri" w:hAnsi="Calibri"/>
                <w:b w:val="0"/>
                <w:color w:val="1C2530"/>
                <w:sz w:val="18"/>
              </w:rPr>
              <w:t>Screening conversion</w:t>
            </w:r>
          </w:p>
        </w:tc>
        <w:tc>
          <w:tcPr>
            <w:tcW w:type="dxa" w:w="1800"/>
            <w:tcMar>
              <w:top w:w="100" w:type="dxa"/>
              <w:start w:w="120" w:type="dxa"/>
              <w:bottom w:w="100" w:type="dxa"/>
              <w:end w:w="120" w:type="dxa"/>
            </w:tcMar>
            <w:vAlign w:val="center"/>
          </w:tcPr>
          <w:p>
            <w:r>
              <w:rPr>
                <w:rFonts w:ascii="Calibri" w:hAnsi="Calibri"/>
                <w:b w:val="0"/>
                <w:color w:val="1C2530"/>
                <w:sz w:val="18"/>
              </w:rPr>
              <w:t>20%+</w:t>
            </w:r>
          </w:p>
        </w:tc>
        <w:tc>
          <w:tcPr>
            <w:tcW w:type="dxa" w:w="2000"/>
            <w:tcMar>
              <w:top w:w="100" w:type="dxa"/>
              <w:start w:w="120" w:type="dxa"/>
              <w:bottom w:w="100" w:type="dxa"/>
              <w:end w:w="120" w:type="dxa"/>
            </w:tcMar>
            <w:vAlign w:val="center"/>
          </w:tcPr>
          <w:p>
            <w:r>
              <w:rPr>
                <w:rFonts w:ascii="Calibri" w:hAnsi="Calibri"/>
                <w:b w:val="0"/>
                <w:color w:val="1C2530"/>
                <w:sz w:val="18"/>
              </w:rPr>
              <w:t>10-19%</w:t>
            </w:r>
          </w:p>
        </w:tc>
        <w:tc>
          <w:tcPr>
            <w:tcW w:type="dxa" w:w="3060"/>
            <w:tcMar>
              <w:top w:w="100" w:type="dxa"/>
              <w:start w:w="120" w:type="dxa"/>
              <w:bottom w:w="100" w:type="dxa"/>
              <w:end w:w="120" w:type="dxa"/>
            </w:tcMar>
            <w:vAlign w:val="center"/>
          </w:tcPr>
          <w:p>
            <w:r>
              <w:rPr>
                <w:rFonts w:ascii="Calibri" w:hAnsi="Calibri"/>
                <w:b w:val="0"/>
                <w:color w:val="1C2530"/>
                <w:sz w:val="18"/>
              </w:rPr>
              <w:t>Improve CV evidence and targeting.</w:t>
            </w:r>
          </w:p>
        </w:tc>
      </w:tr>
      <w:tr>
        <w:tc>
          <w:tcPr>
            <w:tcW w:type="dxa" w:w="2500"/>
            <w:tcMar>
              <w:top w:w="100" w:type="dxa"/>
              <w:start w:w="120" w:type="dxa"/>
              <w:bottom w:w="100" w:type="dxa"/>
              <w:end w:w="120" w:type="dxa"/>
            </w:tcMar>
            <w:vAlign w:val="center"/>
            <w:shd w:fill="F7F9FB"/>
          </w:tcPr>
          <w:p>
            <w:r>
              <w:rPr>
                <w:rFonts w:ascii="Calibri" w:hAnsi="Calibri"/>
                <w:b w:val="0"/>
                <w:color w:val="1C2530"/>
                <w:sz w:val="18"/>
              </w:rPr>
              <w:t>Interview conversion</w:t>
            </w:r>
          </w:p>
        </w:tc>
        <w:tc>
          <w:tcPr>
            <w:tcW w:type="dxa" w:w="1800"/>
            <w:tcMar>
              <w:top w:w="100" w:type="dxa"/>
              <w:start w:w="120" w:type="dxa"/>
              <w:bottom w:w="100" w:type="dxa"/>
              <w:end w:w="120" w:type="dxa"/>
            </w:tcMar>
            <w:vAlign w:val="center"/>
            <w:shd w:fill="F7F9FB"/>
          </w:tcPr>
          <w:p>
            <w:r>
              <w:rPr>
                <w:rFonts w:ascii="Calibri" w:hAnsi="Calibri"/>
                <w:b w:val="0"/>
                <w:color w:val="1C2530"/>
                <w:sz w:val="18"/>
              </w:rPr>
              <w:t>25%+</w:t>
            </w:r>
          </w:p>
        </w:tc>
        <w:tc>
          <w:tcPr>
            <w:tcW w:type="dxa" w:w="2000"/>
            <w:tcMar>
              <w:top w:w="100" w:type="dxa"/>
              <w:start w:w="120" w:type="dxa"/>
              <w:bottom w:w="100" w:type="dxa"/>
              <w:end w:w="120" w:type="dxa"/>
            </w:tcMar>
            <w:vAlign w:val="center"/>
            <w:shd w:fill="F7F9FB"/>
          </w:tcPr>
          <w:p>
            <w:r>
              <w:rPr>
                <w:rFonts w:ascii="Calibri" w:hAnsi="Calibri"/>
                <w:b w:val="0"/>
                <w:color w:val="1C2530"/>
                <w:sz w:val="18"/>
              </w:rPr>
              <w:t>10-24%</w:t>
            </w:r>
          </w:p>
        </w:tc>
        <w:tc>
          <w:tcPr>
            <w:tcW w:type="dxa" w:w="3060"/>
            <w:tcMar>
              <w:top w:w="100" w:type="dxa"/>
              <w:start w:w="120" w:type="dxa"/>
              <w:bottom w:w="100" w:type="dxa"/>
              <w:end w:w="120" w:type="dxa"/>
            </w:tcMar>
            <w:vAlign w:val="center"/>
            <w:shd w:fill="F7F9FB"/>
          </w:tcPr>
          <w:p>
            <w:r>
              <w:rPr>
                <w:rFonts w:ascii="Calibri" w:hAnsi="Calibri"/>
                <w:b w:val="0"/>
                <w:color w:val="1C2530"/>
                <w:sz w:val="18"/>
              </w:rPr>
              <w:t>Strengthen project defence and examples.</w:t>
            </w:r>
          </w:p>
        </w:tc>
      </w:tr>
    </w:tbl>
    <w:p>
      <w:pPr>
        <w:spacing w:after="0"/>
      </w:pPr>
    </w:p>
    <w:p>
      <w:r>
        <w:rPr>
          <w:rFonts w:ascii="Calibri" w:hAnsi="Calibri"/>
          <w:b w:val="0"/>
          <w:i w:val="0"/>
          <w:color w:val="1C2530"/>
          <w:sz w:val="22"/>
        </w:rPr>
        <w:t>Review the programme at weeks 4, 8 and 12. A red metric is diagnostic, not a reason to invent evidence or increase low-quality applications.</w:t>
      </w:r>
    </w:p>
    <w:p>
      <w:r>
        <w:br w:type="page"/>
      </w:r>
    </w:p>
    <w:p>
      <w:pPr>
        <w:pStyle w:val="Heading1"/>
      </w:pPr>
      <w:r>
        <w:t>Sources and currency note</w:t>
      </w:r>
    </w:p>
    <w:p>
      <w:pPr>
        <w:pStyle w:val="ListBullet"/>
      </w:pPr>
      <w:r>
        <w:rPr>
          <w:rFonts w:ascii="Calibri" w:hAnsi="Calibri"/>
          <w:b/>
          <w:color w:val="102A43"/>
          <w:sz w:val="19"/>
        </w:rPr>
        <w:t xml:space="preserve">BCS Foundation Certificate in Business Analysis: </w:t>
      </w:r>
      <w:r>
        <w:rPr>
          <w:rFonts w:ascii="Calibri" w:hAnsi="Calibri"/>
          <w:b w:val="0"/>
          <w:color w:val="007C83"/>
          <w:sz w:val="18"/>
        </w:rPr>
        <w:t>https://www.bcs.org/qualifications-and-certifications/certifications-for-professionals/business-analysis/foundation-certificate-in-business-analysis/</w:t>
      </w:r>
    </w:p>
    <w:p>
      <w:pPr>
        <w:pStyle w:val="ListBullet"/>
      </w:pPr>
      <w:r>
        <w:rPr>
          <w:rFonts w:ascii="Calibri" w:hAnsi="Calibri"/>
          <w:b/>
          <w:color w:val="102A43"/>
          <w:sz w:val="19"/>
        </w:rPr>
        <w:t xml:space="preserve">BCS Business Analysis certifications: </w:t>
      </w:r>
      <w:r>
        <w:rPr>
          <w:rFonts w:ascii="Calibri" w:hAnsi="Calibri"/>
          <w:b w:val="0"/>
          <w:color w:val="007C83"/>
          <w:sz w:val="18"/>
        </w:rPr>
        <w:t>https://www.bcs.org/qualifications-and-certifications/certifications-for-professionals/business-analysis/</w:t>
      </w:r>
    </w:p>
    <w:p>
      <w:pPr>
        <w:pStyle w:val="ListBullet"/>
      </w:pPr>
      <w:r>
        <w:rPr>
          <w:rFonts w:ascii="Calibri" w:hAnsi="Calibri"/>
          <w:b/>
          <w:color w:val="102A43"/>
          <w:sz w:val="19"/>
        </w:rPr>
        <w:t xml:space="preserve">IIBA Entry Certificate in Business Analysis: </w:t>
      </w:r>
      <w:r>
        <w:rPr>
          <w:rFonts w:ascii="Calibri" w:hAnsi="Calibri"/>
          <w:b w:val="0"/>
          <w:color w:val="007C83"/>
          <w:sz w:val="18"/>
        </w:rPr>
        <w:t>https://www.iiba.org/business-analysis-certifications/ecba/</w:t>
      </w:r>
    </w:p>
    <w:p>
      <w:pPr>
        <w:pStyle w:val="ListBullet"/>
      </w:pPr>
      <w:r>
        <w:rPr>
          <w:rFonts w:ascii="Calibri" w:hAnsi="Calibri"/>
          <w:b/>
          <w:color w:val="102A43"/>
          <w:sz w:val="19"/>
        </w:rPr>
        <w:t xml:space="preserve">IIBA ECBA examination structure: </w:t>
      </w:r>
      <w:r>
        <w:rPr>
          <w:rFonts w:ascii="Calibri" w:hAnsi="Calibri"/>
          <w:b w:val="0"/>
          <w:color w:val="007C83"/>
          <w:sz w:val="18"/>
        </w:rPr>
        <w:t>https://www.iiba.org/knowledgehub/certification/ecba-certification/about-ecba-certification/roadmap-to-ecba-certification/study-and-prepare/exam-structure-and-format/</w:t>
      </w:r>
    </w:p>
    <w:p>
      <w:pPr>
        <w:pStyle w:val="ListBullet"/>
      </w:pPr>
      <w:r>
        <w:rPr>
          <w:rFonts w:ascii="Calibri" w:hAnsi="Calibri"/>
          <w:b/>
          <w:color w:val="102A43"/>
          <w:sz w:val="19"/>
        </w:rPr>
        <w:t xml:space="preserve">GOV.UK employment rights and pay for interns: </w:t>
      </w:r>
      <w:r>
        <w:rPr>
          <w:rFonts w:ascii="Calibri" w:hAnsi="Calibri"/>
          <w:b w:val="0"/>
          <w:color w:val="007C83"/>
          <w:sz w:val="18"/>
        </w:rPr>
        <w:t>https://www.gov.uk/employment-rights-for-interns</w:t>
      </w:r>
    </w:p>
    <w:p>
      <w:pPr>
        <w:pStyle w:val="ListBullet"/>
      </w:pPr>
      <w:r>
        <w:rPr>
          <w:rFonts w:ascii="Calibri" w:hAnsi="Calibri"/>
          <w:b/>
          <w:color w:val="102A43"/>
          <w:sz w:val="19"/>
        </w:rPr>
        <w:t xml:space="preserve">GOV.UK work experience and National Minimum Wage guidance: </w:t>
      </w:r>
      <w:r>
        <w:rPr>
          <w:rFonts w:ascii="Calibri" w:hAnsi="Calibri"/>
          <w:b w:val="0"/>
          <w:color w:val="007C83"/>
          <w:sz w:val="18"/>
        </w:rPr>
        <w:t>https://www.gov.uk/guidance/national-minimum-wage-work-experience-and-internships</w:t>
      </w:r>
    </w:p>
    <w:p>
      <w:pPr>
        <w:pStyle w:val="ListBullet"/>
      </w:pPr>
      <w:r>
        <w:rPr>
          <w:rFonts w:ascii="Calibri" w:hAnsi="Calibri"/>
          <w:b/>
          <w:color w:val="102A43"/>
          <w:sz w:val="19"/>
        </w:rPr>
        <w:t xml:space="preserve">GOV.UK sponsor register: </w:t>
      </w:r>
      <w:r>
        <w:rPr>
          <w:rFonts w:ascii="Calibri" w:hAnsi="Calibri"/>
          <w:b w:val="0"/>
          <w:color w:val="007C83"/>
          <w:sz w:val="18"/>
        </w:rPr>
        <w:t>https://www.gov.uk/government/publications/register-of-licensed-sponsors-workers</w:t>
      </w:r>
    </w:p>
    <w:p>
      <w:pPr>
        <w:pStyle w:val="ListBullet"/>
      </w:pPr>
      <w:r>
        <w:rPr>
          <w:rFonts w:ascii="Calibri" w:hAnsi="Calibri"/>
          <w:b/>
          <w:color w:val="102A43"/>
          <w:sz w:val="19"/>
        </w:rPr>
        <w:t xml:space="preserve">GOV.UK Skilled Occupations: </w:t>
      </w:r>
      <w:r>
        <w:rPr>
          <w:rFonts w:ascii="Calibri" w:hAnsi="Calibri"/>
          <w:b w:val="0"/>
          <w:color w:val="007C83"/>
          <w:sz w:val="18"/>
        </w:rPr>
        <w:t>https://www.gov.uk/guidance/immigration-rules/immigration-rules-appendix-skilled-occupations</w:t>
      </w:r>
    </w:p>
    <w:p>
      <w:pPr>
        <w:pStyle w:val="ListBullet"/>
      </w:pPr>
      <w:r>
        <w:rPr>
          <w:rFonts w:ascii="Calibri" w:hAnsi="Calibri"/>
          <w:b/>
          <w:color w:val="102A43"/>
          <w:sz w:val="19"/>
        </w:rPr>
        <w:t xml:space="preserve">ICO anonymisation guidance: </w:t>
      </w:r>
      <w:r>
        <w:rPr>
          <w:rFonts w:ascii="Calibri" w:hAnsi="Calibri"/>
          <w:b w:val="0"/>
          <w:color w:val="007C83"/>
          <w:sz w:val="18"/>
        </w:rPr>
        <w:t>https://ico.org.uk/for-organisations/uk-gdpr-guidance-and-resources/data-sharing/anonymisation/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5DB"/>
          </w:tcPr>
          <w:p>
            <w:pPr>
              <w:spacing w:after="40"/>
            </w:pPr>
            <w:r>
              <w:rPr>
                <w:rFonts w:ascii="Calibri" w:hAnsi="Calibri"/>
                <w:b/>
                <w:color w:val="C9921A"/>
                <w:sz w:val="20"/>
              </w:rPr>
              <w:t xml:space="preserve">CHECK BEFORE USE  </w:t>
            </w:r>
            <w:r>
              <w:rPr>
                <w:rFonts w:ascii="Calibri" w:hAnsi="Calibri"/>
                <w:b w:val="0"/>
                <w:color w:val="1C2530"/>
                <w:sz w:val="21"/>
              </w:rPr>
              <w:t>Certification formats, fees, employment rules, salary thresholds and the sponsor register can change. Re-check the linked official sources before booking an exam, starting a placement or making a sponsorship decision.</w:t>
            </w:r>
          </w:p>
        </w:tc>
      </w:tr>
    </w:tbl>
    <w:p>
      <w:pPr>
        <w:spacing w:after="0"/>
      </w:pPr>
    </w:p>
    <w:sectPr w:rsidR="00FC693F" w:rsidRPr="0006063C" w:rsidSect="00034616">
      <w:headerReference w:type="default" r:id="rId9"/>
      <w:footerReference w:type="default" r:id="rId10"/>
      <w:pgSz w:w="12240" w:h="15840"/>
      <w:pgMar w:top="1123"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olor w:val="5B6673"/>
        <w:sz w:val="17"/>
      </w:rPr>
      <w:t xml:space="preserve">ADVANTCORE BA CAREER ACCELERATOR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673"/>
        <w:sz w:val="17"/>
      </w:rPr>
      <w:t>PROGRAMME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C25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7C8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Advantcore BA Programme Handbook</dc:title>
  <dc:subject>Advantcore Business Analyst Career Accelerator</dc:subject>
  <dc:creator>Advantcore Ltd</dc:creator>
  <cp:keywords>business analysis, BCS, work experience, portfolio, career</cp:keywords>
  <dc:description>generated by python-docx</dc:description>
  <cp:lastModifiedBy/>
  <cp:revision>1</cp:revision>
  <dcterms:created xsi:type="dcterms:W3CDTF">2013-12-23T23:15:00Z</dcterms:created>
  <dcterms:modified xsi:type="dcterms:W3CDTF">2013-12-23T23:15:00Z</dcterms:modified>
  <cp:category/>
</cp:coreProperties>
</file>