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0" w:line="250" w:lineRule="auto"/>
      </w:pPr>
      <w:r>
        <w:rPr>
          <w:rFonts w:ascii="Aptos Display" w:hAnsi="Aptos Display" w:cs="Aptos Display"/>
          <w:b/>
          <w:i w:val="0"/>
          <w:color w:val="16324F"/>
          <w:sz w:val="44"/>
        </w:rPr>
        <w:t>Project Cashflow: Standard Operating Procedure</w:t>
      </w:r>
    </w:p>
    <w:p>
      <w:pPr>
        <w:spacing w:before="0" w:after="60" w:line="250" w:lineRule="auto"/>
      </w:pPr>
      <w:r>
        <w:rPr>
          <w:rFonts w:ascii="Aptos Display" w:hAnsi="Aptos Display" w:cs="Aptos Display"/>
          <w:b/>
          <w:i w:val="0"/>
          <w:color w:val="1C6FB5"/>
          <w:sz w:val="24"/>
        </w:rPr>
        <w:t>How BHF systems projects are set up, run, tracked and closed in the cashflow app</w:t>
      </w:r>
    </w:p>
    <w:p>
      <w:pPr>
        <w:spacing w:before="0" w:after="20" w:line="250" w:lineRule="auto"/>
      </w:pPr>
      <w:r>
        <w:rPr>
          <w:rFonts w:ascii="Aptos" w:hAnsi="Aptos" w:cs="Aptos"/>
          <w:b w:val="0"/>
          <w:i w:val="0"/>
          <w:color w:val="5F6B76"/>
          <w:sz w:val="19"/>
        </w:rPr>
        <w:t>BHF Technologies  ·  Systems projects  ·  Dashboard https://bhf-cashflow.onrender.com</w:t>
      </w:r>
    </w:p>
    <w:p>
      <w:pPr>
        <w:spacing w:before="0" w:after="20" w:line="250" w:lineRule="auto"/>
      </w:pPr>
      <w:r>
        <w:rPr>
          <w:rFonts w:ascii="Aptos" w:hAnsi="Aptos" w:cs="Aptos"/>
          <w:b w:val="0"/>
          <w:i w:val="0"/>
          <w:color w:val="5F6B76"/>
          <w:sz w:val="16"/>
        </w:rPr>
        <w:t>Rev 0   ·   8 October 2026   ·   Owner: Daniel Shub   ·   Internal procedure</w:t>
      </w:r>
    </w:p>
    <w:p>
      <w:pPr>
        <w:spacing w:before="200" w:after="60" w:line="250" w:lineRule="auto"/>
        <w:pBdr>
          <w:bottom w:val="single" w:sz="6" w:space="2" w:color="16324F"/>
        </w:pBdr>
      </w:pPr>
      <w:r>
        <w:rPr>
          <w:rFonts w:ascii="Aptos Display" w:hAnsi="Aptos Display" w:cs="Aptos Display"/>
          <w:b/>
          <w:i w:val="0"/>
          <w:color w:val="16324F"/>
          <w:sz w:val="26"/>
        </w:rPr>
        <w:t>1.  Purpose</w:t>
      </w:r>
    </w:p>
    <w:p>
      <w:pPr>
        <w:spacing w:before="0" w:after="100" w:line="250" w:lineRule="auto"/>
      </w:pPr>
      <w:r>
        <w:rPr>
          <w:rFonts w:ascii="Aptos" w:hAnsi="Aptos" w:cs="Aptos"/>
          <w:b w:val="0"/>
          <w:i w:val="0"/>
          <w:color w:val="222222"/>
          <w:sz w:val="21"/>
        </w:rPr>
        <w:t>Every systems project's money in, money out and cash position is kept up to date without retyping. NetSuite is the source of truth for anything that has happened (POs, bills, invoices, payments). The PM owns the forecast: what is still expected, when, and on what terms. The app joins the two, files the paperwork, and flags what needs a person.</w:t>
      </w:r>
    </w:p>
    <w:p>
      <w:pPr>
        <w:spacing w:before="200" w:after="60" w:line="250" w:lineRule="auto"/>
        <w:pBdr>
          <w:bottom w:val="single" w:sz="6" w:space="2" w:color="16324F"/>
        </w:pBdr>
      </w:pPr>
      <w:r>
        <w:rPr>
          <w:rFonts w:ascii="Aptos Display" w:hAnsi="Aptos Display" w:cs="Aptos Display"/>
          <w:b/>
          <w:i w:val="0"/>
          <w:color w:val="16324F"/>
          <w:sz w:val="26"/>
        </w:rPr>
        <w:t>2.  How it fits together</w:t>
      </w:r>
    </w:p>
    <w:tbl>
      <w:tblPr>
        <w:tblW w:type="auto" w:w="0"/>
        <w:jc w:val="center"/>
        <w:tblLayout w:type="fixed"/>
        <w:tblLook w:firstColumn="1" w:firstRow="1" w:lastColumn="0" w:lastRow="0" w:noHBand="0" w:noVBand="1" w:val="04A0"/>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Pr>
      <w:tblGrid>
        <w:gridCol w:w="3185"/>
        <w:gridCol w:w="3185"/>
        <w:gridCol w:w="3185"/>
      </w:tblGrid>
      <w:tr>
        <w:tc>
          <w:tcPr>
            <w:tcW w:type="dxa" w:w="2041"/>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Part</w:t>
            </w:r>
          </w:p>
        </w:tc>
        <w:tc>
          <w:tcPr>
            <w:tcW w:type="dxa" w:w="6009"/>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What it does</w:t>
            </w:r>
          </w:p>
        </w:tc>
        <w:tc>
          <w:tcPr>
            <w:tcW w:type="dxa" w:w="2041"/>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When</w:t>
            </w:r>
          </w:p>
        </w:tc>
      </w:tr>
      <w:tr>
        <w:tc>
          <w:tcPr>
            <w:tcW w:type="dxa" w:w="2041"/>
            <w:tcMar>
              <w:top w:w="26" w:type="dxa"/>
              <w:bottom w:w="26" w:type="dxa"/>
              <w:start w:w="70" w:type="dxa"/>
              <w:end w:w="70" w:type="dxa"/>
            </w:tcMar>
            <w:vAlign w:val="top"/>
          </w:tcPr>
          <w:p>
            <w:pPr>
              <w:spacing w:after="0" w:line="240" w:lineRule="auto"/>
            </w:pPr>
            <w:r>
              <w:rPr>
                <w:rFonts w:ascii="Aptos" w:hAnsi="Aptos" w:cs="Aptos"/>
                <w:b/>
                <w:i w:val="0"/>
                <w:color w:val="222222"/>
                <w:sz w:val="17"/>
              </w:rPr>
              <w:t>NetSuite</w:t>
            </w:r>
          </w:p>
        </w:tc>
        <w:tc>
          <w:tcPr>
            <w:tcW w:type="dxa" w:w="6009"/>
            <w:tcMar>
              <w:top w:w="26" w:type="dxa"/>
              <w:bottom w:w="26" w:type="dxa"/>
              <w:start w:w="70" w:type="dxa"/>
              <w:end w:w="70" w:type="dxa"/>
            </w:tcMar>
            <w:vAlign w:val="top"/>
          </w:tcPr>
          <w:p>
            <w:pPr>
              <w:spacing w:after="0" w:line="240" w:lineRule="auto"/>
            </w:pPr>
            <w:r>
              <w:rPr>
                <w:rFonts w:ascii="Aptos" w:hAnsi="Aptos" w:cs="Aptos"/>
                <w:b w:val="0"/>
                <w:i w:val="0"/>
                <w:color w:val="222222"/>
                <w:sz w:val="17"/>
              </w:rPr>
              <w:t>Source of truth for POs, bills, invoices, payments and the P&amp;L.</w:t>
            </w:r>
          </w:p>
        </w:tc>
        <w:tc>
          <w:tcPr>
            <w:tcW w:type="dxa" w:w="2041"/>
            <w:tcMar>
              <w:top w:w="26" w:type="dxa"/>
              <w:bottom w:w="26" w:type="dxa"/>
              <w:start w:w="70" w:type="dxa"/>
              <w:end w:w="70" w:type="dxa"/>
            </w:tcMar>
            <w:vAlign w:val="top"/>
          </w:tcPr>
          <w:p>
            <w:pPr>
              <w:spacing w:after="0" w:line="240" w:lineRule="auto"/>
            </w:pPr>
            <w:r>
              <w:rPr>
                <w:rFonts w:ascii="Aptos" w:hAnsi="Aptos" w:cs="Aptos"/>
                <w:b w:val="0"/>
                <w:i w:val="0"/>
                <w:color w:val="222222"/>
                <w:sz w:val="17"/>
              </w:rPr>
              <w:t>As accounts work</w:t>
            </w:r>
          </w:p>
        </w:tc>
      </w:tr>
      <w:tr>
        <w:tc>
          <w:tcPr>
            <w:tcW w:type="dxa" w:w="2041"/>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Sync (Render)</w:t>
            </w:r>
          </w:p>
        </w:tc>
        <w:tc>
          <w:tcPr>
            <w:tcW w:type="dxa" w:w="6009"/>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Pulls every document coded to a project into Smartsheet, links it to a forecast line, reads payment terms from PO PDFs, attaches PDFs, adds variation lines, updates each project's cashflow sheet.</w:t>
            </w:r>
          </w:p>
        </w:tc>
        <w:tc>
          <w:tcPr>
            <w:tcW w:type="dxa" w:w="2041"/>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07:00 and 13:00 daily</w:t>
            </w:r>
          </w:p>
        </w:tc>
      </w:tr>
      <w:tr>
        <w:tc>
          <w:tcPr>
            <w:tcW w:type="dxa" w:w="2041"/>
            <w:tcMar>
              <w:top w:w="26" w:type="dxa"/>
              <w:bottom w:w="26" w:type="dxa"/>
              <w:start w:w="70" w:type="dxa"/>
              <w:end w:w="70" w:type="dxa"/>
            </w:tcMar>
            <w:vAlign w:val="top"/>
          </w:tcPr>
          <w:p>
            <w:pPr>
              <w:spacing w:after="0" w:line="240" w:lineRule="auto"/>
            </w:pPr>
            <w:r>
              <w:rPr>
                <w:rFonts w:ascii="Aptos" w:hAnsi="Aptos" w:cs="Aptos"/>
                <w:b/>
                <w:i w:val="0"/>
                <w:color w:val="222222"/>
                <w:sz w:val="17"/>
              </w:rPr>
              <w:t>Smartsheet: 0. Cashflow Database</w:t>
            </w:r>
          </w:p>
        </w:tc>
        <w:tc>
          <w:tcPr>
            <w:tcW w:type="dxa" w:w="6009"/>
            <w:tcMar>
              <w:top w:w="26" w:type="dxa"/>
              <w:bottom w:w="26" w:type="dxa"/>
              <w:start w:w="70" w:type="dxa"/>
              <w:end w:w="70" w:type="dxa"/>
            </w:tcMar>
            <w:vAlign w:val="top"/>
          </w:tcPr>
          <w:p>
            <w:pPr>
              <w:spacing w:after="0" w:line="240" w:lineRule="auto"/>
            </w:pPr>
            <w:r>
              <w:rPr>
                <w:rFonts w:ascii="Aptos" w:hAnsi="Aptos" w:cs="Aptos"/>
                <w:b w:val="0"/>
                <w:i w:val="0"/>
                <w:color w:val="222222"/>
                <w:sz w:val="17"/>
              </w:rPr>
              <w:t>The app's database (3. BHF Systems / 2. Contracted / 0. Cashflow Database): Projects, Forecasts, Transactions, Payment Schedule, Flag Log, Pipeline.</w:t>
            </w:r>
          </w:p>
        </w:tc>
        <w:tc>
          <w:tcPr>
            <w:tcW w:type="dxa" w:w="2041"/>
            <w:tcMar>
              <w:top w:w="26" w:type="dxa"/>
              <w:bottom w:w="26" w:type="dxa"/>
              <w:start w:w="70" w:type="dxa"/>
              <w:end w:w="70" w:type="dxa"/>
            </w:tcMar>
            <w:vAlign w:val="top"/>
          </w:tcPr>
          <w:p>
            <w:pPr>
              <w:spacing w:after="0" w:line="240" w:lineRule="auto"/>
            </w:pPr>
            <w:r>
              <w:rPr>
                <w:rFonts w:ascii="Aptos" w:hAnsi="Aptos" w:cs="Aptos"/>
                <w:b w:val="0"/>
                <w:i w:val="0"/>
                <w:color w:val="222222"/>
                <w:sz w:val="17"/>
              </w:rPr>
              <w:t>Always</w:t>
            </w:r>
          </w:p>
        </w:tc>
      </w:tr>
      <w:tr>
        <w:tc>
          <w:tcPr>
            <w:tcW w:type="dxa" w:w="2041"/>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Project cashflow sheet</w:t>
            </w:r>
          </w:p>
        </w:tc>
        <w:tc>
          <w:tcPr>
            <w:tcW w:type="dxa" w:w="6009"/>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"3. {code} {name} Cashflow" in each job folder. Readable cashflow; forecast lines can be edited or added there.</w:t>
            </w:r>
          </w:p>
        </w:tc>
        <w:tc>
          <w:tcPr>
            <w:tcW w:type="dxa" w:w="2041"/>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Rebuilt each sync</w:t>
            </w:r>
          </w:p>
        </w:tc>
      </w:tr>
      <w:tr>
        <w:tc>
          <w:tcPr>
            <w:tcW w:type="dxa" w:w="2041"/>
            <w:tcMar>
              <w:top w:w="26" w:type="dxa"/>
              <w:bottom w:w="26" w:type="dxa"/>
              <w:start w:w="70" w:type="dxa"/>
              <w:end w:w="70" w:type="dxa"/>
            </w:tcMar>
            <w:vAlign w:val="top"/>
          </w:tcPr>
          <w:p>
            <w:pPr>
              <w:spacing w:after="0" w:line="240" w:lineRule="auto"/>
            </w:pPr>
            <w:r>
              <w:rPr>
                <w:rFonts w:ascii="Aptos" w:hAnsi="Aptos" w:cs="Aptos"/>
                <w:b/>
                <w:i w:val="0"/>
                <w:color w:val="222222"/>
                <w:sz w:val="17"/>
              </w:rPr>
              <w:t>Dashboard</w:t>
            </w:r>
          </w:p>
        </w:tc>
        <w:tc>
          <w:tcPr>
            <w:tcW w:type="dxa" w:w="6009"/>
            <w:tcMar>
              <w:top w:w="26" w:type="dxa"/>
              <w:bottom w:w="26" w:type="dxa"/>
              <w:start w:w="70" w:type="dxa"/>
              <w:end w:w="70" w:type="dxa"/>
            </w:tcMar>
            <w:vAlign w:val="top"/>
          </w:tcPr>
          <w:p>
            <w:pPr>
              <w:spacing w:after="0" w:line="240" w:lineRule="auto"/>
            </w:pPr>
            <w:r>
              <w:rPr>
                <w:rFonts w:ascii="Aptos" w:hAnsi="Aptos" w:cs="Aptos"/>
                <w:b w:val="0"/>
                <w:i w:val="0"/>
                <w:color w:val="222222"/>
                <w:sz w:val="17"/>
              </w:rPr>
              <w:t>https://bhf-cashflow.onrender.com (password sign-in). Overview, FY budget, pipeline, each project, completed jobs.</w:t>
            </w:r>
          </w:p>
        </w:tc>
        <w:tc>
          <w:tcPr>
            <w:tcW w:type="dxa" w:w="2041"/>
            <w:tcMar>
              <w:top w:w="26" w:type="dxa"/>
              <w:bottom w:w="26" w:type="dxa"/>
              <w:start w:w="70" w:type="dxa"/>
              <w:end w:w="70" w:type="dxa"/>
            </w:tcMar>
            <w:vAlign w:val="top"/>
          </w:tcPr>
          <w:p>
            <w:pPr>
              <w:spacing w:after="0" w:line="240" w:lineRule="auto"/>
            </w:pPr>
            <w:r>
              <w:rPr>
                <w:rFonts w:ascii="Aptos" w:hAnsi="Aptos" w:cs="Aptos"/>
                <w:b w:val="0"/>
                <w:i w:val="0"/>
                <w:color w:val="222222"/>
                <w:sz w:val="17"/>
              </w:rPr>
              <w:t>Live; Refresh button</w:t>
            </w:r>
          </w:p>
        </w:tc>
      </w:tr>
      <w:tr>
        <w:tc>
          <w:tcPr>
            <w:tcW w:type="dxa" w:w="2041"/>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SharePoint filing</w:t>
            </w:r>
          </w:p>
        </w:tc>
        <w:tc>
          <w:tcPr>
            <w:tcW w:type="dxa" w:w="6009"/>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Files new PO, bill, invoice, expense and stock PDFs into the project's SharePoint folders. Bills are filed as a one-page BHF record of the NetSuite bill.</w:t>
            </w:r>
          </w:p>
        </w:tc>
        <w:tc>
          <w:tcPr>
            <w:tcW w:type="dxa" w:w="2041"/>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07:30 daily (Daniel's PC)</w:t>
            </w:r>
          </w:p>
        </w:tc>
      </w:tr>
    </w:tbl>
    <w:p>
      <w:pPr>
        <w:spacing w:before="0" w:after="80" w:line="250" w:lineRule="auto"/>
      </w:pPr>
      <w:r>
        <w:rPr>
          <w:rFonts w:ascii="Aptos" w:hAnsi="Aptos" w:cs="Aptos"/>
          <w:b w:val="0"/>
          <w:i/>
          <w:color w:val="5F6B76"/>
          <w:sz w:val="17"/>
        </w:rPr>
        <w:t>Filing runs on a PC because SharePoint is reached through OneDrive sync. Task: "BHF Cashflow PDF filing" in Windows Task Scheduler; log: filing.log in the app folder.</w:t>
      </w:r>
    </w:p>
    <w:p>
      <w:pPr>
        <w:spacing w:before="200" w:after="60" w:line="250" w:lineRule="auto"/>
        <w:pBdr>
          <w:bottom w:val="single" w:sz="6" w:space="2" w:color="16324F"/>
        </w:pBdr>
      </w:pPr>
      <w:r>
        <w:rPr>
          <w:rFonts w:ascii="Aptos Display" w:hAnsi="Aptos Display" w:cs="Aptos Display"/>
          <w:b/>
          <w:i w:val="0"/>
          <w:color w:val="16324F"/>
          <w:sz w:val="26"/>
        </w:rPr>
        <w:t>3.  Who does what</w:t>
      </w:r>
    </w:p>
    <w:tbl>
      <w:tblPr>
        <w:tblW w:type="auto" w:w="0"/>
        <w:jc w:val="center"/>
        <w:tblLayout w:type="fixed"/>
        <w:tblLook w:firstColumn="1" w:firstRow="1" w:lastColumn="0" w:lastRow="0" w:noHBand="0" w:noVBand="1" w:val="04A0"/>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Pr>
      <w:tblGrid>
        <w:gridCol w:w="4778"/>
        <w:gridCol w:w="4778"/>
      </w:tblGrid>
      <w:tr>
        <w:tc>
          <w:tcPr>
            <w:tcW w:type="dxa" w:w="2041"/>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Role</w:t>
            </w:r>
          </w:p>
        </w:tc>
        <w:tc>
          <w:tcPr>
            <w:tcW w:type="dxa" w:w="8050"/>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Responsible for</w:t>
            </w:r>
          </w:p>
        </w:tc>
      </w:tr>
      <w:tr>
        <w:tc>
          <w:tcPr>
            <w:tcW w:type="dxa" w:w="2041"/>
            <w:tcMar>
              <w:top w:w="26" w:type="dxa"/>
              <w:bottom w:w="26" w:type="dxa"/>
              <w:start w:w="70" w:type="dxa"/>
              <w:end w:w="70" w:type="dxa"/>
            </w:tcMar>
            <w:vAlign w:val="top"/>
          </w:tcPr>
          <w:p>
            <w:pPr>
              <w:spacing w:after="0" w:line="240" w:lineRule="auto"/>
            </w:pPr>
            <w:r>
              <w:rPr>
                <w:rFonts w:ascii="Aptos" w:hAnsi="Aptos" w:cs="Aptos"/>
                <w:b/>
                <w:i w:val="0"/>
                <w:color w:val="222222"/>
                <w:sz w:val="17"/>
              </w:rPr>
              <w:t>Project manager</w:t>
            </w:r>
          </w:p>
        </w:tc>
        <w:tc>
          <w:tcPr>
            <w:tcW w:type="dxa" w:w="8050"/>
            <w:tcMar>
              <w:top w:w="26" w:type="dxa"/>
              <w:bottom w:w="26" w:type="dxa"/>
              <w:start w:w="70" w:type="dxa"/>
              <w:end w:w="70" w:type="dxa"/>
            </w:tcMar>
            <w:vAlign w:val="top"/>
          </w:tcPr>
          <w:p>
            <w:pPr>
              <w:spacing w:after="0" w:line="240" w:lineRule="auto"/>
            </w:pPr>
            <w:r>
              <w:rPr>
                <w:rFonts w:ascii="Aptos" w:hAnsi="Aptos" w:cs="Aptos"/>
                <w:b w:val="0"/>
                <w:i w:val="0"/>
                <w:color w:val="222222"/>
                <w:sz w:val="17"/>
              </w:rPr>
              <w:t>Creates the job folder (SharePoint or Smartsheet) with the costing in it at award (section 4); checks the set-up; keeps forecast lines, expected dates and customer milestones right; clears Needs attention weekly; sets the P&amp;L timeline.</w:t>
            </w:r>
          </w:p>
        </w:tc>
      </w:tr>
      <w:tr>
        <w:tc>
          <w:tcPr>
            <w:tcW w:type="dxa" w:w="2041"/>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Accounts</w:t>
            </w:r>
          </w:p>
        </w:tc>
        <w:tc>
          <w:tcPr>
            <w:tcW w:type="dxa" w:w="8050"/>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Codes every document to the project in NetSuite; follows the NetSuite rules (section 5); closes POs and tags documents when the dashboard asks; runs month-end flattening journals.</w:t>
            </w:r>
          </w:p>
        </w:tc>
      </w:tr>
      <w:tr>
        <w:tc>
          <w:tcPr>
            <w:tcW w:type="dxa" w:w="2041"/>
            <w:tcMar>
              <w:top w:w="26" w:type="dxa"/>
              <w:bottom w:w="26" w:type="dxa"/>
              <w:start w:w="70" w:type="dxa"/>
              <w:end w:w="70" w:type="dxa"/>
            </w:tcMar>
            <w:vAlign w:val="top"/>
          </w:tcPr>
          <w:p>
            <w:pPr>
              <w:spacing w:after="0" w:line="240" w:lineRule="auto"/>
            </w:pPr>
            <w:r>
              <w:rPr>
                <w:rFonts w:ascii="Aptos" w:hAnsi="Aptos" w:cs="Aptos"/>
                <w:b/>
                <w:i w:val="0"/>
                <w:color w:val="222222"/>
                <w:sz w:val="17"/>
              </w:rPr>
              <w:t>Sales / BD</w:t>
            </w:r>
          </w:p>
        </w:tc>
        <w:tc>
          <w:tcPr>
            <w:tcW w:type="dxa" w:w="8050"/>
            <w:tcMar>
              <w:top w:w="26" w:type="dxa"/>
              <w:bottom w:w="26" w:type="dxa"/>
              <w:start w:w="70" w:type="dxa"/>
              <w:end w:w="70" w:type="dxa"/>
            </w:tcMar>
            <w:vAlign w:val="top"/>
          </w:tcPr>
          <w:p>
            <w:pPr>
              <w:spacing w:after="0" w:line="240" w:lineRule="auto"/>
            </w:pPr>
            <w:r>
              <w:rPr>
                <w:rFonts w:ascii="Aptos" w:hAnsi="Aptos" w:cs="Aptos"/>
                <w:b w:val="0"/>
                <w:i w:val="0"/>
                <w:color w:val="222222"/>
                <w:sz w:val="17"/>
              </w:rPr>
              <w:t>Keeps the Enquiries Pipeline Mastersheet current (value, likelihood, timing).</w:t>
            </w:r>
          </w:p>
        </w:tc>
      </w:tr>
      <w:tr>
        <w:tc>
          <w:tcPr>
            <w:tcW w:type="dxa" w:w="2041"/>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Daniel (app owner)</w:t>
            </w:r>
          </w:p>
        </w:tc>
        <w:tc>
          <w:tcPr>
            <w:tcW w:type="dxa" w:w="8050"/>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Render, NetSuite access, the filing PC, budget and pipeline settings, changes to the app.</w:t>
            </w:r>
          </w:p>
        </w:tc>
      </w:tr>
    </w:tbl>
    <w:p>
      <w:pPr>
        <w:spacing w:before="200" w:after="60" w:line="250" w:lineRule="auto"/>
        <w:pBdr>
          <w:bottom w:val="single" w:sz="6" w:space="2" w:color="16324F"/>
        </w:pBdr>
      </w:pPr>
      <w:r>
        <w:rPr>
          <w:rFonts w:ascii="Aptos Display" w:hAnsi="Aptos Display" w:cs="Aptos Display"/>
          <w:b/>
          <w:i w:val="0"/>
          <w:color w:val="16324F"/>
          <w:sz w:val="26"/>
        </w:rPr>
        <w:t>4.  Starting a project: the bare minimum</w:t>
      </w:r>
    </w:p>
    <w:p>
      <w:pPr>
        <w:spacing w:before="0" w:after="100" w:line="250" w:lineRule="auto"/>
      </w:pPr>
      <w:r>
        <w:rPr>
          <w:rFonts w:ascii="Aptos" w:hAnsi="Aptos" w:cs="Aptos"/>
          <w:b w:val="0"/>
          <w:i w:val="0"/>
          <w:color w:val="222222"/>
          <w:sz w:val="21"/>
        </w:rPr>
        <w:t>One step, by the PM at award: a new job folder with the costing in it, in either place. Nothing else is needed, and NetSuite does not have to exist yet.</w:t>
      </w:r>
    </w:p>
    <w:tbl>
      <w:tblPr>
        <w:tblW w:type="auto" w:w="0"/>
        <w:jc w:val="center"/>
        <w:tblLayout w:type="fixed"/>
        <w:tblLook w:firstColumn="1" w:firstRow="1" w:lastColumn="0" w:lastRow="0" w:noHBand="0" w:noVBand="1" w:val="04A0"/>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Pr>
      <w:tblGrid>
        <w:gridCol w:w="3185"/>
        <w:gridCol w:w="3185"/>
        <w:gridCol w:w="3185"/>
      </w:tblGrid>
      <w:tr>
        <w:tc>
          <w:tcPr>
            <w:tcW w:type="dxa" w:w="1474"/>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Either</w:t>
            </w:r>
          </w:p>
        </w:tc>
        <w:tc>
          <w:tcPr>
            <w:tcW w:type="dxa" w:w="6690"/>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What must exist</w:t>
            </w:r>
          </w:p>
        </w:tc>
        <w:tc>
          <w:tcPr>
            <w:tcW w:type="dxa" w:w="1928"/>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Who</w:t>
            </w:r>
          </w:p>
        </w:tc>
      </w:tr>
      <w:tr>
        <w:tc>
          <w:tcPr>
            <w:tcW w:type="dxa" w:w="1474"/>
            <w:tcMar>
              <w:top w:w="26" w:type="dxa"/>
              <w:bottom w:w="26" w:type="dxa"/>
              <w:start w:w="70" w:type="dxa"/>
              <w:end w:w="70" w:type="dxa"/>
            </w:tcMar>
            <w:vAlign w:val="top"/>
          </w:tcPr>
          <w:p>
            <w:pPr>
              <w:spacing w:after="0" w:line="240" w:lineRule="auto"/>
            </w:pPr>
            <w:r>
              <w:rPr>
                <w:rFonts w:ascii="Aptos" w:hAnsi="Aptos" w:cs="Aptos"/>
                <w:b/>
                <w:i w:val="0"/>
                <w:color w:val="222222"/>
                <w:sz w:val="17"/>
              </w:rPr>
              <w:t>SharePoint</w:t>
            </w:r>
          </w:p>
        </w:tc>
        <w:tc>
          <w:tcPr>
            <w:tcW w:type="dxa" w:w="6690"/>
            <w:tcMar>
              <w:top w:w="26" w:type="dxa"/>
              <w:bottom w:w="26" w:type="dxa"/>
              <w:start w:w="70" w:type="dxa"/>
              <w:end w:w="70" w:type="dxa"/>
            </w:tcMar>
            <w:vAlign w:val="top"/>
          </w:tcPr>
          <w:p>
            <w:pPr>
              <w:spacing w:after="0" w:line="240" w:lineRule="auto"/>
            </w:pPr>
            <w:r>
              <w:rPr>
                <w:rFonts w:ascii="Aptos" w:hAnsi="Aptos" w:cs="Aptos"/>
                <w:b w:val="0"/>
                <w:i w:val="0"/>
                <w:color w:val="222222"/>
                <w:sz w:val="17"/>
              </w:rPr>
              <w:t>The job's folder in 6.0 Projects / 2.0 Projects Contracted, named "BHF26xxx Project name", with the costing saved in it (1.0 Working Folder / 0.3 Costing &amp; Cashflow, or anywhere in the folder).</w:t>
            </w:r>
          </w:p>
        </w:tc>
        <w:tc>
          <w:tcPr>
            <w:tcW w:type="dxa" w:w="1928"/>
            <w:tcMar>
              <w:top w:w="26" w:type="dxa"/>
              <w:bottom w:w="26" w:type="dxa"/>
              <w:start w:w="70" w:type="dxa"/>
              <w:end w:w="70" w:type="dxa"/>
            </w:tcMar>
            <w:vAlign w:val="top"/>
          </w:tcPr>
          <w:p>
            <w:pPr>
              <w:spacing w:after="0" w:line="240" w:lineRule="auto"/>
            </w:pPr>
            <w:r>
              <w:rPr>
                <w:rFonts w:ascii="Aptos" w:hAnsi="Aptos" w:cs="Aptos"/>
                <w:b w:val="0"/>
                <w:i w:val="0"/>
                <w:color w:val="222222"/>
                <w:sz w:val="17"/>
              </w:rPr>
              <w:t>PM, at award</w:t>
            </w:r>
          </w:p>
        </w:tc>
      </w:tr>
      <w:tr>
        <w:tc>
          <w:tcPr>
            <w:tcW w:type="dxa" w:w="1474"/>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Smartsheet</w:t>
            </w:r>
          </w:p>
        </w:tc>
        <w:tc>
          <w:tcPr>
            <w:tcW w:type="dxa" w:w="6690"/>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The job's folder in 3. BHF Systems / 2. Contracted, copied from "BHF Project Contracted Template" and named "BHF26xxx Project name", with the costing workbook attached (paperclip) to any sheet in it.</w:t>
            </w:r>
          </w:p>
        </w:tc>
        <w:tc>
          <w:tcPr>
            <w:tcW w:type="dxa" w:w="1928"/>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PM, at award</w:t>
            </w:r>
          </w:p>
        </w:tc>
      </w:tr>
    </w:tbl>
    <w:p>
      <w:pPr>
        <w:spacing w:before="0" w:after="100" w:line="250" w:lineRule="auto"/>
      </w:pPr>
      <w:r>
        <w:rPr>
          <w:rFonts w:ascii="Aptos" w:hAnsi="Aptos" w:cs="Aptos"/>
          <w:b w:val="0"/>
          <w:i w:val="0"/>
          <w:color w:val="222222"/>
          <w:sz w:val="21"/>
        </w:rPr>
        <w:t>By the next morning (07:30 run, or straight away with  python -m bhf.setup_projects  on the filing PC) the app builds the projected cashflow from the costing, exactly as costed:</w:t>
      </w:r>
    </w:p>
    <w:tbl>
      <w:tblPr>
        <w:tblW w:type="auto" w:w="0"/>
        <w:jc w:val="center"/>
        <w:tblLayout w:type="fixed"/>
        <w:tblLook w:firstColumn="1" w:firstRow="1" w:lastColumn="0" w:lastRow="0" w:noHBand="0" w:noVBand="1" w:val="04A0"/>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Pr>
      <w:tblGrid>
        <w:gridCol w:w="4778"/>
        <w:gridCol w:w="4778"/>
      </w:tblGrid>
      <w:tr>
        <w:tc>
          <w:tcPr>
            <w:tcW w:type="dxa" w:w="3969"/>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From</w:t>
            </w:r>
          </w:p>
        </w:tc>
        <w:tc>
          <w:tcPr>
            <w:tcW w:type="dxa" w:w="6123"/>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Becomes</w:t>
            </w:r>
          </w:p>
        </w:tc>
      </w:tr>
      <w:tr>
        <w:tc>
          <w:tcPr>
            <w:tcW w:type="dxa" w:w="3969"/>
            <w:tcMar>
              <w:top w:w="26" w:type="dxa"/>
              <w:bottom w:w="26" w:type="dxa"/>
              <w:start w:w="70" w:type="dxa"/>
              <w:end w:w="70" w:type="dxa"/>
            </w:tcMar>
            <w:vAlign w:val="top"/>
          </w:tcPr>
          <w:p>
            <w:pPr>
              <w:spacing w:after="0" w:line="240" w:lineRule="auto"/>
            </w:pPr>
            <w:r>
              <w:rPr>
                <w:rFonts w:ascii="Aptos" w:hAnsi="Aptos" w:cs="Aptos"/>
                <w:b/>
                <w:i w:val="0"/>
                <w:color w:val="222222"/>
                <w:sz w:val="17"/>
              </w:rPr>
              <w:t>Each costing line with a cost (options not taken are skipped)</w:t>
            </w:r>
          </w:p>
        </w:tc>
        <w:tc>
          <w:tcPr>
            <w:tcW w:type="dxa" w:w="6123"/>
            <w:tcMar>
              <w:top w:w="26" w:type="dxa"/>
              <w:bottom w:w="26" w:type="dxa"/>
              <w:start w:w="70" w:type="dxa"/>
              <w:end w:w="70" w:type="dxa"/>
            </w:tcMar>
            <w:vAlign w:val="top"/>
          </w:tcPr>
          <w:p>
            <w:pPr>
              <w:spacing w:after="0" w:line="240" w:lineRule="auto"/>
            </w:pPr>
            <w:r>
              <w:rPr>
                <w:rFonts w:ascii="Aptos" w:hAnsi="Aptos" w:cs="Aptos"/>
                <w:b w:val="0"/>
                <w:i w:val="0"/>
                <w:color w:val="222222"/>
                <w:sz w:val="17"/>
              </w:rPr>
              <w:t>One outgoing forecast line: item, supplier and extended cost as costed; section and description in Notes.</w:t>
            </w:r>
          </w:p>
        </w:tc>
      </w:tr>
      <w:tr>
        <w:tc>
          <w:tcPr>
            <w:tcW w:type="dxa" w:w="3969"/>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Lines charged at $800/day (PM, engineering, procurement, commissioning)</w:t>
            </w:r>
          </w:p>
        </w:tc>
        <w:tc>
          <w:tcPr>
            <w:tcW w:type="dxa" w:w="6123"/>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Internal Labour (BHF time, not cash out).</w:t>
            </w:r>
          </w:p>
        </w:tc>
      </w:tr>
      <w:tr>
        <w:tc>
          <w:tcPr>
            <w:tcW w:type="dxa" w:w="3969"/>
            <w:tcMar>
              <w:top w:w="26" w:type="dxa"/>
              <w:bottom w:w="26" w:type="dxa"/>
              <w:start w:w="70" w:type="dxa"/>
              <w:end w:w="70" w:type="dxa"/>
            </w:tcMar>
            <w:vAlign w:val="top"/>
          </w:tcPr>
          <w:p>
            <w:pPr>
              <w:spacing w:after="0" w:line="240" w:lineRule="auto"/>
            </w:pPr>
            <w:r>
              <w:rPr>
                <w:rFonts w:ascii="Aptos" w:hAnsi="Aptos" w:cs="Aptos"/>
                <w:b/>
                <w:i w:val="0"/>
                <w:color w:val="222222"/>
                <w:sz w:val="17"/>
              </w:rPr>
              <w:t>The costing's bid price</w:t>
            </w:r>
          </w:p>
        </w:tc>
        <w:tc>
          <w:tcPr>
            <w:tcW w:type="dxa" w:w="6123"/>
            <w:tcMar>
              <w:top w:w="26" w:type="dxa"/>
              <w:bottom w:w="26" w:type="dxa"/>
              <w:start w:w="70" w:type="dxa"/>
              <w:end w:w="70" w:type="dxa"/>
            </w:tcMar>
            <w:vAlign w:val="top"/>
          </w:tcPr>
          <w:p>
            <w:pPr>
              <w:spacing w:after="0" w:line="240" w:lineRule="auto"/>
            </w:pPr>
            <w:r>
              <w:rPr>
                <w:rFonts w:ascii="Aptos" w:hAnsi="Aptos" w:cs="Aptos"/>
                <w:b w:val="0"/>
                <w:i w:val="0"/>
                <w:color w:val="222222"/>
                <w:sz w:val="17"/>
              </w:rPr>
              <w:t>Contract Value and the incoming "Main contract" line.</w:t>
            </w:r>
          </w:p>
        </w:tc>
      </w:tr>
    </w:tbl>
    <w:p>
      <w:pPr>
        <w:spacing w:before="0" w:after="100" w:line="250" w:lineRule="auto"/>
      </w:pPr>
      <w:r>
        <w:rPr>
          <w:rFonts w:ascii="Aptos" w:hAnsi="Aptos" w:cs="Aptos"/>
          <w:b w:val="0"/>
          <w:i w:val="0"/>
          <w:color w:val="222222"/>
          <w:sz w:val="21"/>
        </w:rPr>
        <w:t>When accounts create the job in NetSuite and raise its first document, the app finds it by its code and links it. From then on POs, bills and invoices flow in, and once the sales order is raised its total replaces the bid price (unless the PM has already changed it).</w:t>
      </w:r>
    </w:p>
    <w:p>
      <w:pPr>
        <w:spacing w:before="0" w:after="100" w:line="250" w:lineRule="auto"/>
      </w:pPr>
      <w:r>
        <w:rPr>
          <w:rFonts w:ascii="Aptos" w:hAnsi="Aptos" w:cs="Aptos"/>
          <w:b w:val="0"/>
          <w:i w:val="0"/>
          <w:color w:val="222222"/>
          <w:sz w:val="21"/>
        </w:rPr>
        <w:t>The PM then checks the project on the dashboard (it shows "New project" under Needs attention): the lines, the customer PO number and payment milestones on Main contract, and the P&amp;L start month and total timeline, then acknowledges it. Accounts code every document to the job (section 5) and, for a new customer, create its Unearned Income and WIP accounts.</w:t>
      </w:r>
    </w:p>
    <w:p>
      <w:pPr>
        <w:spacing w:before="0" w:after="100" w:line="250" w:lineRule="auto"/>
      </w:pPr>
      <w:r>
        <w:rPr>
          <w:rFonts w:ascii="Aptos" w:hAnsi="Aptos" w:cs="Aptos"/>
          <w:b w:val="0"/>
          <w:i/>
          <w:color w:val="222222"/>
          <w:sz w:val="21"/>
        </w:rPr>
        <w:t>Starting from SharePoint, the app copies the Smartsheet template folder for the job. Only SharePoint folders made in the last 120 days count, so old folders never set themselves up. Safeguard: All live projects lists any NetSuite job with recent documents that is not on the app yet.</w:t>
      </w:r>
    </w:p>
    <w:p>
      <w:pPr>
        <w:spacing w:before="200" w:after="60" w:line="250" w:lineRule="auto"/>
        <w:pBdr>
          <w:bottom w:val="single" w:sz="6" w:space="2" w:color="16324F"/>
        </w:pBdr>
      </w:pPr>
      <w:r>
        <w:rPr>
          <w:rFonts w:ascii="Aptos Display" w:hAnsi="Aptos Display" w:cs="Aptos Display"/>
          <w:b/>
          <w:i w:val="0"/>
          <w:color w:val="16324F"/>
          <w:sz w:val="26"/>
        </w:rPr>
        <w:t>5.  NetSuite rules (accounts)</w:t>
      </w:r>
    </w:p>
    <w:tbl>
      <w:tblPr>
        <w:tblW w:type="auto" w:w="0"/>
        <w:jc w:val="center"/>
        <w:tblLayout w:type="fixed"/>
        <w:tblLook w:firstColumn="1" w:firstRow="1" w:lastColumn="0" w:lastRow="0" w:noHBand="0" w:noVBand="1" w:val="04A0"/>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Pr>
      <w:tblGrid>
        <w:gridCol w:w="4778"/>
        <w:gridCol w:w="4778"/>
      </w:tblGrid>
      <w:tr>
        <w:tc>
          <w:tcPr>
            <w:tcW w:type="dxa" w:w="3969"/>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Rule</w:t>
            </w:r>
          </w:p>
        </w:tc>
        <w:tc>
          <w:tcPr>
            <w:tcW w:type="dxa" w:w="6123"/>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Why</w:t>
            </w:r>
          </w:p>
        </w:tc>
      </w:tr>
      <w:tr>
        <w:tc>
          <w:tcPr>
            <w:tcW w:type="dxa" w:w="3969"/>
            <w:tcMar>
              <w:top w:w="26" w:type="dxa"/>
              <w:bottom w:w="26" w:type="dxa"/>
              <w:start w:w="70" w:type="dxa"/>
              <w:end w:w="70" w:type="dxa"/>
            </w:tcMar>
            <w:vAlign w:val="top"/>
          </w:tcPr>
          <w:p>
            <w:pPr>
              <w:spacing w:after="0" w:line="240" w:lineRule="auto"/>
            </w:pPr>
            <w:r>
              <w:rPr>
                <w:rFonts w:ascii="Aptos" w:hAnsi="Aptos" w:cs="Aptos"/>
                <w:b/>
                <w:i w:val="0"/>
                <w:color w:val="222222"/>
                <w:sz w:val="17"/>
              </w:rPr>
              <w:t>Every PO, bill, expense claim and stock issue has the Project set</w:t>
            </w:r>
          </w:p>
        </w:tc>
        <w:tc>
          <w:tcPr>
            <w:tcW w:type="dxa" w:w="6123"/>
            <w:tcMar>
              <w:top w:w="26" w:type="dxa"/>
              <w:bottom w:w="26" w:type="dxa"/>
              <w:start w:w="70" w:type="dxa"/>
              <w:end w:w="70" w:type="dxa"/>
            </w:tcMar>
            <w:vAlign w:val="top"/>
          </w:tcPr>
          <w:p>
            <w:pPr>
              <w:spacing w:after="0" w:line="240" w:lineRule="auto"/>
            </w:pPr>
            <w:r>
              <w:rPr>
                <w:rFonts w:ascii="Aptos" w:hAnsi="Aptos" w:cs="Aptos"/>
                <w:b w:val="0"/>
                <w:i w:val="0"/>
                <w:color w:val="222222"/>
                <w:sz w:val="17"/>
              </w:rPr>
              <w:t>It is how the sync finds it. Uncoded documents never appear (the dashboard flags likely ones as Untagged in NS).</w:t>
            </w:r>
          </w:p>
        </w:tc>
      </w:tr>
      <w:tr>
        <w:tc>
          <w:tcPr>
            <w:tcW w:type="dxa" w:w="3969"/>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Customer invoices carry the customer PO number</w:t>
            </w:r>
          </w:p>
        </w:tc>
        <w:tc>
          <w:tcPr>
            <w:tcW w:type="dxa" w:w="6123"/>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Links invoices to the contract line; a new PO number creates a variation line automatically.</w:t>
            </w:r>
          </w:p>
        </w:tc>
      </w:tr>
      <w:tr>
        <w:tc>
          <w:tcPr>
            <w:tcW w:type="dxa" w:w="3969"/>
            <w:tcMar>
              <w:top w:w="26" w:type="dxa"/>
              <w:bottom w:w="26" w:type="dxa"/>
              <w:start w:w="70" w:type="dxa"/>
              <w:end w:w="70" w:type="dxa"/>
            </w:tcMar>
            <w:vAlign w:val="top"/>
          </w:tcPr>
          <w:p>
            <w:pPr>
              <w:spacing w:after="0" w:line="240" w:lineRule="auto"/>
            </w:pPr>
            <w:r>
              <w:rPr>
                <w:rFonts w:ascii="Aptos" w:hAnsi="Aptos" w:cs="Aptos"/>
                <w:b/>
                <w:i w:val="0"/>
                <w:color w:val="222222"/>
                <w:sz w:val="17"/>
              </w:rPr>
              <w:t>POs state the payment terms ("30% deposit, 35% FAT ...")</w:t>
            </w:r>
          </w:p>
        </w:tc>
        <w:tc>
          <w:tcPr>
            <w:tcW w:type="dxa" w:w="6123"/>
            <w:tcMar>
              <w:top w:w="26" w:type="dxa"/>
              <w:bottom w:w="26" w:type="dxa"/>
              <w:start w:w="70" w:type="dxa"/>
              <w:end w:w="70" w:type="dxa"/>
            </w:tcMar>
            <w:vAlign w:val="top"/>
          </w:tcPr>
          <w:p>
            <w:pPr>
              <w:spacing w:after="0" w:line="240" w:lineRule="auto"/>
            </w:pPr>
            <w:r>
              <w:rPr>
                <w:rFonts w:ascii="Aptos" w:hAnsi="Aptos" w:cs="Aptos"/>
                <w:b w:val="0"/>
                <w:i w:val="0"/>
                <w:color w:val="222222"/>
                <w:sz w:val="17"/>
              </w:rPr>
              <w:t>They are read off the PO PDF into the payment schedule.</w:t>
            </w:r>
          </w:p>
        </w:tc>
      </w:tr>
      <w:tr>
        <w:tc>
          <w:tcPr>
            <w:tcW w:type="dxa" w:w="3969"/>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Bills are raised from the PO (Bill button on the PO)</w:t>
            </w:r>
          </w:p>
        </w:tc>
        <w:tc>
          <w:tcPr>
            <w:tcW w:type="dxa" w:w="6123"/>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Links bills to POs and milestones.</w:t>
            </w:r>
          </w:p>
        </w:tc>
      </w:tr>
      <w:tr>
        <w:tc>
          <w:tcPr>
            <w:tcW w:type="dxa" w:w="3969"/>
            <w:tcMar>
              <w:top w:w="26" w:type="dxa"/>
              <w:bottom w:w="26" w:type="dxa"/>
              <w:start w:w="70" w:type="dxa"/>
              <w:end w:w="70" w:type="dxa"/>
            </w:tcMar>
            <w:vAlign w:val="top"/>
          </w:tcPr>
          <w:p>
            <w:pPr>
              <w:spacing w:after="0" w:line="240" w:lineRule="auto"/>
            </w:pPr>
            <w:r>
              <w:rPr>
                <w:rFonts w:ascii="Aptos" w:hAnsi="Aptos" w:cs="Aptos"/>
                <w:b/>
                <w:i w:val="0"/>
                <w:color w:val="222222"/>
                <w:sz w:val="17"/>
              </w:rPr>
              <w:t>Close POs that are finished or cancelled</w:t>
            </w:r>
          </w:p>
        </w:tc>
        <w:tc>
          <w:tcPr>
            <w:tcW w:type="dxa" w:w="6123"/>
            <w:tcMar>
              <w:top w:w="26" w:type="dxa"/>
              <w:bottom w:w="26" w:type="dxa"/>
              <w:start w:w="70" w:type="dxa"/>
              <w:end w:w="70" w:type="dxa"/>
            </w:tcMar>
            <w:vAlign w:val="top"/>
          </w:tcPr>
          <w:p>
            <w:pPr>
              <w:spacing w:after="0" w:line="240" w:lineRule="auto"/>
            </w:pPr>
            <w:r>
              <w:rPr>
                <w:rFonts w:ascii="Aptos" w:hAnsi="Aptos" w:cs="Aptos"/>
                <w:b w:val="0"/>
                <w:i w:val="0"/>
                <w:color w:val="222222"/>
                <w:sz w:val="17"/>
              </w:rPr>
              <w:t>Otherwise they show as open commitment (flagged Close PO in NS).</w:t>
            </w:r>
          </w:p>
        </w:tc>
      </w:tr>
      <w:tr>
        <w:tc>
          <w:tcPr>
            <w:tcW w:type="dxa" w:w="3969"/>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Bills keep the supplier's invoice number</w:t>
            </w:r>
          </w:p>
        </w:tc>
        <w:tc>
          <w:tcPr>
            <w:tcW w:type="dxa" w:w="6123"/>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Bills without one show as "no ref #ID".</w:t>
            </w:r>
          </w:p>
        </w:tc>
      </w:tr>
      <w:tr>
        <w:tc>
          <w:tcPr>
            <w:tcW w:type="dxa" w:w="3969"/>
            <w:tcMar>
              <w:top w:w="26" w:type="dxa"/>
              <w:bottom w:w="26" w:type="dxa"/>
              <w:start w:w="70" w:type="dxa"/>
              <w:end w:w="70" w:type="dxa"/>
            </w:tcMar>
            <w:vAlign w:val="top"/>
          </w:tcPr>
          <w:p>
            <w:pPr>
              <w:spacing w:after="0" w:line="240" w:lineRule="auto"/>
            </w:pPr>
            <w:r>
              <w:rPr>
                <w:rFonts w:ascii="Aptos" w:hAnsi="Aptos" w:cs="Aptos"/>
                <w:b/>
                <w:i w:val="0"/>
                <w:color w:val="222222"/>
                <w:sz w:val="17"/>
              </w:rPr>
              <w:t>Month-end flattening journals by the 10th</w:t>
            </w:r>
          </w:p>
        </w:tc>
        <w:tc>
          <w:tcPr>
            <w:tcW w:type="dxa" w:w="6123"/>
            <w:tcMar>
              <w:top w:w="26" w:type="dxa"/>
              <w:bottom w:w="26" w:type="dxa"/>
              <w:start w:w="70" w:type="dxa"/>
              <w:end w:w="70" w:type="dxa"/>
            </w:tcMar>
            <w:vAlign w:val="top"/>
          </w:tcPr>
          <w:p>
            <w:pPr>
              <w:spacing w:after="0" w:line="240" w:lineRule="auto"/>
            </w:pPr>
            <w:r>
              <w:rPr>
                <w:rFonts w:ascii="Aptos" w:hAnsi="Aptos" w:cs="Aptos"/>
                <w:b w:val="0"/>
                <w:i w:val="0"/>
                <w:color w:val="222222"/>
                <w:sz w:val="17"/>
              </w:rPr>
              <w:t>The P&amp;L tab shows the last journal date, red when last month's has not run.</w:t>
            </w:r>
          </w:p>
        </w:tc>
      </w:tr>
    </w:tbl>
    <w:p>
      <w:pPr>
        <w:spacing w:before="200" w:after="60" w:line="250" w:lineRule="auto"/>
        <w:pBdr>
          <w:bottom w:val="single" w:sz="6" w:space="2" w:color="16324F"/>
        </w:pBdr>
      </w:pPr>
      <w:r>
        <w:rPr>
          <w:rFonts w:ascii="Aptos Display" w:hAnsi="Aptos Display" w:cs="Aptos Display"/>
          <w:b/>
          <w:i w:val="0"/>
          <w:color w:val="16324F"/>
          <w:sz w:val="26"/>
        </w:rPr>
        <w:t>6.  Weekly (PM, about 10 minutes per project)</w:t>
      </w:r>
    </w:p>
    <w:p>
      <w:pPr>
        <w:spacing w:before="0" w:after="100" w:line="250" w:lineRule="auto"/>
      </w:pPr>
      <w:r>
        <w:rPr>
          <w:rFonts w:ascii="Aptos" w:hAnsi="Aptos" w:cs="Aptos"/>
          <w:b w:val="0"/>
          <w:i w:val="0"/>
          <w:color w:val="222222"/>
          <w:sz w:val="21"/>
        </w:rPr>
        <w:t>Open the project on the dashboard, Chart &amp; attention tab. Clear Needs attention: fix the cause, or Acknowledge with a reason (it leaves the list; an overrun comes back if it grows more than 10% + $500).</w:t>
      </w:r>
    </w:p>
    <w:tbl>
      <w:tblPr>
        <w:tblW w:type="auto" w:w="0"/>
        <w:jc w:val="center"/>
        <w:tblLayout w:type="fixed"/>
        <w:tblLook w:firstColumn="1" w:firstRow="1" w:lastColumn="0" w:lastRow="0" w:noHBand="0" w:noVBand="1" w:val="04A0"/>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Pr>
      <w:tblGrid>
        <w:gridCol w:w="4778"/>
        <w:gridCol w:w="4778"/>
      </w:tblGrid>
      <w:tr>
        <w:tc>
          <w:tcPr>
            <w:tcW w:type="dxa" w:w="2835"/>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Flag</w:t>
            </w:r>
          </w:p>
        </w:tc>
        <w:tc>
          <w:tcPr>
            <w:tcW w:type="dxa" w:w="7257"/>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What to do</w:t>
            </w:r>
          </w:p>
        </w:tc>
      </w:tr>
      <w:tr>
        <w:tc>
          <w:tcPr>
            <w:tcW w:type="dxa" w:w="2835"/>
            <w:tcMar>
              <w:top w:w="26" w:type="dxa"/>
              <w:bottom w:w="26" w:type="dxa"/>
              <w:start w:w="70" w:type="dxa"/>
              <w:end w:w="70" w:type="dxa"/>
            </w:tcMar>
            <w:vAlign w:val="top"/>
          </w:tcPr>
          <w:p>
            <w:pPr>
              <w:spacing w:after="0" w:line="240" w:lineRule="auto"/>
            </w:pPr>
            <w:r>
              <w:rPr>
                <w:rFonts w:ascii="Aptos" w:hAnsi="Aptos" w:cs="Aptos"/>
                <w:b/>
                <w:i w:val="0"/>
                <w:color w:val="222222"/>
                <w:sz w:val="17"/>
              </w:rPr>
              <w:t>Unlinked</w:t>
            </w:r>
          </w:p>
        </w:tc>
        <w:tc>
          <w:tcPr>
            <w:tcW w:type="dxa" w:w="7257"/>
            <w:tcMar>
              <w:top w:w="26" w:type="dxa"/>
              <w:bottom w:w="26" w:type="dxa"/>
              <w:start w:w="70" w:type="dxa"/>
              <w:end w:w="70" w:type="dxa"/>
            </w:tcMar>
            <w:vAlign w:val="top"/>
          </w:tcPr>
          <w:p>
            <w:pPr>
              <w:spacing w:after="0" w:line="240" w:lineRule="auto"/>
            </w:pPr>
            <w:r>
              <w:rPr>
                <w:rFonts w:ascii="Aptos" w:hAnsi="Aptos" w:cs="Aptos"/>
                <w:b w:val="0"/>
                <w:i w:val="0"/>
                <w:color w:val="222222"/>
                <w:sz w:val="17"/>
              </w:rPr>
              <w:t>Pick the forecast line from the dropdown (expense claims show after 14 days).</w:t>
            </w:r>
          </w:p>
        </w:tc>
      </w:tr>
      <w:tr>
        <w:tc>
          <w:tcPr>
            <w:tcW w:type="dxa" w:w="2835"/>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Terms</w:t>
            </w:r>
          </w:p>
        </w:tc>
        <w:tc>
          <w:tcPr>
            <w:tcW w:type="dxa" w:w="7257"/>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Type the real split (30/70 or 30% deposit, 70% delivery) and Apply, or Terms are right.</w:t>
            </w:r>
          </w:p>
        </w:tc>
      </w:tr>
      <w:tr>
        <w:tc>
          <w:tcPr>
            <w:tcW w:type="dxa" w:w="2835"/>
            <w:tcMar>
              <w:top w:w="26" w:type="dxa"/>
              <w:bottom w:w="26" w:type="dxa"/>
              <w:start w:w="70" w:type="dxa"/>
              <w:end w:w="70" w:type="dxa"/>
            </w:tcMar>
            <w:vAlign w:val="top"/>
          </w:tcPr>
          <w:p>
            <w:pPr>
              <w:spacing w:after="0" w:line="240" w:lineRule="auto"/>
            </w:pPr>
            <w:r>
              <w:rPr>
                <w:rFonts w:ascii="Aptos" w:hAnsi="Aptos" w:cs="Aptos"/>
                <w:b/>
                <w:i w:val="0"/>
                <w:color w:val="222222"/>
                <w:sz w:val="17"/>
              </w:rPr>
              <w:t>Over</w:t>
            </w:r>
          </w:p>
        </w:tc>
        <w:tc>
          <w:tcPr>
            <w:tcW w:type="dxa" w:w="7257"/>
            <w:tcMar>
              <w:top w:w="26" w:type="dxa"/>
              <w:bottom w:w="26" w:type="dxa"/>
              <w:start w:w="70" w:type="dxa"/>
              <w:end w:w="70" w:type="dxa"/>
            </w:tcMar>
            <w:vAlign w:val="top"/>
          </w:tcPr>
          <w:p>
            <w:pPr>
              <w:spacing w:after="0" w:line="240" w:lineRule="auto"/>
            </w:pPr>
            <w:r>
              <w:rPr>
                <w:rFonts w:ascii="Aptos" w:hAnsi="Aptos" w:cs="Aptos"/>
                <w:b w:val="0"/>
                <w:i w:val="0"/>
                <w:color w:val="222222"/>
                <w:sz w:val="17"/>
              </w:rPr>
              <w:t>Real overrun: raise the forecast or acknowledge with the reason (FX, approved variation).</w:t>
            </w:r>
          </w:p>
        </w:tc>
      </w:tr>
      <w:tr>
        <w:tc>
          <w:tcPr>
            <w:tcW w:type="dxa" w:w="2835"/>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Late</w:t>
            </w:r>
          </w:p>
        </w:tc>
        <w:tc>
          <w:tcPr>
            <w:tcW w:type="dxa" w:w="7257"/>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Forecast line past its date with no PO: chase or move the date.</w:t>
            </w:r>
          </w:p>
        </w:tc>
      </w:tr>
      <w:tr>
        <w:tc>
          <w:tcPr>
            <w:tcW w:type="dxa" w:w="2835"/>
            <w:tcMar>
              <w:top w:w="26" w:type="dxa"/>
              <w:bottom w:w="26" w:type="dxa"/>
              <w:start w:w="70" w:type="dxa"/>
              <w:end w:w="70" w:type="dxa"/>
            </w:tcMar>
            <w:vAlign w:val="top"/>
          </w:tcPr>
          <w:p>
            <w:pPr>
              <w:spacing w:after="0" w:line="240" w:lineRule="auto"/>
            </w:pPr>
            <w:r>
              <w:rPr>
                <w:rFonts w:ascii="Aptos" w:hAnsi="Aptos" w:cs="Aptos"/>
                <w:b/>
                <w:i w:val="0"/>
                <w:color w:val="222222"/>
                <w:sz w:val="17"/>
              </w:rPr>
              <w:t>Overdue</w:t>
            </w:r>
          </w:p>
        </w:tc>
        <w:tc>
          <w:tcPr>
            <w:tcW w:type="dxa" w:w="7257"/>
            <w:tcMar>
              <w:top w:w="26" w:type="dxa"/>
              <w:bottom w:w="26" w:type="dxa"/>
              <w:start w:w="70" w:type="dxa"/>
              <w:end w:w="70" w:type="dxa"/>
            </w:tcMar>
            <w:vAlign w:val="top"/>
          </w:tcPr>
          <w:p>
            <w:pPr>
              <w:spacing w:after="0" w:line="240" w:lineRule="auto"/>
            </w:pPr>
            <w:r>
              <w:rPr>
                <w:rFonts w:ascii="Aptos" w:hAnsi="Aptos" w:cs="Aptos"/>
                <w:b w:val="0"/>
                <w:i w:val="0"/>
                <w:color w:val="222222"/>
                <w:sz w:val="17"/>
              </w:rPr>
              <w:t>Customer invoice past due: chase the customer.</w:t>
            </w:r>
          </w:p>
        </w:tc>
      </w:tr>
      <w:tr>
        <w:tc>
          <w:tcPr>
            <w:tcW w:type="dxa" w:w="2835"/>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Close PO in NS / No PO on bill</w:t>
            </w:r>
          </w:p>
        </w:tc>
        <w:tc>
          <w:tcPr>
            <w:tcW w:type="dxa" w:w="7257"/>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Ask accounts to close the PO in NetSuite. The app already treats it as done.</w:t>
            </w:r>
          </w:p>
        </w:tc>
      </w:tr>
      <w:tr>
        <w:tc>
          <w:tcPr>
            <w:tcW w:type="dxa" w:w="2835"/>
            <w:tcMar>
              <w:top w:w="26" w:type="dxa"/>
              <w:bottom w:w="26" w:type="dxa"/>
              <w:start w:w="70" w:type="dxa"/>
              <w:end w:w="70" w:type="dxa"/>
            </w:tcMar>
            <w:vAlign w:val="top"/>
          </w:tcPr>
          <w:p>
            <w:pPr>
              <w:spacing w:after="0" w:line="240" w:lineRule="auto"/>
            </w:pPr>
            <w:r>
              <w:rPr>
                <w:rFonts w:ascii="Aptos" w:hAnsi="Aptos" w:cs="Aptos"/>
                <w:b/>
                <w:i w:val="0"/>
                <w:color w:val="222222"/>
                <w:sz w:val="17"/>
              </w:rPr>
              <w:t>Stale PO / Not billed</w:t>
            </w:r>
          </w:p>
        </w:tc>
        <w:tc>
          <w:tcPr>
            <w:tcW w:type="dxa" w:w="7257"/>
            <w:tcMar>
              <w:top w:w="26" w:type="dxa"/>
              <w:bottom w:w="26" w:type="dxa"/>
              <w:start w:w="70" w:type="dxa"/>
              <w:end w:w="70" w:type="dxa"/>
            </w:tcMar>
            <w:vAlign w:val="top"/>
          </w:tcPr>
          <w:p>
            <w:pPr>
              <w:spacing w:after="0" w:line="240" w:lineRule="auto"/>
            </w:pPr>
            <w:r>
              <w:rPr>
                <w:rFonts w:ascii="Aptos" w:hAnsi="Aptos" w:cs="Aptos"/>
                <w:b w:val="0"/>
                <w:i w:val="0"/>
                <w:color w:val="222222"/>
                <w:sz w:val="17"/>
              </w:rPr>
              <w:t>Chase the supplier invoice, or close the PO.</w:t>
            </w:r>
          </w:p>
        </w:tc>
      </w:tr>
      <w:tr>
        <w:tc>
          <w:tcPr>
            <w:tcW w:type="dxa" w:w="2835"/>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New variation</w:t>
            </w:r>
          </w:p>
        </w:tc>
        <w:tc>
          <w:tcPr>
            <w:tcW w:type="dxa" w:w="7257"/>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Check the auto-added line's name, value and payment terms, then acknowledge.</w:t>
            </w:r>
          </w:p>
        </w:tc>
      </w:tr>
      <w:tr>
        <w:tc>
          <w:tcPr>
            <w:tcW w:type="dxa" w:w="2835"/>
            <w:tcMar>
              <w:top w:w="26" w:type="dxa"/>
              <w:bottom w:w="26" w:type="dxa"/>
              <w:start w:w="70" w:type="dxa"/>
              <w:end w:w="70" w:type="dxa"/>
            </w:tcMar>
            <w:vAlign w:val="top"/>
          </w:tcPr>
          <w:p>
            <w:pPr>
              <w:spacing w:after="0" w:line="240" w:lineRule="auto"/>
            </w:pPr>
            <w:r>
              <w:rPr>
                <w:rFonts w:ascii="Aptos" w:hAnsi="Aptos" w:cs="Aptos"/>
                <w:b/>
                <w:i w:val="0"/>
                <w:color w:val="222222"/>
                <w:sz w:val="17"/>
              </w:rPr>
              <w:t>Cost missing?</w:t>
            </w:r>
          </w:p>
        </w:tc>
        <w:tc>
          <w:tcPr>
            <w:tcW w:type="dxa" w:w="7257"/>
            <w:tcMar>
              <w:top w:w="26" w:type="dxa"/>
              <w:bottom w:w="26" w:type="dxa"/>
              <w:start w:w="70" w:type="dxa"/>
              <w:end w:w="70" w:type="dxa"/>
            </w:tcMar>
            <w:vAlign w:val="top"/>
          </w:tcPr>
          <w:p>
            <w:pPr>
              <w:spacing w:after="0" w:line="240" w:lineRule="auto"/>
            </w:pPr>
            <w:r>
              <w:rPr>
                <w:rFonts w:ascii="Aptos" w:hAnsi="Aptos" w:cs="Aptos"/>
                <w:b w:val="0"/>
                <w:i w:val="0"/>
                <w:color w:val="222222"/>
                <w:sz w:val="17"/>
              </w:rPr>
              <w:t>A cost line with nothing in NetSuite on a mostly invoiced job: check it was entered.</w:t>
            </w:r>
          </w:p>
        </w:tc>
      </w:tr>
      <w:tr>
        <w:tc>
          <w:tcPr>
            <w:tcW w:type="dxa" w:w="2835"/>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Untagged in NS</w:t>
            </w:r>
          </w:p>
        </w:tc>
        <w:tc>
          <w:tcPr>
            <w:tcW w:type="dxa" w:w="7257"/>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Ask accounts to tag the document to the project.</w:t>
            </w:r>
          </w:p>
        </w:tc>
      </w:tr>
      <w:tr>
        <w:tc>
          <w:tcPr>
            <w:tcW w:type="dxa" w:w="2835"/>
            <w:tcMar>
              <w:top w:w="26" w:type="dxa"/>
              <w:bottom w:w="26" w:type="dxa"/>
              <w:start w:w="70" w:type="dxa"/>
              <w:end w:w="70" w:type="dxa"/>
            </w:tcMar>
            <w:vAlign w:val="top"/>
          </w:tcPr>
          <w:p>
            <w:pPr>
              <w:spacing w:after="0" w:line="240" w:lineRule="auto"/>
            </w:pPr>
            <w:r>
              <w:rPr>
                <w:rFonts w:ascii="Aptos" w:hAnsi="Aptos" w:cs="Aptos"/>
                <w:b/>
                <w:i w:val="0"/>
                <w:color w:val="222222"/>
                <w:sz w:val="17"/>
              </w:rPr>
              <w:t>Wrong project? / Miscoded? / Customer PO / Shared account</w:t>
            </w:r>
          </w:p>
        </w:tc>
        <w:tc>
          <w:tcPr>
            <w:tcW w:type="dxa" w:w="7257"/>
            <w:tcMar>
              <w:top w:w="26" w:type="dxa"/>
              <w:bottom w:w="26" w:type="dxa"/>
              <w:start w:w="70" w:type="dxa"/>
              <w:end w:w="70" w:type="dxa"/>
            </w:tcMar>
            <w:vAlign w:val="top"/>
          </w:tcPr>
          <w:p>
            <w:pPr>
              <w:spacing w:after="0" w:line="240" w:lineRule="auto"/>
            </w:pPr>
            <w:r>
              <w:rPr>
                <w:rFonts w:ascii="Aptos" w:hAnsi="Aptos" w:cs="Aptos"/>
                <w:b w:val="0"/>
                <w:i w:val="0"/>
                <w:color w:val="222222"/>
                <w:sz w:val="17"/>
              </w:rPr>
              <w:t>Fix the coding in NetSuite or the forecast line.</w:t>
            </w:r>
          </w:p>
        </w:tc>
      </w:tr>
    </w:tbl>
    <w:p>
      <w:pPr>
        <w:spacing w:before="0" w:after="100" w:line="250" w:lineRule="auto"/>
      </w:pPr>
      <w:r>
        <w:rPr>
          <w:rFonts w:ascii="Aptos" w:hAnsi="Aptos" w:cs="Aptos"/>
          <w:b w:val="0"/>
          <w:i w:val="0"/>
          <w:color w:val="222222"/>
          <w:sz w:val="21"/>
        </w:rPr>
        <w:t>Also move any expected date that has slipped (forecast lines and milestones), so the cash curve stays honest.</w:t>
      </w:r>
    </w:p>
    <w:p>
      <w:pPr>
        <w:spacing w:before="200" w:after="60" w:line="250" w:lineRule="auto"/>
        <w:pBdr>
          <w:bottom w:val="single" w:sz="6" w:space="2" w:color="16324F"/>
        </w:pBdr>
      </w:pPr>
      <w:r>
        <w:rPr>
          <w:rFonts w:ascii="Aptos Display" w:hAnsi="Aptos Display" w:cs="Aptos Display"/>
          <w:b/>
          <w:i w:val="0"/>
          <w:color w:val="16324F"/>
          <w:sz w:val="26"/>
        </w:rPr>
        <w:t>7.  During the job</w:t>
      </w:r>
    </w:p>
    <w:p>
      <w:pPr>
        <w:spacing w:before="0" w:after="60" w:line="250" w:lineRule="auto"/>
        <w:pStyle w:val="ListParagraph"/>
        <w:numPr>
          <w:ilvl w:val="0"/>
          <w:numId w:val="3"/>
        </w:numPr>
      </w:pPr>
      <w:r>
        <w:rPr>
          <w:rFonts w:ascii="Aptos" w:hAnsi="Aptos" w:cs="Aptos"/>
          <w:b/>
          <w:i w:val="0"/>
          <w:color w:val="222222"/>
          <w:sz w:val="21"/>
        </w:rPr>
        <w:t>Variations:</w:t>
      </w:r>
      <w:r>
        <w:rPr>
          <w:rFonts w:ascii="Aptos" w:hAnsi="Aptos" w:cs="Aptos"/>
          <w:b w:val="0"/>
          <w:i w:val="0"/>
          <w:color w:val="222222"/>
          <w:sz w:val="21"/>
        </w:rPr>
        <w:t xml:space="preserve"> the sync adds a "Variation" line itself when an invoice quotes a new customer PO, or when a supplier whose line is fully ordered issues a new PO. Better still, add the variation line (with its PO number) before NetSuite has it.</w:t>
      </w:r>
    </w:p>
    <w:p>
      <w:pPr>
        <w:spacing w:before="0" w:after="60" w:line="250" w:lineRule="auto"/>
        <w:pStyle w:val="ListParagraph"/>
        <w:numPr>
          <w:ilvl w:val="0"/>
          <w:numId w:val="3"/>
        </w:numPr>
      </w:pPr>
      <w:r>
        <w:rPr>
          <w:rFonts w:ascii="Aptos" w:hAnsi="Aptos" w:cs="Aptos"/>
          <w:b/>
          <w:i w:val="0"/>
          <w:color w:val="222222"/>
          <w:sz w:val="21"/>
        </w:rPr>
        <w:t>Back-charges:</w:t>
      </w:r>
      <w:r>
        <w:rPr>
          <w:rFonts w:ascii="Aptos" w:hAnsi="Aptos" w:cs="Aptos"/>
          <w:b w:val="0"/>
          <w:i w:val="0"/>
          <w:color w:val="222222"/>
          <w:sz w:val="21"/>
        </w:rPr>
        <w:t xml:space="preserve"> add an outgoing line with Type Supplier recovery for money a supplier owes us; it reduces still to pay until their credit is linked.</w:t>
      </w:r>
    </w:p>
    <w:p>
      <w:pPr>
        <w:spacing w:before="0" w:after="60" w:line="250" w:lineRule="auto"/>
        <w:pStyle w:val="ListParagraph"/>
        <w:numPr>
          <w:ilvl w:val="0"/>
          <w:numId w:val="3"/>
        </w:numPr>
      </w:pPr>
      <w:r>
        <w:rPr>
          <w:rFonts w:ascii="Aptos" w:hAnsi="Aptos" w:cs="Aptos"/>
          <w:b/>
          <w:i w:val="0"/>
          <w:color w:val="222222"/>
          <w:sz w:val="21"/>
        </w:rPr>
        <w:t>Forecast changes:</w:t>
      </w:r>
      <w:r>
        <w:rPr>
          <w:rFonts w:ascii="Aptos" w:hAnsi="Aptos" w:cs="Aptos"/>
          <w:b w:val="0"/>
          <w:i w:val="0"/>
          <w:color w:val="222222"/>
          <w:sz w:val="21"/>
        </w:rPr>
        <w:t xml:space="preserve"> edit the Amount or expected date on the dashboard or the cashflow sheet. Sheet edits are saved at the next sync or when anyone presses Refresh.</w:t>
      </w:r>
    </w:p>
    <w:p>
      <w:pPr>
        <w:spacing w:before="0" w:after="60" w:line="250" w:lineRule="auto"/>
        <w:pStyle w:val="ListParagraph"/>
        <w:numPr>
          <w:ilvl w:val="0"/>
          <w:numId w:val="3"/>
        </w:numPr>
      </w:pPr>
      <w:r>
        <w:rPr>
          <w:rFonts w:ascii="Aptos" w:hAnsi="Aptos" w:cs="Aptos"/>
          <w:b/>
          <w:i w:val="0"/>
          <w:color w:val="222222"/>
          <w:sz w:val="21"/>
        </w:rPr>
        <w:t>Adding a cost on the sheet:</w:t>
      </w:r>
      <w:r>
        <w:rPr>
          <w:rFonts w:ascii="Aptos" w:hAnsi="Aptos" w:cs="Aptos"/>
          <w:b w:val="0"/>
          <w:i w:val="0"/>
          <w:color w:val="222222"/>
          <w:sz w:val="21"/>
        </w:rPr>
        <w:t xml:space="preserve"> on the project cashflow sheet, insert a row under Money out (or Money in): Item and Forecast are required; Type from the list; Party; Date.</w:t>
      </w:r>
    </w:p>
    <w:p>
      <w:pPr>
        <w:spacing w:before="200" w:after="60" w:line="250" w:lineRule="auto"/>
        <w:pBdr>
          <w:bottom w:val="single" w:sz="6" w:space="2" w:color="16324F"/>
        </w:pBdr>
      </w:pPr>
      <w:r>
        <w:rPr>
          <w:rFonts w:ascii="Aptos Display" w:hAnsi="Aptos Display" w:cs="Aptos Display"/>
          <w:b/>
          <w:i w:val="0"/>
          <w:color w:val="16324F"/>
          <w:sz w:val="26"/>
        </w:rPr>
        <w:t>8.  Month end and financial year</w:t>
      </w:r>
    </w:p>
    <w:p>
      <w:pPr>
        <w:spacing w:before="0" w:after="60" w:line="250" w:lineRule="auto"/>
        <w:pStyle w:val="ListParagraph"/>
        <w:numPr>
          <w:ilvl w:val="0"/>
          <w:numId w:val="3"/>
        </w:numPr>
      </w:pPr>
      <w:r>
        <w:rPr>
          <w:rFonts w:ascii="Aptos" w:hAnsi="Aptos" w:cs="Aptos"/>
          <w:b/>
          <w:i w:val="0"/>
          <w:color w:val="222222"/>
          <w:sz w:val="21"/>
        </w:rPr>
        <w:t>Month end:</w:t>
      </w:r>
      <w:r>
        <w:rPr>
          <w:rFonts w:ascii="Aptos" w:hAnsi="Aptos" w:cs="Aptos"/>
          <w:b w:val="0"/>
          <w:i w:val="0"/>
          <w:color w:val="222222"/>
          <w:sz w:val="21"/>
        </w:rPr>
        <w:t xml:space="preserve"> accounts post the flattening journals; check each project's P&amp;L tab shows last month's journal.</w:t>
      </w:r>
    </w:p>
    <w:p>
      <w:pPr>
        <w:spacing w:before="0" w:after="60" w:line="250" w:lineRule="auto"/>
        <w:pStyle w:val="ListParagraph"/>
        <w:numPr>
          <w:ilvl w:val="0"/>
          <w:numId w:val="3"/>
        </w:numPr>
      </w:pPr>
      <w:r>
        <w:rPr>
          <w:rFonts w:ascii="Aptos" w:hAnsi="Aptos" w:cs="Aptos"/>
          <w:b/>
          <w:i w:val="0"/>
          <w:color w:val="222222"/>
          <w:sz w:val="21"/>
        </w:rPr>
        <w:t>Budget:</w:t>
      </w:r>
      <w:r>
        <w:rPr>
          <w:rFonts w:ascii="Aptos" w:hAnsi="Aptos" w:cs="Aptos"/>
          <w:b w:val="0"/>
          <w:i w:val="0"/>
          <w:color w:val="222222"/>
          <w:sz w:val="21"/>
        </w:rPr>
        <w:t xml:space="preserve"> the FY27 vs budget tab compares Systems sales (4071-4079) with budget; the P&amp;L formula projects the rest of the year; the pipeline adds weighted enquiries.</w:t>
      </w:r>
    </w:p>
    <w:p>
      <w:pPr>
        <w:spacing w:before="0" w:after="60" w:line="250" w:lineRule="auto"/>
        <w:pStyle w:val="ListParagraph"/>
        <w:numPr>
          <w:ilvl w:val="0"/>
          <w:numId w:val="3"/>
        </w:numPr>
      </w:pPr>
      <w:r>
        <w:rPr>
          <w:rFonts w:ascii="Aptos" w:hAnsi="Aptos" w:cs="Aptos"/>
          <w:b/>
          <w:i w:val="0"/>
          <w:color w:val="222222"/>
          <w:sz w:val="21"/>
        </w:rPr>
        <w:t>Year end:</w:t>
      </w:r>
      <w:r>
        <w:rPr>
          <w:rFonts w:ascii="Aptos" w:hAnsi="Aptos" w:cs="Aptos"/>
          <w:b w:val="0"/>
          <w:i w:val="0"/>
          <w:color w:val="222222"/>
          <w:sz w:val="21"/>
        </w:rPr>
        <w:t xml:space="preserve"> at year end, re-lock each project's P&amp;L baseline; the P&amp;L tab shows what moved between years.</w:t>
      </w:r>
    </w:p>
    <w:p>
      <w:pPr>
        <w:spacing w:before="200" w:after="60" w:line="250" w:lineRule="auto"/>
        <w:pBdr>
          <w:bottom w:val="single" w:sz="6" w:space="2" w:color="16324F"/>
        </w:pBdr>
      </w:pPr>
      <w:r>
        <w:rPr>
          <w:rFonts w:ascii="Aptos Display" w:hAnsi="Aptos Display" w:cs="Aptos Display"/>
          <w:b/>
          <w:i w:val="0"/>
          <w:color w:val="16324F"/>
          <w:sz w:val="26"/>
        </w:rPr>
        <w:t>9.  Pipeline (sales)</w:t>
      </w:r>
    </w:p>
    <w:p>
      <w:pPr>
        <w:spacing w:before="0" w:after="100" w:line="250" w:lineRule="auto"/>
      </w:pPr>
      <w:r>
        <w:rPr>
          <w:rFonts w:ascii="Aptos" w:hAnsi="Aptos" w:cs="Aptos"/>
          <w:b w:val="0"/>
          <w:i w:val="0"/>
          <w:color w:val="222222"/>
          <w:sz w:val="21"/>
        </w:rPr>
        <w:t>Open Systems enquiries come from the Enquiries Pipeline Mastersheet. On the dashboard's Pipeline tab, set the start month, total timeline and probability for enquiries you expect to win (Add), and Hide the ones that will not. Settings are saved in the Pipeline sheet, never in the enquiries sheet.</w:t>
      </w:r>
    </w:p>
    <w:p>
      <w:pPr>
        <w:spacing w:before="200" w:after="60" w:line="250" w:lineRule="auto"/>
        <w:pBdr>
          <w:bottom w:val="single" w:sz="6" w:space="2" w:color="16324F"/>
        </w:pBdr>
      </w:pPr>
      <w:r>
        <w:rPr>
          <w:rFonts w:ascii="Aptos Display" w:hAnsi="Aptos Display" w:cs="Aptos Display"/>
          <w:b/>
          <w:i w:val="0"/>
          <w:color w:val="16324F"/>
          <w:sz w:val="26"/>
        </w:rPr>
        <w:t>10.  Close-out</w:t>
      </w:r>
    </w:p>
    <w:p>
      <w:pPr>
        <w:spacing w:before="0" w:after="60" w:line="250" w:lineRule="auto"/>
        <w:pStyle w:val="ListParagraph"/>
        <w:numPr>
          <w:ilvl w:val="0"/>
          <w:numId w:val="3"/>
        </w:numPr>
      </w:pPr>
      <w:r>
        <w:rPr>
          <w:rFonts w:ascii="Aptos" w:hAnsi="Aptos" w:cs="Aptos"/>
          <w:b/>
          <w:i w:val="0"/>
          <w:color w:val="222222"/>
          <w:sz w:val="21"/>
        </w:rPr>
        <w:t>Clear NetSuite:</w:t>
      </w:r>
      <w:r>
        <w:rPr>
          <w:rFonts w:ascii="Aptos" w:hAnsi="Aptos" w:cs="Aptos"/>
          <w:b w:val="0"/>
          <w:i w:val="0"/>
          <w:color w:val="222222"/>
          <w:sz w:val="21"/>
        </w:rPr>
        <w:t xml:space="preserve"> all bills in and paid; no open POs (the Completed page lists open POs on completed jobs for accounts).</w:t>
      </w:r>
    </w:p>
    <w:p>
      <w:pPr>
        <w:spacing w:before="0" w:after="60" w:line="250" w:lineRule="auto"/>
        <w:pStyle w:val="ListParagraph"/>
        <w:numPr>
          <w:ilvl w:val="0"/>
          <w:numId w:val="3"/>
        </w:numPr>
      </w:pPr>
      <w:r>
        <w:rPr>
          <w:rFonts w:ascii="Aptos" w:hAnsi="Aptos" w:cs="Aptos"/>
          <w:b/>
          <w:i w:val="0"/>
          <w:color w:val="222222"/>
          <w:sz w:val="21"/>
        </w:rPr>
        <w:t>Close the project:</w:t>
      </w:r>
      <w:r>
        <w:rPr>
          <w:rFonts w:ascii="Aptos" w:hAnsi="Aptos" w:cs="Aptos"/>
          <w:b w:val="0"/>
          <w:i w:val="0"/>
          <w:color w:val="222222"/>
          <w:sz w:val="21"/>
        </w:rPr>
        <w:t xml:space="preserve"> tick Closed on finished forecast lines; set the project's Status to Complete (kept for FY history and the Completed page) or Closed (left out entirely).</w:t>
      </w:r>
    </w:p>
    <w:p>
      <w:pPr>
        <w:spacing w:before="0" w:after="60" w:line="250" w:lineRule="auto"/>
        <w:pStyle w:val="ListParagraph"/>
        <w:numPr>
          <w:ilvl w:val="0"/>
          <w:numId w:val="3"/>
        </w:numPr>
      </w:pPr>
      <w:r>
        <w:rPr>
          <w:rFonts w:ascii="Aptos" w:hAnsi="Aptos" w:cs="Aptos"/>
          <w:b/>
          <w:i w:val="0"/>
          <w:color w:val="222222"/>
          <w:sz w:val="21"/>
        </w:rPr>
        <w:t>Archive:</w:t>
      </w:r>
      <w:r>
        <w:rPr>
          <w:rFonts w:ascii="Aptos" w:hAnsi="Aptos" w:cs="Aptos"/>
          <w:b w:val="0"/>
          <w:i w:val="0"/>
          <w:color w:val="222222"/>
          <w:sz w:val="21"/>
        </w:rPr>
        <w:t xml:space="preserve"> move the project folder to BHF Projects Completed in Smartsheet and SharePoint.</w:t>
      </w:r>
    </w:p>
    <w:p>
      <w:pPr>
        <w:spacing w:before="200" w:after="60" w:line="250" w:lineRule="auto"/>
        <w:pBdr>
          <w:bottom w:val="single" w:sz="6" w:space="2" w:color="16324F"/>
        </w:pBdr>
      </w:pPr>
      <w:r>
        <w:rPr>
          <w:rFonts w:ascii="Aptos Display" w:hAnsi="Aptos Display" w:cs="Aptos Display"/>
          <w:b/>
          <w:i w:val="0"/>
          <w:color w:val="16324F"/>
          <w:sz w:val="26"/>
        </w:rPr>
        <w:t>11.  If something looks wrong</w:t>
      </w:r>
    </w:p>
    <w:tbl>
      <w:tblPr>
        <w:tblW w:type="auto" w:w="0"/>
        <w:jc w:val="center"/>
        <w:tblLayout w:type="fixed"/>
        <w:tblLook w:firstColumn="1" w:firstRow="1" w:lastColumn="0" w:lastRow="0" w:noHBand="0" w:noVBand="1" w:val="04A0"/>
        <w:tblBorders>
          <w:top w:val="single" w:sz="4" w:space="0" w:color="B7C6D9"/>
          <w:left w:val="single" w:sz="4" w:space="0" w:color="B7C6D9"/>
          <w:bottom w:val="single" w:sz="4" w:space="0" w:color="B7C6D9"/>
          <w:right w:val="single" w:sz="4" w:space="0" w:color="B7C6D9"/>
          <w:insideH w:val="single" w:sz="4" w:space="0" w:color="B7C6D9"/>
          <w:insideV w:val="single" w:sz="4" w:space="0" w:color="B7C6D9"/>
        </w:tblBorders>
      </w:tblPr>
      <w:tblGrid>
        <w:gridCol w:w="4778"/>
        <w:gridCol w:w="4778"/>
      </w:tblGrid>
      <w:tr>
        <w:tc>
          <w:tcPr>
            <w:tcW w:type="dxa" w:w="2835"/>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Symptom</w:t>
            </w:r>
          </w:p>
        </w:tc>
        <w:tc>
          <w:tcPr>
            <w:tcW w:type="dxa" w:w="7257"/>
            <w:shd w:val="clear" w:color="auto" w:fill="16324F"/>
            <w:tcMar>
              <w:top w:w="26" w:type="dxa"/>
              <w:bottom w:w="26" w:type="dxa"/>
              <w:start w:w="70" w:type="dxa"/>
              <w:end w:w="70" w:type="dxa"/>
            </w:tcMar>
            <w:vAlign w:val="center"/>
          </w:tcPr>
          <w:p>
            <w:pPr>
              <w:spacing w:after="0" w:line="240" w:lineRule="auto"/>
            </w:pPr>
            <w:r>
              <w:rPr>
                <w:rFonts w:ascii="Aptos" w:hAnsi="Aptos" w:cs="Aptos"/>
                <w:b/>
                <w:i w:val="0"/>
                <w:color w:val="FFFFFF"/>
                <w:sz w:val="18"/>
              </w:rPr>
              <w:t>Check</w:t>
            </w:r>
          </w:p>
        </w:tc>
      </w:tr>
      <w:tr>
        <w:tc>
          <w:tcPr>
            <w:tcW w:type="dxa" w:w="2835"/>
            <w:tcMar>
              <w:top w:w="26" w:type="dxa"/>
              <w:bottom w:w="26" w:type="dxa"/>
              <w:start w:w="70" w:type="dxa"/>
              <w:end w:w="70" w:type="dxa"/>
            </w:tcMar>
            <w:vAlign w:val="top"/>
          </w:tcPr>
          <w:p>
            <w:pPr>
              <w:spacing w:after="0" w:line="240" w:lineRule="auto"/>
            </w:pPr>
            <w:r>
              <w:rPr>
                <w:rFonts w:ascii="Aptos" w:hAnsi="Aptos" w:cs="Aptos"/>
                <w:b/>
                <w:i w:val="0"/>
                <w:color w:val="222222"/>
                <w:sz w:val="17"/>
              </w:rPr>
              <w:t>Data as at time is old</w:t>
            </w:r>
          </w:p>
        </w:tc>
        <w:tc>
          <w:tcPr>
            <w:tcW w:type="dxa" w:w="7257"/>
            <w:tcMar>
              <w:top w:w="26" w:type="dxa"/>
              <w:bottom w:w="26" w:type="dxa"/>
              <w:start w:w="70" w:type="dxa"/>
              <w:end w:w="70" w:type="dxa"/>
            </w:tcMar>
            <w:vAlign w:val="top"/>
          </w:tcPr>
          <w:p>
            <w:pPr>
              <w:spacing w:after="0" w:line="240" w:lineRule="auto"/>
            </w:pPr>
            <w:r>
              <w:rPr>
                <w:rFonts w:ascii="Aptos" w:hAnsi="Aptos" w:cs="Aptos"/>
                <w:b w:val="0"/>
                <w:i w:val="0"/>
                <w:color w:val="222222"/>
                <w:sz w:val="17"/>
              </w:rPr>
              <w:t>Render: bhf-cashflow-sync logs; press Refresh on the dashboard.</w:t>
            </w:r>
          </w:p>
        </w:tc>
      </w:tr>
      <w:tr>
        <w:tc>
          <w:tcPr>
            <w:tcW w:type="dxa" w:w="2835"/>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A PO or bill is missing</w:t>
            </w:r>
          </w:p>
        </w:tc>
        <w:tc>
          <w:tcPr>
            <w:tcW w:type="dxa" w:w="7257"/>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Is the Project set in NetSuite? Untagged in NS flags list likely ones.</w:t>
            </w:r>
          </w:p>
        </w:tc>
      </w:tr>
      <w:tr>
        <w:tc>
          <w:tcPr>
            <w:tcW w:type="dxa" w:w="2835"/>
            <w:tcMar>
              <w:top w:w="26" w:type="dxa"/>
              <w:bottom w:w="26" w:type="dxa"/>
              <w:start w:w="70" w:type="dxa"/>
              <w:end w:w="70" w:type="dxa"/>
            </w:tcMar>
            <w:vAlign w:val="top"/>
          </w:tcPr>
          <w:p>
            <w:pPr>
              <w:spacing w:after="0" w:line="240" w:lineRule="auto"/>
            </w:pPr>
            <w:r>
              <w:rPr>
                <w:rFonts w:ascii="Aptos" w:hAnsi="Aptos" w:cs="Aptos"/>
                <w:b/>
                <w:i w:val="0"/>
                <w:color w:val="222222"/>
                <w:sz w:val="17"/>
              </w:rPr>
              <w:t>PDF not yet filed</w:t>
            </w:r>
          </w:p>
        </w:tc>
        <w:tc>
          <w:tcPr>
            <w:tcW w:type="dxa" w:w="7257"/>
            <w:tcMar>
              <w:top w:w="26" w:type="dxa"/>
              <w:bottom w:w="26" w:type="dxa"/>
              <w:start w:w="70" w:type="dxa"/>
              <w:end w:w="70" w:type="dxa"/>
            </w:tcMar>
            <w:vAlign w:val="top"/>
          </w:tcPr>
          <w:p>
            <w:pPr>
              <w:spacing w:after="0" w:line="240" w:lineRule="auto"/>
            </w:pPr>
            <w:r>
              <w:rPr>
                <w:rFonts w:ascii="Aptos" w:hAnsi="Aptos" w:cs="Aptos"/>
                <w:b w:val="0"/>
                <w:i w:val="0"/>
                <w:color w:val="222222"/>
                <w:sz w:val="17"/>
              </w:rPr>
              <w:t>filing.log on the filing PC (a FAILED line says why); the PC must be on and signed in.</w:t>
            </w:r>
          </w:p>
        </w:tc>
      </w:tr>
      <w:tr>
        <w:tc>
          <w:tcPr>
            <w:tcW w:type="dxa" w:w="2835"/>
            <w:tcMar>
              <w:top w:w="26" w:type="dxa"/>
              <w:bottom w:w="26" w:type="dxa"/>
              <w:start w:w="70" w:type="dxa"/>
              <w:end w:w="70" w:type="dxa"/>
            </w:tcMar>
            <w:vAlign w:val="top"/>
            <w:shd w:val="clear" w:color="auto" w:fill="EEF3FA"/>
          </w:tcPr>
          <w:p>
            <w:pPr>
              <w:spacing w:after="0" w:line="240" w:lineRule="auto"/>
            </w:pPr>
            <w:r>
              <w:rPr>
                <w:rFonts w:ascii="Aptos" w:hAnsi="Aptos" w:cs="Aptos"/>
                <w:b/>
                <w:i w:val="0"/>
                <w:color w:val="222222"/>
                <w:sz w:val="17"/>
              </w:rPr>
              <w:t>Numbers differ from NetSuite</w:t>
            </w:r>
          </w:p>
        </w:tc>
        <w:tc>
          <w:tcPr>
            <w:tcW w:type="dxa" w:w="7257"/>
            <w:tcMar>
              <w:top w:w="26" w:type="dxa"/>
              <w:bottom w:w="26" w:type="dxa"/>
              <w:start w:w="70" w:type="dxa"/>
              <w:end w:w="70" w:type="dxa"/>
            </w:tcMar>
            <w:vAlign w:val="top"/>
            <w:shd w:val="clear" w:color="auto" w:fill="EEF3FA"/>
          </w:tcPr>
          <w:p>
            <w:pPr>
              <w:spacing w:after="0" w:line="240" w:lineRule="auto"/>
            </w:pPr>
            <w:r>
              <w:rPr>
                <w:rFonts w:ascii="Aptos" w:hAnsi="Aptos" w:cs="Aptos"/>
                <w:b w:val="0"/>
                <w:i w:val="0"/>
                <w:color w:val="222222"/>
                <w:sz w:val="17"/>
              </w:rPr>
              <w:t>Cash ties to NetSuite to the cent; P&amp;L uses accounts 4071-4079 (not Unearned / WIP movements, which include the 1 July netting journal).</w:t>
            </w:r>
          </w:p>
        </w:tc>
      </w:tr>
    </w:tbl>
    <w:sectPr w:rsidR="008E34A4">
      <w:headerReference w:type="even" r:id="rId10"/>
      <w:headerReference w:type="default" r:id="rId11"/>
      <w:footerReference w:type="even" r:id="rId12"/>
      <w:footerReference w:type="default" r:id="rId13"/>
      <w:headerReference w:type="first" r:id="rId14"/>
      <w:footerReference w:type="first" r:id="rId15"/>
      <w:pgSz w:w="11906" w:h="16838"/>
      <w:pgMar w:top="1000" w:right="1000" w:bottom="1000" w:left="1350" w:header="300" w:footer="3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6C7D3" w14:textId="77777777" w:rsidR="00934656" w:rsidRDefault="00934656">
      <w:r>
        <w:separator/>
      </w:r>
    </w:p>
  </w:endnote>
  <w:endnote w:type="continuationSeparator" w:id="0">
    <w:p w14:paraId="5369DA1C" w14:textId="77777777" w:rsidR="00934656" w:rsidRDefault="00934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A7D3" w14:textId="77777777" w:rsidR="00142E9B" w:rsidRDefault="00142E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6DB4" w14:textId="77777777" w:rsidR="002B4DBE" w:rsidRDefault="002B4DBE">
    <w:pPr>
      <w:pBdr>
        <w:top w:val="single" w:sz="4" w:space="0" w:color="C8CED4"/>
      </w:pBdr>
      <w:spacing w:before="40" w:after="20"/>
    </w:pPr>
  </w:p>
  <w:tbl>
    <w:tblPr>
      <w:tblW w:w="8800" w:type="dxa"/>
      <w:tblCellMar>
        <w:left w:w="10" w:type="dxa"/>
        <w:right w:w="10" w:type="dxa"/>
      </w:tblCellMar>
      <w:tblLook w:val="04A0" w:firstRow="1" w:lastRow="0" w:firstColumn="1" w:lastColumn="0" w:noHBand="0" w:noVBand="1"/>
    </w:tblPr>
    <w:tblGrid>
      <w:gridCol w:w="4400"/>
      <w:gridCol w:w="4400"/>
    </w:tblGrid>
    <w:tr w:rsidR="002B4DBE" w14:paraId="20D66DBB" w14:textId="77777777">
      <w:tc>
        <w:tcPr>
          <w:tcW w:w="4400" w:type="dxa"/>
        </w:tcPr>
        <w:p w14:paraId="20D66DB5" w14:textId="77777777" w:rsidR="002B4DBE" w:rsidRDefault="003C248E">
          <w:r>
            <w:rPr>
              <w:color w:val="5F6B76"/>
              <w:sz w:val="13"/>
              <w:szCs w:val="13"/>
            </w:rPr>
            <w:t>E   info@bhftechnologies.com.au</w:t>
          </w:r>
        </w:p>
        <w:p w14:paraId="20D66DB6" w14:textId="77777777" w:rsidR="002B4DBE" w:rsidRDefault="003C248E">
          <w:r>
            <w:rPr>
              <w:color w:val="5F6B76"/>
              <w:sz w:val="13"/>
              <w:szCs w:val="13"/>
            </w:rPr>
            <w:t>P</w:t>
          </w:r>
          <w:proofErr w:type="gramStart"/>
          <w:r>
            <w:rPr>
              <w:color w:val="5F6B76"/>
              <w:sz w:val="13"/>
              <w:szCs w:val="13"/>
            </w:rPr>
            <w:t xml:space="preserve">   (</w:t>
          </w:r>
          <w:proofErr w:type="gramEnd"/>
          <w:r>
            <w:rPr>
              <w:color w:val="5F6B76"/>
              <w:sz w:val="13"/>
              <w:szCs w:val="13"/>
            </w:rPr>
            <w:t>+61) 03 9564 7029</w:t>
          </w:r>
        </w:p>
        <w:p w14:paraId="20D66DB7" w14:textId="77777777" w:rsidR="002B4DBE" w:rsidRDefault="003C248E">
          <w:r>
            <w:rPr>
              <w:color w:val="5F6B76"/>
              <w:sz w:val="13"/>
              <w:szCs w:val="13"/>
            </w:rPr>
            <w:t>W   bhftechnologies.com.au</w:t>
          </w:r>
        </w:p>
      </w:tc>
      <w:tc>
        <w:tcPr>
          <w:tcW w:w="4400" w:type="dxa"/>
        </w:tcPr>
        <w:p w14:paraId="20D66DB8" w14:textId="77777777" w:rsidR="002B4DBE" w:rsidRDefault="003C248E">
          <w:pPr>
            <w:jc w:val="right"/>
          </w:pPr>
          <w:r>
            <w:rPr>
              <w:color w:val="5F6B76"/>
              <w:sz w:val="13"/>
              <w:szCs w:val="13"/>
            </w:rPr>
            <w:t>A   4 Kingston Town Cl, Oakleigh VIC 3166</w:t>
          </w:r>
        </w:p>
        <w:p w14:paraId="20D66DB9" w14:textId="77777777" w:rsidR="002B4DBE" w:rsidRDefault="003C248E">
          <w:pPr>
            <w:jc w:val="right"/>
          </w:pPr>
          <w:r>
            <w:rPr>
              <w:color w:val="5F6B76"/>
              <w:sz w:val="13"/>
              <w:szCs w:val="13"/>
            </w:rPr>
            <w:t>ABN 43 667 332 256</w:t>
          </w:r>
        </w:p>
        <w:p w14:paraId="20D66DBA" w14:textId="77777777" w:rsidR="002B4DBE" w:rsidRDefault="003C248E">
          <w:pPr>
            <w:jc w:val="right"/>
          </w:pPr>
          <w:r>
            <w:rPr>
              <w:color w:val="5F6B76"/>
              <w:sz w:val="13"/>
              <w:szCs w:val="13"/>
            </w:rPr>
            <w:t>ACN 667 332 256</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DA8A" w14:textId="77777777" w:rsidR="00142E9B" w:rsidRDefault="00142E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0448" w14:textId="77777777" w:rsidR="00934656" w:rsidRDefault="00934656">
      <w:r>
        <w:separator/>
      </w:r>
    </w:p>
  </w:footnote>
  <w:footnote w:type="continuationSeparator" w:id="0">
    <w:p w14:paraId="4D7E22F0" w14:textId="77777777" w:rsidR="00934656" w:rsidRDefault="00934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8077" w14:textId="77777777" w:rsidR="00142E9B" w:rsidRDefault="00142E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6DB2" w14:textId="77777777" w:rsidR="002B4DBE" w:rsidRDefault="003C248E">
    <w:r>
      <w:rPr>
        <w:noProof/>
      </w:rPr>
      <w:drawing>
        <wp:anchor distT="0" distB="0" distL="0" distR="0" simplePos="0" relativeHeight="10696575" behindDoc="1" locked="0" layoutInCell="1" allowOverlap="1" wp14:anchorId="20D66DBC" wp14:editId="20D66DBD">
          <wp:simplePos x="0" y="0"/>
          <wp:positionH relativeFrom="page">
            <wp:posOffset>0</wp:posOffset>
          </wp:positionH>
          <wp:positionV relativeFrom="page">
            <wp:posOffset>0</wp:posOffset>
          </wp:positionV>
          <wp:extent cx="285750" cy="10696575"/>
          <wp:effectExtent l="0" t="0" r="0" b="0"/>
          <wp:wrapNone/>
          <wp:docPr id="977339849" name="Picture 97733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10696575"/>
                  </a:xfrm>
                  <a:prstGeom prst="rect">
                    <a:avLst/>
                  </a:prstGeom>
                </pic:spPr>
              </pic:pic>
            </a:graphicData>
          </a:graphic>
        </wp:anchor>
      </w:drawing>
    </w:r>
  </w:p>
  <w:p w14:paraId="20D66DB3" w14:textId="77777777" w:rsidR="002B4DBE" w:rsidRDefault="003C248E">
    <w:pPr>
      <w:jc w:val="right"/>
    </w:pPr>
    <w:r>
      <w:rPr>
        <w:noProof/>
      </w:rPr>
      <w:drawing>
        <wp:inline distT="0" distB="0" distL="0" distR="0" wp14:anchorId="20D66DBE" wp14:editId="20D66DBF">
          <wp:extent cx="1104900" cy="561975"/>
          <wp:effectExtent l="0" t="0" r="0" b="0"/>
          <wp:docPr id="1701010055" name="Picture 170101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104900" cy="5619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7F15" w14:textId="77777777" w:rsidR="00142E9B" w:rsidRDefault="00142E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6433"/>
    <w:multiLevelType w:val="hybridMultilevel"/>
    <w:tmpl w:val="937A1BEA"/>
    <w:lvl w:ilvl="0" w:tplc="0C090001">
      <w:start w:val="1"/>
      <w:numFmt w:val="bullet"/>
      <w:lvlText w:val=""/>
      <w:lvlJc w:val="left"/>
      <w:pPr>
        <w:ind w:left="1060" w:hanging="360"/>
      </w:pPr>
      <w:rPr>
        <w:rFonts w:ascii="Symbol" w:hAnsi="Symbol" w:hint="default"/>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1" w15:restartNumberingAfterBreak="0">
    <w:nsid w:val="1D4522F2"/>
    <w:multiLevelType w:val="hybridMultilevel"/>
    <w:tmpl w:val="EB0CCF40"/>
    <w:lvl w:ilvl="0" w:tplc="99E6B518">
      <w:numFmt w:val="bullet"/>
      <w:lvlText w:val="•"/>
      <w:lvlJc w:val="left"/>
      <w:pPr>
        <w:ind w:left="700" w:hanging="360"/>
      </w:pPr>
      <w:rPr>
        <w:rFonts w:ascii="Calibri" w:eastAsia="Calibri" w:hAnsi="Calibri" w:cs="Calibri" w:hint="default"/>
        <w:b/>
        <w:color w:val="1C6FB5"/>
        <w:sz w:val="21"/>
      </w:rPr>
    </w:lvl>
    <w:lvl w:ilvl="1" w:tplc="0C090003" w:tentative="1">
      <w:start w:val="1"/>
      <w:numFmt w:val="bullet"/>
      <w:lvlText w:val="o"/>
      <w:lvlJc w:val="left"/>
      <w:pPr>
        <w:ind w:left="1420" w:hanging="360"/>
      </w:pPr>
      <w:rPr>
        <w:rFonts w:ascii="Courier New" w:hAnsi="Courier New" w:cs="Courier New" w:hint="default"/>
      </w:rPr>
    </w:lvl>
    <w:lvl w:ilvl="2" w:tplc="0C090005" w:tentative="1">
      <w:start w:val="1"/>
      <w:numFmt w:val="bullet"/>
      <w:lvlText w:val=""/>
      <w:lvlJc w:val="left"/>
      <w:pPr>
        <w:ind w:left="2140" w:hanging="360"/>
      </w:pPr>
      <w:rPr>
        <w:rFonts w:ascii="Wingdings" w:hAnsi="Wingdings" w:hint="default"/>
      </w:rPr>
    </w:lvl>
    <w:lvl w:ilvl="3" w:tplc="0C090001" w:tentative="1">
      <w:start w:val="1"/>
      <w:numFmt w:val="bullet"/>
      <w:lvlText w:val=""/>
      <w:lvlJc w:val="left"/>
      <w:pPr>
        <w:ind w:left="2860" w:hanging="360"/>
      </w:pPr>
      <w:rPr>
        <w:rFonts w:ascii="Symbol" w:hAnsi="Symbol" w:hint="default"/>
      </w:rPr>
    </w:lvl>
    <w:lvl w:ilvl="4" w:tplc="0C090003" w:tentative="1">
      <w:start w:val="1"/>
      <w:numFmt w:val="bullet"/>
      <w:lvlText w:val="o"/>
      <w:lvlJc w:val="left"/>
      <w:pPr>
        <w:ind w:left="3580" w:hanging="360"/>
      </w:pPr>
      <w:rPr>
        <w:rFonts w:ascii="Courier New" w:hAnsi="Courier New" w:cs="Courier New" w:hint="default"/>
      </w:rPr>
    </w:lvl>
    <w:lvl w:ilvl="5" w:tplc="0C090005" w:tentative="1">
      <w:start w:val="1"/>
      <w:numFmt w:val="bullet"/>
      <w:lvlText w:val=""/>
      <w:lvlJc w:val="left"/>
      <w:pPr>
        <w:ind w:left="4300" w:hanging="360"/>
      </w:pPr>
      <w:rPr>
        <w:rFonts w:ascii="Wingdings" w:hAnsi="Wingdings" w:hint="default"/>
      </w:rPr>
    </w:lvl>
    <w:lvl w:ilvl="6" w:tplc="0C090001" w:tentative="1">
      <w:start w:val="1"/>
      <w:numFmt w:val="bullet"/>
      <w:lvlText w:val=""/>
      <w:lvlJc w:val="left"/>
      <w:pPr>
        <w:ind w:left="5020" w:hanging="360"/>
      </w:pPr>
      <w:rPr>
        <w:rFonts w:ascii="Symbol" w:hAnsi="Symbol" w:hint="default"/>
      </w:rPr>
    </w:lvl>
    <w:lvl w:ilvl="7" w:tplc="0C090003" w:tentative="1">
      <w:start w:val="1"/>
      <w:numFmt w:val="bullet"/>
      <w:lvlText w:val="o"/>
      <w:lvlJc w:val="left"/>
      <w:pPr>
        <w:ind w:left="5740" w:hanging="360"/>
      </w:pPr>
      <w:rPr>
        <w:rFonts w:ascii="Courier New" w:hAnsi="Courier New" w:cs="Courier New" w:hint="default"/>
      </w:rPr>
    </w:lvl>
    <w:lvl w:ilvl="8" w:tplc="0C090005" w:tentative="1">
      <w:start w:val="1"/>
      <w:numFmt w:val="bullet"/>
      <w:lvlText w:val=""/>
      <w:lvlJc w:val="left"/>
      <w:pPr>
        <w:ind w:left="6460" w:hanging="360"/>
      </w:pPr>
      <w:rPr>
        <w:rFonts w:ascii="Wingdings" w:hAnsi="Wingdings" w:hint="default"/>
      </w:rPr>
    </w:lvl>
  </w:abstractNum>
  <w:abstractNum w:abstractNumId="2" w15:restartNumberingAfterBreak="0">
    <w:nsid w:val="2B244B41"/>
    <w:multiLevelType w:val="hybridMultilevel"/>
    <w:tmpl w:val="98C8B532"/>
    <w:lvl w:ilvl="0" w:tplc="99E6B518">
      <w:numFmt w:val="bullet"/>
      <w:lvlText w:val="•"/>
      <w:lvlJc w:val="left"/>
      <w:pPr>
        <w:ind w:left="1040" w:hanging="360"/>
      </w:pPr>
      <w:rPr>
        <w:rFonts w:ascii="Calibri" w:eastAsia="Calibri" w:hAnsi="Calibri" w:cs="Calibri" w:hint="default"/>
        <w:b/>
        <w:color w:val="1C6FB5"/>
        <w:sz w:val="21"/>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3" w15:restartNumberingAfterBreak="0">
    <w:nsid w:val="3C14050B"/>
    <w:multiLevelType w:val="hybridMultilevel"/>
    <w:tmpl w:val="339E7A90"/>
    <w:lvl w:ilvl="0" w:tplc="99E6B518">
      <w:numFmt w:val="bullet"/>
      <w:lvlText w:val="•"/>
      <w:lvlJc w:val="left"/>
      <w:pPr>
        <w:ind w:left="1040" w:hanging="360"/>
      </w:pPr>
      <w:rPr>
        <w:rFonts w:ascii="Calibri" w:eastAsia="Calibri" w:hAnsi="Calibri" w:cs="Calibri" w:hint="default"/>
        <w:b/>
        <w:color w:val="1C6FB5"/>
        <w:sz w:val="21"/>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4" w15:restartNumberingAfterBreak="0">
    <w:nsid w:val="5D1C4DE7"/>
    <w:multiLevelType w:val="hybridMultilevel"/>
    <w:tmpl w:val="C1F0D108"/>
    <w:lvl w:ilvl="0" w:tplc="AB428240">
      <w:start w:val="1"/>
      <w:numFmt w:val="bullet"/>
      <w:lvlText w:val="●"/>
      <w:lvlJc w:val="left"/>
      <w:pPr>
        <w:ind w:left="720" w:hanging="360"/>
      </w:pPr>
    </w:lvl>
    <w:lvl w:ilvl="1" w:tplc="56705C5E">
      <w:start w:val="1"/>
      <w:numFmt w:val="bullet"/>
      <w:lvlText w:val="○"/>
      <w:lvlJc w:val="left"/>
      <w:pPr>
        <w:ind w:left="1440" w:hanging="360"/>
      </w:pPr>
    </w:lvl>
    <w:lvl w:ilvl="2" w:tplc="E0AA6E44">
      <w:start w:val="1"/>
      <w:numFmt w:val="bullet"/>
      <w:lvlText w:val="■"/>
      <w:lvlJc w:val="left"/>
      <w:pPr>
        <w:ind w:left="2160" w:hanging="360"/>
      </w:pPr>
    </w:lvl>
    <w:lvl w:ilvl="3" w:tplc="8640EEAC">
      <w:start w:val="1"/>
      <w:numFmt w:val="bullet"/>
      <w:lvlText w:val="●"/>
      <w:lvlJc w:val="left"/>
      <w:pPr>
        <w:ind w:left="2880" w:hanging="360"/>
      </w:pPr>
    </w:lvl>
    <w:lvl w:ilvl="4" w:tplc="018A82D6">
      <w:start w:val="1"/>
      <w:numFmt w:val="bullet"/>
      <w:lvlText w:val="○"/>
      <w:lvlJc w:val="left"/>
      <w:pPr>
        <w:ind w:left="3600" w:hanging="360"/>
      </w:pPr>
    </w:lvl>
    <w:lvl w:ilvl="5" w:tplc="C4F80124">
      <w:start w:val="1"/>
      <w:numFmt w:val="bullet"/>
      <w:lvlText w:val="■"/>
      <w:lvlJc w:val="left"/>
      <w:pPr>
        <w:ind w:left="4320" w:hanging="360"/>
      </w:pPr>
    </w:lvl>
    <w:lvl w:ilvl="6" w:tplc="24AE9578">
      <w:start w:val="1"/>
      <w:numFmt w:val="bullet"/>
      <w:lvlText w:val="●"/>
      <w:lvlJc w:val="left"/>
      <w:pPr>
        <w:ind w:left="5040" w:hanging="360"/>
      </w:pPr>
    </w:lvl>
    <w:lvl w:ilvl="7" w:tplc="B8BEC32C">
      <w:start w:val="1"/>
      <w:numFmt w:val="bullet"/>
      <w:lvlText w:val="●"/>
      <w:lvlJc w:val="left"/>
      <w:pPr>
        <w:ind w:left="5760" w:hanging="360"/>
      </w:pPr>
    </w:lvl>
    <w:lvl w:ilvl="8" w:tplc="21A8A7E6">
      <w:start w:val="1"/>
      <w:numFmt w:val="bullet"/>
      <w:lvlText w:val="●"/>
      <w:lvlJc w:val="left"/>
      <w:pPr>
        <w:ind w:left="6480" w:hanging="360"/>
      </w:pPr>
    </w:lvl>
  </w:abstractNum>
  <w:abstractNum w:abstractNumId="5" w15:restartNumberingAfterBreak="0">
    <w:nsid w:val="64EA4090"/>
    <w:multiLevelType w:val="hybridMultilevel"/>
    <w:tmpl w:val="21E4A9F8"/>
    <w:lvl w:ilvl="0" w:tplc="99E6B518">
      <w:numFmt w:val="bullet"/>
      <w:lvlText w:val="•"/>
      <w:lvlJc w:val="left"/>
      <w:pPr>
        <w:ind w:left="1040" w:hanging="360"/>
      </w:pPr>
      <w:rPr>
        <w:rFonts w:ascii="Calibri" w:eastAsia="Calibri" w:hAnsi="Calibri" w:cs="Calibri" w:hint="default"/>
        <w:b/>
        <w:color w:val="1C6FB5"/>
        <w:sz w:val="21"/>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abstractNum w:abstractNumId="6" w15:restartNumberingAfterBreak="0">
    <w:nsid w:val="7DB5625A"/>
    <w:multiLevelType w:val="hybridMultilevel"/>
    <w:tmpl w:val="A80658CA"/>
    <w:lvl w:ilvl="0" w:tplc="99E6B518">
      <w:numFmt w:val="bullet"/>
      <w:lvlText w:val="•"/>
      <w:lvlJc w:val="left"/>
      <w:pPr>
        <w:ind w:left="1040" w:hanging="360"/>
      </w:pPr>
      <w:rPr>
        <w:rFonts w:ascii="Calibri" w:eastAsia="Calibri" w:hAnsi="Calibri" w:cs="Calibri" w:hint="default"/>
        <w:b/>
        <w:color w:val="1C6FB5"/>
        <w:sz w:val="21"/>
      </w:rPr>
    </w:lvl>
    <w:lvl w:ilvl="1" w:tplc="0C090003" w:tentative="1">
      <w:start w:val="1"/>
      <w:numFmt w:val="bullet"/>
      <w:lvlText w:val="o"/>
      <w:lvlJc w:val="left"/>
      <w:pPr>
        <w:ind w:left="1780" w:hanging="360"/>
      </w:pPr>
      <w:rPr>
        <w:rFonts w:ascii="Courier New" w:hAnsi="Courier New" w:cs="Courier New" w:hint="default"/>
      </w:rPr>
    </w:lvl>
    <w:lvl w:ilvl="2" w:tplc="0C090005" w:tentative="1">
      <w:start w:val="1"/>
      <w:numFmt w:val="bullet"/>
      <w:lvlText w:val=""/>
      <w:lvlJc w:val="left"/>
      <w:pPr>
        <w:ind w:left="2500" w:hanging="360"/>
      </w:pPr>
      <w:rPr>
        <w:rFonts w:ascii="Wingdings" w:hAnsi="Wingdings" w:hint="default"/>
      </w:rPr>
    </w:lvl>
    <w:lvl w:ilvl="3" w:tplc="0C090001" w:tentative="1">
      <w:start w:val="1"/>
      <w:numFmt w:val="bullet"/>
      <w:lvlText w:val=""/>
      <w:lvlJc w:val="left"/>
      <w:pPr>
        <w:ind w:left="3220" w:hanging="360"/>
      </w:pPr>
      <w:rPr>
        <w:rFonts w:ascii="Symbol" w:hAnsi="Symbol" w:hint="default"/>
      </w:rPr>
    </w:lvl>
    <w:lvl w:ilvl="4" w:tplc="0C090003" w:tentative="1">
      <w:start w:val="1"/>
      <w:numFmt w:val="bullet"/>
      <w:lvlText w:val="o"/>
      <w:lvlJc w:val="left"/>
      <w:pPr>
        <w:ind w:left="3940" w:hanging="360"/>
      </w:pPr>
      <w:rPr>
        <w:rFonts w:ascii="Courier New" w:hAnsi="Courier New" w:cs="Courier New" w:hint="default"/>
      </w:rPr>
    </w:lvl>
    <w:lvl w:ilvl="5" w:tplc="0C090005" w:tentative="1">
      <w:start w:val="1"/>
      <w:numFmt w:val="bullet"/>
      <w:lvlText w:val=""/>
      <w:lvlJc w:val="left"/>
      <w:pPr>
        <w:ind w:left="4660" w:hanging="360"/>
      </w:pPr>
      <w:rPr>
        <w:rFonts w:ascii="Wingdings" w:hAnsi="Wingdings" w:hint="default"/>
      </w:rPr>
    </w:lvl>
    <w:lvl w:ilvl="6" w:tplc="0C090001" w:tentative="1">
      <w:start w:val="1"/>
      <w:numFmt w:val="bullet"/>
      <w:lvlText w:val=""/>
      <w:lvlJc w:val="left"/>
      <w:pPr>
        <w:ind w:left="5380" w:hanging="360"/>
      </w:pPr>
      <w:rPr>
        <w:rFonts w:ascii="Symbol" w:hAnsi="Symbol" w:hint="default"/>
      </w:rPr>
    </w:lvl>
    <w:lvl w:ilvl="7" w:tplc="0C090003" w:tentative="1">
      <w:start w:val="1"/>
      <w:numFmt w:val="bullet"/>
      <w:lvlText w:val="o"/>
      <w:lvlJc w:val="left"/>
      <w:pPr>
        <w:ind w:left="6100" w:hanging="360"/>
      </w:pPr>
      <w:rPr>
        <w:rFonts w:ascii="Courier New" w:hAnsi="Courier New" w:cs="Courier New" w:hint="default"/>
      </w:rPr>
    </w:lvl>
    <w:lvl w:ilvl="8" w:tplc="0C090005" w:tentative="1">
      <w:start w:val="1"/>
      <w:numFmt w:val="bullet"/>
      <w:lvlText w:val=""/>
      <w:lvlJc w:val="left"/>
      <w:pPr>
        <w:ind w:left="6820" w:hanging="360"/>
      </w:pPr>
      <w:rPr>
        <w:rFonts w:ascii="Wingdings" w:hAnsi="Wingdings" w:hint="default"/>
      </w:rPr>
    </w:lvl>
  </w:abstractNum>
  <w:num w:numId="1" w16cid:durableId="235668403">
    <w:abstractNumId w:val="4"/>
    <w:lvlOverride w:ilvl="0">
      <w:startOverride w:val="1"/>
    </w:lvlOverride>
  </w:num>
  <w:num w:numId="2" w16cid:durableId="696732099">
    <w:abstractNumId w:val="0"/>
  </w:num>
  <w:num w:numId="3" w16cid:durableId="1014302444">
    <w:abstractNumId w:val="1"/>
  </w:num>
  <w:num w:numId="4" w16cid:durableId="2028022030">
    <w:abstractNumId w:val="3"/>
  </w:num>
  <w:num w:numId="5" w16cid:durableId="1034309810">
    <w:abstractNumId w:val="6"/>
  </w:num>
  <w:num w:numId="6" w16cid:durableId="2048482254">
    <w:abstractNumId w:val="2"/>
  </w:num>
  <w:num w:numId="7" w16cid:durableId="970406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DBE"/>
    <w:rsid w:val="00034AB1"/>
    <w:rsid w:val="000C3C54"/>
    <w:rsid w:val="000D0DD4"/>
    <w:rsid w:val="00142E9B"/>
    <w:rsid w:val="00193888"/>
    <w:rsid w:val="0019462F"/>
    <w:rsid w:val="001D0140"/>
    <w:rsid w:val="001E0A4E"/>
    <w:rsid w:val="002A1BB9"/>
    <w:rsid w:val="002B0D36"/>
    <w:rsid w:val="002B4DBE"/>
    <w:rsid w:val="00320CB7"/>
    <w:rsid w:val="00382584"/>
    <w:rsid w:val="0038353F"/>
    <w:rsid w:val="003C248E"/>
    <w:rsid w:val="00420F54"/>
    <w:rsid w:val="00451D82"/>
    <w:rsid w:val="005A46E5"/>
    <w:rsid w:val="005E7D2C"/>
    <w:rsid w:val="00666477"/>
    <w:rsid w:val="006664AC"/>
    <w:rsid w:val="00743768"/>
    <w:rsid w:val="00783793"/>
    <w:rsid w:val="007901FA"/>
    <w:rsid w:val="008E34A4"/>
    <w:rsid w:val="008E693D"/>
    <w:rsid w:val="00934656"/>
    <w:rsid w:val="00935B0B"/>
    <w:rsid w:val="009A0EA7"/>
    <w:rsid w:val="00A77808"/>
    <w:rsid w:val="00B26226"/>
    <w:rsid w:val="00B862B4"/>
    <w:rsid w:val="00BC45DC"/>
    <w:rsid w:val="00C34F46"/>
    <w:rsid w:val="00C63B56"/>
    <w:rsid w:val="00CA3D16"/>
    <w:rsid w:val="00CD06E8"/>
    <w:rsid w:val="00CF46A7"/>
    <w:rsid w:val="00D0488D"/>
    <w:rsid w:val="00E96AE7"/>
    <w:rsid w:val="00ED4447"/>
    <w:rsid w:val="00EF2B48"/>
    <w:rsid w:val="00F32ABA"/>
    <w:rsid w:val="00FB277E"/>
    <w:rsid w:val="00FD4E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6CED"/>
  <w15:docId w15:val="{10977D78-AF6B-49FA-A14C-8FE9D1F38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666477"/>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42E9B"/>
    <w:pPr>
      <w:tabs>
        <w:tab w:val="center" w:pos="4513"/>
        <w:tab w:val="right" w:pos="9026"/>
      </w:tabs>
    </w:pPr>
  </w:style>
  <w:style w:type="character" w:customStyle="1" w:styleId="HeaderChar">
    <w:name w:val="Header Char"/>
    <w:basedOn w:val="DefaultParagraphFont"/>
    <w:link w:val="Header"/>
    <w:uiPriority w:val="99"/>
    <w:rsid w:val="00142E9B"/>
  </w:style>
  <w:style w:type="paragraph" w:styleId="Footer">
    <w:name w:val="footer"/>
    <w:basedOn w:val="Normal"/>
    <w:link w:val="FooterChar"/>
    <w:uiPriority w:val="99"/>
    <w:unhideWhenUsed/>
    <w:rsid w:val="00142E9B"/>
    <w:pPr>
      <w:tabs>
        <w:tab w:val="center" w:pos="4513"/>
        <w:tab w:val="right" w:pos="9026"/>
      </w:tabs>
    </w:pPr>
  </w:style>
  <w:style w:type="character" w:customStyle="1" w:styleId="FooterChar">
    <w:name w:val="Footer Char"/>
    <w:basedOn w:val="DefaultParagraphFont"/>
    <w:link w:val="Footer"/>
    <w:uiPriority w:val="99"/>
    <w:rsid w:val="00142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27D36B46483E4BA020DBAC13589A49" ma:contentTypeVersion="14" ma:contentTypeDescription="Create a new document." ma:contentTypeScope="" ma:versionID="7fcef79160331fdd9e7506dd515118c3">
  <xsd:schema xmlns:xsd="http://www.w3.org/2001/XMLSchema" xmlns:xs="http://www.w3.org/2001/XMLSchema" xmlns:p="http://schemas.microsoft.com/office/2006/metadata/properties" xmlns:ns2="1489fffe-be64-4f31-9a1f-a450bfa18606" xmlns:ns3="4ebc4195-e51d-4fc3-8045-75e999e7c7b0" targetNamespace="http://schemas.microsoft.com/office/2006/metadata/properties" ma:root="true" ma:fieldsID="c03ba6cb930cd35530342411493bfa59" ns2:_="" ns3:_="">
    <xsd:import namespace="1489fffe-be64-4f31-9a1f-a450bfa18606"/>
    <xsd:import namespace="4ebc4195-e51d-4fc3-8045-75e999e7c7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89fffe-be64-4f31-9a1f-a450bfa186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7e6e1f5-157c-4644-ba5f-794e137d294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bc4195-e51d-4fc3-8045-75e999e7c7b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c02c8b1-9c15-4aa7-9fd2-36c4961d7562}" ma:internalName="TaxCatchAll" ma:showField="CatchAllData" ma:web="4ebc4195-e51d-4fc3-8045-75e999e7c7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89fffe-be64-4f31-9a1f-a450bfa18606">
      <Terms xmlns="http://schemas.microsoft.com/office/infopath/2007/PartnerControls"/>
    </lcf76f155ced4ddcb4097134ff3c332f>
    <TaxCatchAll xmlns="4ebc4195-e51d-4fc3-8045-75e999e7c7b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140C30-144B-44EE-A881-20F637792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89fffe-be64-4f31-9a1f-a450bfa18606"/>
    <ds:schemaRef ds:uri="4ebc4195-e51d-4fc3-8045-75e999e7c7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526D17-1D83-45AB-B798-A264CFBC5D7A}">
  <ds:schemaRefs>
    <ds:schemaRef ds:uri="http://schemas.microsoft.com/office/2006/metadata/properties"/>
    <ds:schemaRef ds:uri="http://schemas.microsoft.com/office/infopath/2007/PartnerControls"/>
    <ds:schemaRef ds:uri="1489fffe-be64-4f31-9a1f-a450bfa18606"/>
    <ds:schemaRef ds:uri="4ebc4195-e51d-4fc3-8045-75e999e7c7b0"/>
  </ds:schemaRefs>
</ds:datastoreItem>
</file>

<file path=customXml/itemProps3.xml><?xml version="1.0" encoding="utf-8"?>
<ds:datastoreItem xmlns:ds="http://schemas.openxmlformats.org/officeDocument/2006/customXml" ds:itemID="{7869CEBD-A9A3-4093-9CB6-69614481E9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1758</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ENQ26020 Feed-Water Blend Technical Bulletin</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BHF Technical Bulletin</dc:title>
  <dc:creator>BHF Technologies</dc:creator>
  <cp:lastModifiedBy>BHF Technologies</cp:lastModifiedBy>
  <cp:revision>32</cp:revision>
  <cp:lastPrinted>2026-08-10T04:41:00Z</cp:lastPrinted>
  <dcterms:created xsi:type="dcterms:W3CDTF">2026-08-04T06:58:00Z</dcterms:created>
  <dcterms:modified xsi:type="dcterms:W3CDTF">2026-08-11T00:59:00Z</dcterms:modified>
  <dc:subject/>
  <dc:description/>
  <cp:category/>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0x0101004127D36B46483E4BA020DBAC13589A49</vt:lpwstr>
  </property>
  <property fmtid="{D5CDD505-2E9C-101B-9397-08002B2CF9AE}" pid="3" name="MediaServiceImageTags">
    <vt:lpwstr/>
  </property>
</Properties>
</file>