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Estructura de Desglose del Trabajo (EDT)</w:t>
      </w:r>
    </w:p>
    <w:p>
      <w:r>
        <w:t>Proyecto: Aplicativo en línea para la SGNP. La EDT está orientada a entregables, usa sustantivos y permite verificar cuándo cada componente está completo.</w:t>
      </w:r>
    </w:p>
    <w:p>
      <w:pPr>
        <w:pStyle w:val="Heading1"/>
      </w:pPr>
      <w:r>
        <w:t>EDT en formato árbol</w:t>
      </w:r>
    </w:p>
    <w:p>
      <w:r>
        <w:t>El diagrama en árbol se presenta en el Anexo A al final del documento, en versión rotada para ajuste a hoja.</w:t>
      </w:r>
    </w:p>
    <w:p>
      <w:pPr>
        <w:pStyle w:val="Heading1"/>
      </w:pPr>
      <w:r>
        <w:t>EDT en formato tabular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Criterio de finalización</w:t>
            </w:r>
          </w:p>
        </w:tc>
      </w:tr>
      <w:tr>
        <w:tc>
          <w:tcPr>
            <w:tcW w:type="dxa" w:w="2592"/>
            <w:vAlign w:val="top"/>
          </w:tcPr>
          <w:p>
            <w:r>
              <w:t>1.0</w:t>
            </w:r>
          </w:p>
        </w:tc>
        <w:tc>
          <w:tcPr>
            <w:tcW w:type="dxa" w:w="2592"/>
            <w:vAlign w:val="top"/>
          </w:tcPr>
          <w:p>
            <w:r>
              <w:t>Aplicativo en línea para trámites notariales SGNP</w:t>
            </w:r>
          </w:p>
        </w:tc>
        <w:tc>
          <w:tcPr>
            <w:tcW w:type="dxa" w:w="2592"/>
            <w:vAlign w:val="top"/>
          </w:tcPr>
          <w:p>
            <w:r>
              <w:t>Proyecto completo</w:t>
            </w:r>
          </w:p>
        </w:tc>
        <w:tc>
          <w:tcPr>
            <w:tcW w:type="dxa" w:w="2592"/>
            <w:vAlign w:val="top"/>
          </w:tcPr>
          <w:p>
            <w:r>
              <w:t>Acta de cierre del proyecto aprobada por Tinterillos y SGNP.</w:t>
            </w:r>
          </w:p>
        </w:tc>
      </w:tr>
      <w:tr>
        <w:tc>
          <w:tcPr>
            <w:tcW w:type="dxa" w:w="2592"/>
            <w:vAlign w:val="top"/>
          </w:tcPr>
          <w:p>
            <w:r>
              <w:t>1.1</w:t>
            </w:r>
          </w:p>
        </w:tc>
        <w:tc>
          <w:tcPr>
            <w:tcW w:type="dxa" w:w="2592"/>
            <w:vAlign w:val="top"/>
          </w:tcPr>
          <w:p>
            <w:r>
              <w:t>Gerencia de proyectos</w:t>
            </w:r>
          </w:p>
        </w:tc>
        <w:tc>
          <w:tcPr>
            <w:tcW w:type="dxa" w:w="2592"/>
            <w:vAlign w:val="top"/>
          </w:tcPr>
          <w:p>
            <w:r>
              <w:t>Gestión integral del proyecto</w:t>
            </w:r>
          </w:p>
        </w:tc>
        <w:tc>
          <w:tcPr>
            <w:tcW w:type="dxa" w:w="2592"/>
            <w:vAlign w:val="top"/>
          </w:tcPr>
          <w:p>
            <w:r>
              <w:t>Plan, reportes, comités, control de cambios y cierre aprobados.</w:t>
            </w:r>
          </w:p>
        </w:tc>
      </w:tr>
      <w:tr>
        <w:tc>
          <w:tcPr>
            <w:tcW w:type="dxa" w:w="2592"/>
            <w:vAlign w:val="top"/>
          </w:tcPr>
          <w:p>
            <w:r>
              <w:t>1.1.1</w:t>
            </w:r>
          </w:p>
        </w:tc>
        <w:tc>
          <w:tcPr>
            <w:tcW w:type="dxa" w:w="2592"/>
            <w:vAlign w:val="top"/>
          </w:tcPr>
          <w:p>
            <w:r>
              <w:t>Planeación del proyecto</w:t>
            </w:r>
          </w:p>
        </w:tc>
        <w:tc>
          <w:tcPr>
            <w:tcW w:type="dxa" w:w="2592"/>
            <w:vAlign w:val="top"/>
          </w:tcPr>
          <w:p>
            <w:r>
              <w:t>Plan de gestión, cronograma base, presupuesto base y matriz RACI.</w:t>
            </w:r>
          </w:p>
        </w:tc>
        <w:tc>
          <w:tcPr>
            <w:tcW w:type="dxa" w:w="2592"/>
            <w:vAlign w:val="top"/>
          </w:tcPr>
          <w:p>
            <w:r>
              <w:t>Plan aprobado por patrocinador y equipo ejecutor.</w:t>
            </w:r>
          </w:p>
        </w:tc>
      </w:tr>
      <w:tr>
        <w:tc>
          <w:tcPr>
            <w:tcW w:type="dxa" w:w="2592"/>
            <w:vAlign w:val="top"/>
          </w:tcPr>
          <w:p>
            <w:r>
              <w:t>1.1.2</w:t>
            </w:r>
          </w:p>
        </w:tc>
        <w:tc>
          <w:tcPr>
            <w:tcW w:type="dxa" w:w="2592"/>
            <w:vAlign w:val="top"/>
          </w:tcPr>
          <w:p>
            <w:r>
              <w:t>Estimación y presupuesto</w:t>
            </w:r>
          </w:p>
        </w:tc>
        <w:tc>
          <w:tcPr>
            <w:tcW w:type="dxa" w:w="2592"/>
            <w:vAlign w:val="top"/>
          </w:tcPr>
          <w:p>
            <w:r>
              <w:t>Estimación de esfuerzo, costos, reservas y línea base de costos.</w:t>
            </w:r>
          </w:p>
        </w:tc>
        <w:tc>
          <w:tcPr>
            <w:tcW w:type="dxa" w:w="2592"/>
            <w:vAlign w:val="top"/>
          </w:tcPr>
          <w:p>
            <w:r>
              <w:t>Presupuesto base aprobado y trazable a entregables.</w:t>
            </w:r>
          </w:p>
        </w:tc>
      </w:tr>
      <w:tr>
        <w:tc>
          <w:tcPr>
            <w:tcW w:type="dxa" w:w="2592"/>
            <w:vAlign w:val="top"/>
          </w:tcPr>
          <w:p>
            <w:r>
              <w:t>1.1.3</w:t>
            </w:r>
          </w:p>
        </w:tc>
        <w:tc>
          <w:tcPr>
            <w:tcW w:type="dxa" w:w="2592"/>
            <w:vAlign w:val="top"/>
          </w:tcPr>
          <w:p>
            <w:r>
              <w:t>Seguimiento y reportes</w:t>
            </w:r>
          </w:p>
        </w:tc>
        <w:tc>
          <w:tcPr>
            <w:tcW w:type="dxa" w:w="2592"/>
            <w:vAlign w:val="top"/>
          </w:tcPr>
          <w:p>
            <w:r>
              <w:t>Informes de avance, tablero de hitos, riesgos, costos y calidad.</w:t>
            </w:r>
          </w:p>
        </w:tc>
        <w:tc>
          <w:tcPr>
            <w:tcW w:type="dxa" w:w="2592"/>
            <w:vAlign w:val="top"/>
          </w:tcPr>
          <w:p>
            <w:r>
              <w:t>Reportes periódicos entregados y revisados en comité.</w:t>
            </w:r>
          </w:p>
        </w:tc>
      </w:tr>
      <w:tr>
        <w:tc>
          <w:tcPr>
            <w:tcW w:type="dxa" w:w="2592"/>
            <w:vAlign w:val="top"/>
          </w:tcPr>
          <w:p>
            <w:r>
              <w:t>1.1.4</w:t>
            </w:r>
          </w:p>
        </w:tc>
        <w:tc>
          <w:tcPr>
            <w:tcW w:type="dxa" w:w="2592"/>
            <w:vAlign w:val="top"/>
          </w:tcPr>
          <w:p>
            <w:r>
              <w:t>Control de cambios</w:t>
            </w:r>
          </w:p>
        </w:tc>
        <w:tc>
          <w:tcPr>
            <w:tcW w:type="dxa" w:w="2592"/>
            <w:vAlign w:val="top"/>
          </w:tcPr>
          <w:p>
            <w:r>
              <w:t>Registro, análisis de impacto y decisiones sobre cambios de alcance.</w:t>
            </w:r>
          </w:p>
        </w:tc>
        <w:tc>
          <w:tcPr>
            <w:tcW w:type="dxa" w:w="2592"/>
            <w:vAlign w:val="top"/>
          </w:tcPr>
          <w:p>
            <w:r>
              <w:t>Solicitudes aprobadas, rechazadas o diferidas con soporte.</w:t>
            </w:r>
          </w:p>
        </w:tc>
      </w:tr>
      <w:tr>
        <w:tc>
          <w:tcPr>
            <w:tcW w:type="dxa" w:w="2592"/>
            <w:vAlign w:val="top"/>
          </w:tcPr>
          <w:p>
            <w:r>
              <w:t>1.1.5</w:t>
            </w:r>
          </w:p>
        </w:tc>
        <w:tc>
          <w:tcPr>
            <w:tcW w:type="dxa" w:w="2592"/>
            <w:vAlign w:val="top"/>
          </w:tcPr>
          <w:p>
            <w:r>
              <w:t>Cierre del proyecto</w:t>
            </w:r>
          </w:p>
        </w:tc>
        <w:tc>
          <w:tcPr>
            <w:tcW w:type="dxa" w:w="2592"/>
            <w:vAlign w:val="top"/>
          </w:tcPr>
          <w:p>
            <w:r>
              <w:t>Acta de aceptación, lecciones aprendidas y transferencia operacional.</w:t>
            </w:r>
          </w:p>
        </w:tc>
        <w:tc>
          <w:tcPr>
            <w:tcW w:type="dxa" w:w="2592"/>
            <w:vAlign w:val="top"/>
          </w:tcPr>
          <w:p>
            <w:r>
              <w:t>Aceptación formal y documentación de cierre firmada.</w:t>
            </w:r>
          </w:p>
        </w:tc>
      </w:tr>
      <w:tr>
        <w:tc>
          <w:tcPr>
            <w:tcW w:type="dxa" w:w="2592"/>
            <w:vAlign w:val="top"/>
          </w:tcPr>
          <w:p>
            <w:r>
              <w:t>1.2</w:t>
            </w:r>
          </w:p>
        </w:tc>
        <w:tc>
          <w:tcPr>
            <w:tcW w:type="dxa" w:w="2592"/>
            <w:vAlign w:val="top"/>
          </w:tcPr>
          <w:p>
            <w:r>
              <w:t>Diagnóstico y arquitectura</w:t>
            </w:r>
          </w:p>
        </w:tc>
        <w:tc>
          <w:tcPr>
            <w:tcW w:type="dxa" w:w="2592"/>
            <w:vAlign w:val="top"/>
          </w:tcPr>
          <w:p>
            <w:r>
              <w:t>Evaluación técnica y diseño objetivo de la solución.</w:t>
            </w:r>
          </w:p>
        </w:tc>
        <w:tc>
          <w:tcPr>
            <w:tcW w:type="dxa" w:w="2592"/>
            <w:vAlign w:val="top"/>
          </w:tcPr>
          <w:p>
            <w:r>
              <w:t>Arquitectura aprobada y brechas priorizadas.</w:t>
            </w:r>
          </w:p>
        </w:tc>
      </w:tr>
      <w:tr>
        <w:tc>
          <w:tcPr>
            <w:tcW w:type="dxa" w:w="2592"/>
            <w:vAlign w:val="top"/>
          </w:tcPr>
          <w:p>
            <w:r>
              <w:t>1.2.1</w:t>
            </w:r>
          </w:p>
        </w:tc>
        <w:tc>
          <w:tcPr>
            <w:tcW w:type="dxa" w:w="2592"/>
            <w:vAlign w:val="top"/>
          </w:tcPr>
          <w:p>
            <w:r>
              <w:t>Diagnóstico de infraestructura</w:t>
            </w:r>
          </w:p>
        </w:tc>
        <w:tc>
          <w:tcPr>
            <w:tcW w:type="dxa" w:w="2592"/>
            <w:vAlign w:val="top"/>
          </w:tcPr>
          <w:p>
            <w:r>
              <w:t>Inventario de conectividad, servidores, ambientes, seguridad y protocolos.</w:t>
            </w:r>
          </w:p>
        </w:tc>
        <w:tc>
          <w:tcPr>
            <w:tcW w:type="dxa" w:w="2592"/>
            <w:vAlign w:val="top"/>
          </w:tcPr>
          <w:p>
            <w:r>
              <w:t>Informe de diagnóstico validado por entidades participantes.</w:t>
            </w:r>
          </w:p>
        </w:tc>
      </w:tr>
      <w:tr>
        <w:tc>
          <w:tcPr>
            <w:tcW w:type="dxa" w:w="2592"/>
            <w:vAlign w:val="top"/>
          </w:tcPr>
          <w:p>
            <w:r>
              <w:t>1.2.2</w:t>
            </w:r>
          </w:p>
        </w:tc>
        <w:tc>
          <w:tcPr>
            <w:tcW w:type="dxa" w:w="2592"/>
            <w:vAlign w:val="top"/>
          </w:tcPr>
          <w:p>
            <w:r>
              <w:t>Dimensionamiento de demanda</w:t>
            </w:r>
          </w:p>
        </w:tc>
        <w:tc>
          <w:tcPr>
            <w:tcW w:type="dxa" w:w="2592"/>
            <w:vAlign w:val="top"/>
          </w:tcPr>
          <w:p>
            <w:r>
              <w:t>Volumen de datos, transacciones, concurrencia y crecimiento esperado.</w:t>
            </w:r>
          </w:p>
        </w:tc>
        <w:tc>
          <w:tcPr>
            <w:tcW w:type="dxa" w:w="2592"/>
            <w:vAlign w:val="top"/>
          </w:tcPr>
          <w:p>
            <w:r>
              <w:t>Modelo de capacidad aprobado con supuestos documentados.</w:t>
            </w:r>
          </w:p>
        </w:tc>
      </w:tr>
      <w:tr>
        <w:tc>
          <w:tcPr>
            <w:tcW w:type="dxa" w:w="2592"/>
            <w:vAlign w:val="top"/>
          </w:tcPr>
          <w:p>
            <w:r>
              <w:t>1.2.3</w:t>
            </w:r>
          </w:p>
        </w:tc>
        <w:tc>
          <w:tcPr>
            <w:tcW w:type="dxa" w:w="2592"/>
            <w:vAlign w:val="top"/>
          </w:tcPr>
          <w:p>
            <w:r>
              <w:t>Arquitectura de integración</w:t>
            </w:r>
          </w:p>
        </w:tc>
        <w:tc>
          <w:tcPr>
            <w:tcW w:type="dxa" w:w="2592"/>
            <w:vAlign w:val="top"/>
          </w:tcPr>
          <w:p>
            <w:r>
              <w:t>Diseño de microservicios, integraciones y comunicaciones con entidades.</w:t>
            </w:r>
          </w:p>
        </w:tc>
        <w:tc>
          <w:tcPr>
            <w:tcW w:type="dxa" w:w="2592"/>
            <w:vAlign w:val="top"/>
          </w:tcPr>
          <w:p>
            <w:r>
              <w:t>Documento de arquitectura aprobado por Turing y Tinterillos.</w:t>
            </w:r>
          </w:p>
        </w:tc>
      </w:tr>
      <w:tr>
        <w:tc>
          <w:tcPr>
            <w:tcW w:type="dxa" w:w="2592"/>
            <w:vAlign w:val="top"/>
          </w:tcPr>
          <w:p>
            <w:r>
              <w:t>1.2.4</w:t>
            </w:r>
          </w:p>
        </w:tc>
        <w:tc>
          <w:tcPr>
            <w:tcW w:type="dxa" w:w="2592"/>
            <w:vAlign w:val="top"/>
          </w:tcPr>
          <w:p>
            <w:r>
              <w:t>Diseño de seguridad</w:t>
            </w:r>
          </w:p>
        </w:tc>
        <w:tc>
          <w:tcPr>
            <w:tcW w:type="dxa" w:w="2592"/>
            <w:vAlign w:val="top"/>
          </w:tcPr>
          <w:p>
            <w:r>
              <w:t>Controles de confidencialidad, integridad, autenticación y auditoría.</w:t>
            </w:r>
          </w:p>
        </w:tc>
        <w:tc>
          <w:tcPr>
            <w:tcW w:type="dxa" w:w="2592"/>
            <w:vAlign w:val="top"/>
          </w:tcPr>
          <w:p>
            <w:r>
              <w:t>Controles trazados a riesgos y requisitos de identidad.</w:t>
            </w:r>
          </w:p>
        </w:tc>
      </w:tr>
      <w:tr>
        <w:tc>
          <w:tcPr>
            <w:tcW w:type="dxa" w:w="2592"/>
            <w:vAlign w:val="top"/>
          </w:tcPr>
          <w:p>
            <w:r>
              <w:t>1.3</w:t>
            </w:r>
          </w:p>
        </w:tc>
        <w:tc>
          <w:tcPr>
            <w:tcW w:type="dxa" w:w="2592"/>
            <w:vAlign w:val="top"/>
          </w:tcPr>
          <w:p>
            <w:r>
              <w:t>Funcionalidades notariales en línea</w:t>
            </w:r>
          </w:p>
        </w:tc>
        <w:tc>
          <w:tcPr>
            <w:tcW w:type="dxa" w:w="2592"/>
            <w:vAlign w:val="top"/>
          </w:tcPr>
          <w:p>
            <w:r>
              <w:t>Módulos funcionales para compraventa de inmuebles.</w:t>
            </w:r>
          </w:p>
        </w:tc>
        <w:tc>
          <w:tcPr>
            <w:tcW w:type="dxa" w:w="2592"/>
            <w:vAlign w:val="top"/>
          </w:tcPr>
          <w:p>
            <w:r>
              <w:t>Funcionalidades desarrolladas y probadas en ambiente de pruebas.</w:t>
            </w:r>
          </w:p>
        </w:tc>
      </w:tr>
      <w:tr>
        <w:tc>
          <w:tcPr>
            <w:tcW w:type="dxa" w:w="2592"/>
            <w:vAlign w:val="top"/>
          </w:tcPr>
          <w:p>
            <w:r>
              <w:t>1.3.1</w:t>
            </w:r>
          </w:p>
        </w:tc>
        <w:tc>
          <w:tcPr>
            <w:tcW w:type="dxa" w:w="2592"/>
            <w:vAlign w:val="top"/>
          </w:tcPr>
          <w:p>
            <w:r>
              <w:t>Citas virtuales</w:t>
            </w:r>
          </w:p>
        </w:tc>
        <w:tc>
          <w:tcPr>
            <w:tcW w:type="dxa" w:w="2592"/>
            <w:vAlign w:val="top"/>
          </w:tcPr>
          <w:p>
            <w:r>
              <w:t>Programación y administración de citas entre partes y notaría.</w:t>
            </w:r>
          </w:p>
        </w:tc>
        <w:tc>
          <w:tcPr>
            <w:tcW w:type="dxa" w:w="2592"/>
            <w:vAlign w:val="top"/>
          </w:tcPr>
          <w:p>
            <w:r>
              <w:t>Citas creadas, modificadas y consultadas correctamente.</w:t>
            </w:r>
          </w:p>
        </w:tc>
      </w:tr>
      <w:tr>
        <w:tc>
          <w:tcPr>
            <w:tcW w:type="dxa" w:w="2592"/>
            <w:vAlign w:val="top"/>
          </w:tcPr>
          <w:p>
            <w:r>
              <w:t>1.3.2</w:t>
            </w:r>
          </w:p>
        </w:tc>
        <w:tc>
          <w:tcPr>
            <w:tcW w:type="dxa" w:w="2592"/>
            <w:vAlign w:val="top"/>
          </w:tcPr>
          <w:p>
            <w:r>
              <w:t>Identificación biométrica</w:t>
            </w:r>
          </w:p>
        </w:tc>
        <w:tc>
          <w:tcPr>
            <w:tcW w:type="dxa" w:w="2592"/>
            <w:vAlign w:val="top"/>
          </w:tcPr>
          <w:p>
            <w:r>
              <w:t>Validación facial, por voz y por huella de participantes.</w:t>
            </w:r>
          </w:p>
        </w:tc>
        <w:tc>
          <w:tcPr>
            <w:tcW w:type="dxa" w:w="2592"/>
            <w:vAlign w:val="top"/>
          </w:tcPr>
          <w:p>
            <w:r>
              <w:t>Identidad validada con tres factores y registro de auditoría.</w:t>
            </w:r>
          </w:p>
        </w:tc>
      </w:tr>
      <w:tr>
        <w:tc>
          <w:tcPr>
            <w:tcW w:type="dxa" w:w="2592"/>
            <w:vAlign w:val="top"/>
          </w:tcPr>
          <w:p>
            <w:r>
              <w:t>1.3.3</w:t>
            </w:r>
          </w:p>
        </w:tc>
        <w:tc>
          <w:tcPr>
            <w:tcW w:type="dxa" w:w="2592"/>
            <w:vAlign w:val="top"/>
          </w:tcPr>
          <w:p>
            <w:r>
              <w:t>Gestión documental</w:t>
            </w:r>
          </w:p>
        </w:tc>
        <w:tc>
          <w:tcPr>
            <w:tcW w:type="dxa" w:w="2592"/>
            <w:vAlign w:val="top"/>
          </w:tcPr>
          <w:p>
            <w:r>
              <w:t>Carga, consulta y control de escrituras electrónicas.</w:t>
            </w:r>
          </w:p>
        </w:tc>
        <w:tc>
          <w:tcPr>
            <w:tcW w:type="dxa" w:w="2592"/>
            <w:vAlign w:val="top"/>
          </w:tcPr>
          <w:p>
            <w:r>
              <w:t>Escrituras disponibles, versionadas y protegidas.</w:t>
            </w:r>
          </w:p>
        </w:tc>
      </w:tr>
      <w:tr>
        <w:tc>
          <w:tcPr>
            <w:tcW w:type="dxa" w:w="2592"/>
            <w:vAlign w:val="top"/>
          </w:tcPr>
          <w:p>
            <w:r>
              <w:t>1.3.4</w:t>
            </w:r>
          </w:p>
        </w:tc>
        <w:tc>
          <w:tcPr>
            <w:tcW w:type="dxa" w:w="2592"/>
            <w:vAlign w:val="top"/>
          </w:tcPr>
          <w:p>
            <w:r>
              <w:t>Anotaciones documentales</w:t>
            </w:r>
          </w:p>
        </w:tc>
        <w:tc>
          <w:tcPr>
            <w:tcW w:type="dxa" w:w="2592"/>
            <w:vAlign w:val="top"/>
          </w:tcPr>
          <w:p>
            <w:r>
              <w:t>Comentarios y observaciones de participantes sobre documentos.</w:t>
            </w:r>
          </w:p>
        </w:tc>
        <w:tc>
          <w:tcPr>
            <w:tcW w:type="dxa" w:w="2592"/>
            <w:vAlign w:val="top"/>
          </w:tcPr>
          <w:p>
            <w:r>
              <w:t>Anotaciones registradas y visibles para revisión notarial.</w:t>
            </w:r>
          </w:p>
        </w:tc>
      </w:tr>
      <w:tr>
        <w:tc>
          <w:tcPr>
            <w:tcW w:type="dxa" w:w="2592"/>
            <w:vAlign w:val="top"/>
          </w:tcPr>
          <w:p>
            <w:r>
              <w:t>1.3.5</w:t>
            </w:r>
          </w:p>
        </w:tc>
        <w:tc>
          <w:tcPr>
            <w:tcW w:type="dxa" w:w="2592"/>
            <w:vAlign w:val="top"/>
          </w:tcPr>
          <w:p>
            <w:r>
              <w:t>Flujos de trabajo</w:t>
            </w:r>
          </w:p>
        </w:tc>
        <w:tc>
          <w:tcPr>
            <w:tcW w:type="dxa" w:w="2592"/>
            <w:vAlign w:val="top"/>
          </w:tcPr>
          <w:p>
            <w:r>
              <w:t>Automatización del proceso de compraventa de inmuebles.</w:t>
            </w:r>
          </w:p>
        </w:tc>
        <w:tc>
          <w:tcPr>
            <w:tcW w:type="dxa" w:w="2592"/>
            <w:vAlign w:val="top"/>
          </w:tcPr>
          <w:p>
            <w:r>
              <w:t>Estados del trámite ejecutados según reglas definidas.</w:t>
            </w:r>
          </w:p>
        </w:tc>
      </w:tr>
      <w:tr>
        <w:tc>
          <w:tcPr>
            <w:tcW w:type="dxa" w:w="2592"/>
            <w:vAlign w:val="top"/>
          </w:tcPr>
          <w:p>
            <w:r>
              <w:t>1.4</w:t>
            </w:r>
          </w:p>
        </w:tc>
        <w:tc>
          <w:tcPr>
            <w:tcW w:type="dxa" w:w="2592"/>
            <w:vAlign w:val="top"/>
          </w:tcPr>
          <w:p>
            <w:r>
              <w:t>Plataforma tecnológica</w:t>
            </w:r>
          </w:p>
        </w:tc>
        <w:tc>
          <w:tcPr>
            <w:tcW w:type="dxa" w:w="2592"/>
            <w:vAlign w:val="top"/>
          </w:tcPr>
          <w:p>
            <w:r>
              <w:t>Infraestructura, ambientes y operación técnica.</w:t>
            </w:r>
          </w:p>
        </w:tc>
        <w:tc>
          <w:tcPr>
            <w:tcW w:type="dxa" w:w="2592"/>
            <w:vAlign w:val="top"/>
          </w:tcPr>
          <w:p>
            <w:r>
              <w:t>Ambientes listos para pruebas, piloto y producción.</w:t>
            </w:r>
          </w:p>
        </w:tc>
      </w:tr>
      <w:tr>
        <w:tc>
          <w:tcPr>
            <w:tcW w:type="dxa" w:w="2592"/>
            <w:vAlign w:val="top"/>
          </w:tcPr>
          <w:p>
            <w:r>
              <w:t>1.4.1</w:t>
            </w:r>
          </w:p>
        </w:tc>
        <w:tc>
          <w:tcPr>
            <w:tcW w:type="dxa" w:w="2592"/>
            <w:vAlign w:val="top"/>
          </w:tcPr>
          <w:p>
            <w:r>
              <w:t>Ambientes de desarrollo y pruebas</w:t>
            </w:r>
          </w:p>
        </w:tc>
        <w:tc>
          <w:tcPr>
            <w:tcW w:type="dxa" w:w="2592"/>
            <w:vAlign w:val="top"/>
          </w:tcPr>
          <w:p>
            <w:r>
              <w:t>Configuración de ambientes, datos de prueba y despliegues.</w:t>
            </w:r>
          </w:p>
        </w:tc>
        <w:tc>
          <w:tcPr>
            <w:tcW w:type="dxa" w:w="2592"/>
            <w:vAlign w:val="top"/>
          </w:tcPr>
          <w:p>
            <w:r>
              <w:t>Ambientes disponibles y documentados.</w:t>
            </w:r>
          </w:p>
        </w:tc>
      </w:tr>
      <w:tr>
        <w:tc>
          <w:tcPr>
            <w:tcW w:type="dxa" w:w="2592"/>
            <w:vAlign w:val="top"/>
          </w:tcPr>
          <w:p>
            <w:r>
              <w:t>1.4.2</w:t>
            </w:r>
          </w:p>
        </w:tc>
        <w:tc>
          <w:tcPr>
            <w:tcW w:type="dxa" w:w="2592"/>
            <w:vAlign w:val="top"/>
          </w:tcPr>
          <w:p>
            <w:r>
              <w:t>Escalabilidad y desempeño</w:t>
            </w:r>
          </w:p>
        </w:tc>
        <w:tc>
          <w:tcPr>
            <w:tcW w:type="dxa" w:w="2592"/>
            <w:vAlign w:val="top"/>
          </w:tcPr>
          <w:p>
            <w:r>
              <w:t>Capacidad, balanceo, tiempos de respuesta y pruebas de carga.</w:t>
            </w:r>
          </w:p>
        </w:tc>
        <w:tc>
          <w:tcPr>
            <w:tcW w:type="dxa" w:w="2592"/>
            <w:vAlign w:val="top"/>
          </w:tcPr>
          <w:p>
            <w:r>
              <w:t>Resultados dentro de umbrales aprobados.</w:t>
            </w:r>
          </w:p>
        </w:tc>
      </w:tr>
      <w:tr>
        <w:tc>
          <w:tcPr>
            <w:tcW w:type="dxa" w:w="2592"/>
            <w:vAlign w:val="top"/>
          </w:tcPr>
          <w:p>
            <w:r>
              <w:t>1.4.3</w:t>
            </w:r>
          </w:p>
        </w:tc>
        <w:tc>
          <w:tcPr>
            <w:tcW w:type="dxa" w:w="2592"/>
            <w:vAlign w:val="top"/>
          </w:tcPr>
          <w:p>
            <w:r>
              <w:t>Disponibilidad y continuidad</w:t>
            </w:r>
          </w:p>
        </w:tc>
        <w:tc>
          <w:tcPr>
            <w:tcW w:type="dxa" w:w="2592"/>
            <w:vAlign w:val="top"/>
          </w:tcPr>
          <w:p>
            <w:r>
              <w:t>Monitoreo, respaldo, recuperación y contingencia.</w:t>
            </w:r>
          </w:p>
        </w:tc>
        <w:tc>
          <w:tcPr>
            <w:tcW w:type="dxa" w:w="2592"/>
            <w:vAlign w:val="top"/>
          </w:tcPr>
          <w:p>
            <w:r>
              <w:t>Plan probado con evidencia de recuperación.</w:t>
            </w:r>
          </w:p>
        </w:tc>
      </w:tr>
      <w:tr>
        <w:tc>
          <w:tcPr>
            <w:tcW w:type="dxa" w:w="2592"/>
            <w:vAlign w:val="top"/>
          </w:tcPr>
          <w:p>
            <w:r>
              <w:t>1.4.4</w:t>
            </w:r>
          </w:p>
        </w:tc>
        <w:tc>
          <w:tcPr>
            <w:tcW w:type="dxa" w:w="2592"/>
            <w:vAlign w:val="top"/>
          </w:tcPr>
          <w:p>
            <w:r>
              <w:t>Integración con plataforma actual</w:t>
            </w:r>
          </w:p>
        </w:tc>
        <w:tc>
          <w:tcPr>
            <w:tcW w:type="dxa" w:w="2592"/>
            <w:vAlign w:val="top"/>
          </w:tcPr>
          <w:p>
            <w:r>
              <w:t>Conexión con microservicios Spring Boot y servicios existentes.</w:t>
            </w:r>
          </w:p>
        </w:tc>
        <w:tc>
          <w:tcPr>
            <w:tcW w:type="dxa" w:w="2592"/>
            <w:vAlign w:val="top"/>
          </w:tcPr>
          <w:p>
            <w:r>
              <w:t>Integraciones funcionando con pruebas end-to-end.</w:t>
            </w:r>
          </w:p>
        </w:tc>
      </w:tr>
      <w:tr>
        <w:tc>
          <w:tcPr>
            <w:tcW w:type="dxa" w:w="2592"/>
            <w:vAlign w:val="top"/>
          </w:tcPr>
          <w:p>
            <w:r>
              <w:t>1.5</w:t>
            </w:r>
          </w:p>
        </w:tc>
        <w:tc>
          <w:tcPr>
            <w:tcW w:type="dxa" w:w="2592"/>
            <w:vAlign w:val="top"/>
          </w:tcPr>
          <w:p>
            <w:r>
              <w:t>Calidad, pruebas y aceptación</w:t>
            </w:r>
          </w:p>
        </w:tc>
        <w:tc>
          <w:tcPr>
            <w:tcW w:type="dxa" w:w="2592"/>
            <w:vAlign w:val="top"/>
          </w:tcPr>
          <w:p>
            <w:r>
              <w:t>Verificación funcional, técnica y de seguridad.</w:t>
            </w:r>
          </w:p>
        </w:tc>
        <w:tc>
          <w:tcPr>
            <w:tcW w:type="dxa" w:w="2592"/>
            <w:vAlign w:val="top"/>
          </w:tcPr>
          <w:p>
            <w:r>
              <w:t>Evidencia de pruebas y aceptación del usuario.</w:t>
            </w:r>
          </w:p>
        </w:tc>
      </w:tr>
      <w:tr>
        <w:tc>
          <w:tcPr>
            <w:tcW w:type="dxa" w:w="2592"/>
            <w:vAlign w:val="top"/>
          </w:tcPr>
          <w:p>
            <w:r>
              <w:t>1.5.1</w:t>
            </w:r>
          </w:p>
        </w:tc>
        <w:tc>
          <w:tcPr>
            <w:tcW w:type="dxa" w:w="2592"/>
            <w:vAlign w:val="top"/>
          </w:tcPr>
          <w:p>
            <w:r>
              <w:t>Pruebas funcionales</w:t>
            </w:r>
          </w:p>
        </w:tc>
        <w:tc>
          <w:tcPr>
            <w:tcW w:type="dxa" w:w="2592"/>
            <w:vAlign w:val="top"/>
          </w:tcPr>
          <w:p>
            <w:r>
              <w:t>Casos de prueba de citas, documentos, biometría y flujos.</w:t>
            </w:r>
          </w:p>
        </w:tc>
        <w:tc>
          <w:tcPr>
            <w:tcW w:type="dxa" w:w="2592"/>
            <w:vAlign w:val="top"/>
          </w:tcPr>
          <w:p>
            <w:r>
              <w:t>Casos críticos ejecutados con defectos cerrados.</w:t>
            </w:r>
          </w:p>
        </w:tc>
      </w:tr>
      <w:tr>
        <w:tc>
          <w:tcPr>
            <w:tcW w:type="dxa" w:w="2592"/>
            <w:vAlign w:val="top"/>
          </w:tcPr>
          <w:p>
            <w:r>
              <w:t>1.5.2</w:t>
            </w:r>
          </w:p>
        </w:tc>
        <w:tc>
          <w:tcPr>
            <w:tcW w:type="dxa" w:w="2592"/>
            <w:vAlign w:val="top"/>
          </w:tcPr>
          <w:p>
            <w:r>
              <w:t>Pruebas de seguridad</w:t>
            </w:r>
          </w:p>
        </w:tc>
        <w:tc>
          <w:tcPr>
            <w:tcW w:type="dxa" w:w="2592"/>
            <w:vAlign w:val="top"/>
          </w:tcPr>
          <w:p>
            <w:r>
              <w:t>Validación de acceso, identidad, auditoría e integridad documental.</w:t>
            </w:r>
          </w:p>
        </w:tc>
        <w:tc>
          <w:tcPr>
            <w:tcW w:type="dxa" w:w="2592"/>
            <w:vAlign w:val="top"/>
          </w:tcPr>
          <w:p>
            <w:r>
              <w:t>Hallazgos críticos cerrados antes de producción.</w:t>
            </w:r>
          </w:p>
        </w:tc>
      </w:tr>
      <w:tr>
        <w:tc>
          <w:tcPr>
            <w:tcW w:type="dxa" w:w="2592"/>
            <w:vAlign w:val="top"/>
          </w:tcPr>
          <w:p>
            <w:r>
              <w:t>1.5.3</w:t>
            </w:r>
          </w:p>
        </w:tc>
        <w:tc>
          <w:tcPr>
            <w:tcW w:type="dxa" w:w="2592"/>
            <w:vAlign w:val="top"/>
          </w:tcPr>
          <w:p>
            <w:r>
              <w:t>Pruebas de desempeño</w:t>
            </w:r>
          </w:p>
        </w:tc>
        <w:tc>
          <w:tcPr>
            <w:tcW w:type="dxa" w:w="2592"/>
            <w:vAlign w:val="top"/>
          </w:tcPr>
          <w:p>
            <w:r>
              <w:t>Carga, concurrencia y tiempos de respuesta.</w:t>
            </w:r>
          </w:p>
        </w:tc>
        <w:tc>
          <w:tcPr>
            <w:tcW w:type="dxa" w:w="2592"/>
            <w:vAlign w:val="top"/>
          </w:tcPr>
          <w:p>
            <w:r>
              <w:t>Resultados cumplen criterios definidos.</w:t>
            </w:r>
          </w:p>
        </w:tc>
      </w:tr>
      <w:tr>
        <w:tc>
          <w:tcPr>
            <w:tcW w:type="dxa" w:w="2592"/>
            <w:vAlign w:val="top"/>
          </w:tcPr>
          <w:p>
            <w:r>
              <w:t>1.5.4</w:t>
            </w:r>
          </w:p>
        </w:tc>
        <w:tc>
          <w:tcPr>
            <w:tcW w:type="dxa" w:w="2592"/>
            <w:vAlign w:val="top"/>
          </w:tcPr>
          <w:p>
            <w:r>
              <w:t>Aceptación de usuarios</w:t>
            </w:r>
          </w:p>
        </w:tc>
        <w:tc>
          <w:tcPr>
            <w:tcW w:type="dxa" w:w="2592"/>
            <w:vAlign w:val="top"/>
          </w:tcPr>
          <w:p>
            <w:r>
              <w:t>Validación con notarios, funcionarios y representantes de usuarios.</w:t>
            </w:r>
          </w:p>
        </w:tc>
        <w:tc>
          <w:tcPr>
            <w:tcW w:type="dxa" w:w="2592"/>
            <w:vAlign w:val="top"/>
          </w:tcPr>
          <w:p>
            <w:r>
              <w:t>Acta de aceptación de piloto firmada.</w:t>
            </w:r>
          </w:p>
        </w:tc>
      </w:tr>
      <w:tr>
        <w:tc>
          <w:tcPr>
            <w:tcW w:type="dxa" w:w="2592"/>
            <w:vAlign w:val="top"/>
          </w:tcPr>
          <w:p>
            <w:r>
              <w:t>1.6</w:t>
            </w:r>
          </w:p>
        </w:tc>
        <w:tc>
          <w:tcPr>
            <w:tcW w:type="dxa" w:w="2592"/>
            <w:vAlign w:val="top"/>
          </w:tcPr>
          <w:p>
            <w:r>
              <w:t>Gestión del cambio y despliegue</w:t>
            </w:r>
          </w:p>
        </w:tc>
        <w:tc>
          <w:tcPr>
            <w:tcW w:type="dxa" w:w="2592"/>
            <w:vAlign w:val="top"/>
          </w:tcPr>
          <w:p>
            <w:r>
              <w:t>Preparación organizacional y salida a producción.</w:t>
            </w:r>
          </w:p>
        </w:tc>
        <w:tc>
          <w:tcPr>
            <w:tcW w:type="dxa" w:w="2592"/>
            <w:vAlign w:val="top"/>
          </w:tcPr>
          <w:p>
            <w:r>
              <w:t>Usuarios preparados y solución operando en notarías objetivo.</w:t>
            </w:r>
          </w:p>
        </w:tc>
      </w:tr>
      <w:tr>
        <w:tc>
          <w:tcPr>
            <w:tcW w:type="dxa" w:w="2592"/>
            <w:vAlign w:val="top"/>
          </w:tcPr>
          <w:p>
            <w:r>
              <w:t>1.6.1</w:t>
            </w:r>
          </w:p>
        </w:tc>
        <w:tc>
          <w:tcPr>
            <w:tcW w:type="dxa" w:w="2592"/>
            <w:vAlign w:val="top"/>
          </w:tcPr>
          <w:p>
            <w:r>
              <w:t>Capacitación</w:t>
            </w:r>
          </w:p>
        </w:tc>
        <w:tc>
          <w:tcPr>
            <w:tcW w:type="dxa" w:w="2592"/>
            <w:vAlign w:val="top"/>
          </w:tcPr>
          <w:p>
            <w:r>
              <w:t>Materiales, sesiones y guías para notarios y funcionarios.</w:t>
            </w:r>
          </w:p>
        </w:tc>
        <w:tc>
          <w:tcPr>
            <w:tcW w:type="dxa" w:w="2592"/>
            <w:vAlign w:val="top"/>
          </w:tcPr>
          <w:p>
            <w:r>
              <w:t>Usuarios clave capacitados y asistencia registrada.</w:t>
            </w:r>
          </w:p>
        </w:tc>
      </w:tr>
      <w:tr>
        <w:tc>
          <w:tcPr>
            <w:tcW w:type="dxa" w:w="2592"/>
            <w:vAlign w:val="top"/>
          </w:tcPr>
          <w:p>
            <w:r>
              <w:t>1.6.2</w:t>
            </w:r>
          </w:p>
        </w:tc>
        <w:tc>
          <w:tcPr>
            <w:tcW w:type="dxa" w:w="2592"/>
            <w:vAlign w:val="top"/>
          </w:tcPr>
          <w:p>
            <w:r>
              <w:t>Comunicaciones</w:t>
            </w:r>
          </w:p>
        </w:tc>
        <w:tc>
          <w:tcPr>
            <w:tcW w:type="dxa" w:w="2592"/>
            <w:vAlign w:val="top"/>
          </w:tcPr>
          <w:p>
            <w:r>
              <w:t>Mensajes de adopción, instrucciones y canales de soporte.</w:t>
            </w:r>
          </w:p>
        </w:tc>
        <w:tc>
          <w:tcPr>
            <w:tcW w:type="dxa" w:w="2592"/>
            <w:vAlign w:val="top"/>
          </w:tcPr>
          <w:p>
            <w:r>
              <w:t>Comunicaciones publicadas a públicos definidos.</w:t>
            </w:r>
          </w:p>
        </w:tc>
      </w:tr>
      <w:tr>
        <w:tc>
          <w:tcPr>
            <w:tcW w:type="dxa" w:w="2592"/>
            <w:vAlign w:val="top"/>
          </w:tcPr>
          <w:p>
            <w:r>
              <w:t>1.6.3</w:t>
            </w:r>
          </w:p>
        </w:tc>
        <w:tc>
          <w:tcPr>
            <w:tcW w:type="dxa" w:w="2592"/>
            <w:vAlign w:val="top"/>
          </w:tcPr>
          <w:p>
            <w:r>
              <w:t>Piloto controlado</w:t>
            </w:r>
          </w:p>
        </w:tc>
        <w:tc>
          <w:tcPr>
            <w:tcW w:type="dxa" w:w="2592"/>
            <w:vAlign w:val="top"/>
          </w:tcPr>
          <w:p>
            <w:r>
              <w:t>Operación limitada en notarías seleccionadas.</w:t>
            </w:r>
          </w:p>
        </w:tc>
        <w:tc>
          <w:tcPr>
            <w:tcW w:type="dxa" w:w="2592"/>
            <w:vAlign w:val="top"/>
          </w:tcPr>
          <w:p>
            <w:r>
              <w:t>Piloto evaluado con incidencias priorizadas.</w:t>
            </w:r>
          </w:p>
        </w:tc>
      </w:tr>
      <w:tr>
        <w:tc>
          <w:tcPr>
            <w:tcW w:type="dxa" w:w="2592"/>
            <w:vAlign w:val="top"/>
          </w:tcPr>
          <w:p>
            <w:r>
              <w:t>1.6.4</w:t>
            </w:r>
          </w:p>
        </w:tc>
        <w:tc>
          <w:tcPr>
            <w:tcW w:type="dxa" w:w="2592"/>
            <w:vAlign w:val="top"/>
          </w:tcPr>
          <w:p>
            <w:r>
              <w:t>Puesta en producción</w:t>
            </w:r>
          </w:p>
        </w:tc>
        <w:tc>
          <w:tcPr>
            <w:tcW w:type="dxa" w:w="2592"/>
            <w:vAlign w:val="top"/>
          </w:tcPr>
          <w:p>
            <w:r>
              <w:t>Despliegue final y estabilización inicial.</w:t>
            </w:r>
          </w:p>
        </w:tc>
        <w:tc>
          <w:tcPr>
            <w:tcW w:type="dxa" w:w="2592"/>
            <w:vAlign w:val="top"/>
          </w:tcPr>
          <w:p>
            <w:r>
              <w:t>Funcionalidades en operación antes del cierre del primer año.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A. EDT en árbol (rotado 90°)</w:t>
      </w:r>
    </w:p>
    <w:p>
      <w:r>
        <w:drawing>
          <wp:inline xmlns:a="http://schemas.openxmlformats.org/drawingml/2006/main" xmlns:pic="http://schemas.openxmlformats.org/drawingml/2006/picture">
            <wp:extent cx="4663440" cy="808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t_arbol_ro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80896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