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3479A" w14:textId="6A71A263" w:rsidR="004B3113" w:rsidRPr="004A5DD1" w:rsidRDefault="00935EFA" w:rsidP="00B913DD">
      <w:pPr>
        <w:jc w:val="center"/>
        <w:rPr>
          <w:b/>
          <w:sz w:val="22"/>
          <w:szCs w:val="22"/>
        </w:rPr>
      </w:pPr>
      <w:r w:rsidRPr="004A5DD1">
        <w:rPr>
          <w:b/>
          <w:sz w:val="22"/>
          <w:szCs w:val="22"/>
        </w:rPr>
        <w:t xml:space="preserve">Citation </w:t>
      </w:r>
      <w:r w:rsidR="008B1D58" w:rsidRPr="004A5DD1">
        <w:rPr>
          <w:b/>
          <w:sz w:val="22"/>
          <w:szCs w:val="22"/>
        </w:rPr>
        <w:t xml:space="preserve">and Attribution </w:t>
      </w:r>
      <w:r w:rsidRPr="004A5DD1">
        <w:rPr>
          <w:b/>
          <w:sz w:val="22"/>
          <w:szCs w:val="22"/>
        </w:rPr>
        <w:t xml:space="preserve">of Digital Products: </w:t>
      </w:r>
      <w:r w:rsidR="00B913DD" w:rsidRPr="004A5DD1">
        <w:rPr>
          <w:b/>
          <w:sz w:val="22"/>
          <w:szCs w:val="22"/>
        </w:rPr>
        <w:br/>
      </w:r>
      <w:r w:rsidRPr="004A5DD1">
        <w:rPr>
          <w:b/>
          <w:sz w:val="22"/>
          <w:szCs w:val="22"/>
        </w:rPr>
        <w:t>Social and Technological Concerns</w:t>
      </w:r>
    </w:p>
    <w:p w14:paraId="53776D93" w14:textId="77777777" w:rsidR="00375164" w:rsidRPr="004A5DD1" w:rsidRDefault="00375164" w:rsidP="00B913DD">
      <w:pPr>
        <w:jc w:val="center"/>
        <w:rPr>
          <w:b/>
          <w:sz w:val="22"/>
          <w:szCs w:val="22"/>
        </w:rPr>
      </w:pPr>
    </w:p>
    <w:p w14:paraId="27B3833C" w14:textId="2CBE5EAD" w:rsidR="00375164" w:rsidRPr="004A5DD1" w:rsidRDefault="00375164" w:rsidP="00B913DD">
      <w:pPr>
        <w:jc w:val="center"/>
        <w:rPr>
          <w:sz w:val="22"/>
          <w:szCs w:val="22"/>
        </w:rPr>
      </w:pPr>
      <w:r w:rsidRPr="004A5DD1">
        <w:rPr>
          <w:sz w:val="22"/>
          <w:szCs w:val="22"/>
        </w:rPr>
        <w:t>Daniel S. Katz, dkatz@nsf.gov</w:t>
      </w:r>
    </w:p>
    <w:p w14:paraId="317EBF61" w14:textId="77777777" w:rsidR="00935EFA" w:rsidRPr="004A5DD1" w:rsidRDefault="00935EFA">
      <w:pPr>
        <w:rPr>
          <w:sz w:val="22"/>
          <w:szCs w:val="22"/>
        </w:rPr>
      </w:pPr>
    </w:p>
    <w:p w14:paraId="7F541A8C" w14:textId="7054C4E9" w:rsidR="00202C66" w:rsidRPr="004A5DD1" w:rsidRDefault="00AA4060">
      <w:pPr>
        <w:rPr>
          <w:sz w:val="22"/>
          <w:szCs w:val="22"/>
        </w:rPr>
      </w:pPr>
      <w:r w:rsidRPr="004A5DD1">
        <w:rPr>
          <w:sz w:val="22"/>
          <w:szCs w:val="22"/>
        </w:rPr>
        <w:t>The pursuit o</w:t>
      </w:r>
      <w:r w:rsidR="00B159A5" w:rsidRPr="004A5DD1">
        <w:rPr>
          <w:sz w:val="22"/>
          <w:szCs w:val="22"/>
        </w:rPr>
        <w:t xml:space="preserve">f science increasingly relies </w:t>
      </w:r>
      <w:r w:rsidRPr="004A5DD1">
        <w:rPr>
          <w:sz w:val="22"/>
          <w:szCs w:val="22"/>
        </w:rPr>
        <w:t>on activities that facilitate science but are not currently rewarded or recognized</w:t>
      </w:r>
      <w:r w:rsidR="00B159A5" w:rsidRPr="004A5DD1">
        <w:rPr>
          <w:sz w:val="22"/>
          <w:szCs w:val="22"/>
        </w:rPr>
        <w:t xml:space="preserve">. Of particular concern are the </w:t>
      </w:r>
      <w:r w:rsidRPr="004A5DD1">
        <w:rPr>
          <w:sz w:val="22"/>
          <w:szCs w:val="22"/>
        </w:rPr>
        <w:t xml:space="preserve">sharing </w:t>
      </w:r>
      <w:r w:rsidR="00B159A5" w:rsidRPr="004A5DD1">
        <w:rPr>
          <w:sz w:val="22"/>
          <w:szCs w:val="22"/>
        </w:rPr>
        <w:t xml:space="preserve">of </w:t>
      </w:r>
      <w:r w:rsidRPr="004A5DD1">
        <w:rPr>
          <w:sz w:val="22"/>
          <w:szCs w:val="22"/>
        </w:rPr>
        <w:t>data; develop</w:t>
      </w:r>
      <w:r w:rsidR="00B159A5" w:rsidRPr="004A5DD1">
        <w:rPr>
          <w:sz w:val="22"/>
          <w:szCs w:val="22"/>
        </w:rPr>
        <w:t>ment</w:t>
      </w:r>
      <w:r w:rsidRPr="004A5DD1">
        <w:rPr>
          <w:sz w:val="22"/>
          <w:szCs w:val="22"/>
        </w:rPr>
        <w:t xml:space="preserve"> </w:t>
      </w:r>
      <w:r w:rsidR="00B159A5" w:rsidRPr="004A5DD1">
        <w:rPr>
          <w:sz w:val="22"/>
          <w:szCs w:val="22"/>
        </w:rPr>
        <w:t xml:space="preserve">of </w:t>
      </w:r>
      <w:r w:rsidRPr="004A5DD1">
        <w:rPr>
          <w:sz w:val="22"/>
          <w:szCs w:val="22"/>
        </w:rPr>
        <w:t xml:space="preserve">common data resources, software </w:t>
      </w:r>
      <w:r w:rsidR="00B159A5" w:rsidRPr="004A5DD1">
        <w:rPr>
          <w:sz w:val="22"/>
          <w:szCs w:val="22"/>
        </w:rPr>
        <w:t>and methodologies; and annotation of</w:t>
      </w:r>
      <w:r w:rsidRPr="004A5DD1">
        <w:rPr>
          <w:sz w:val="22"/>
          <w:szCs w:val="22"/>
        </w:rPr>
        <w:t xml:space="preserve"> data and publications. This </w:t>
      </w:r>
      <w:r w:rsidR="00B159A5" w:rsidRPr="004A5DD1">
        <w:rPr>
          <w:sz w:val="22"/>
          <w:szCs w:val="22"/>
        </w:rPr>
        <w:t xml:space="preserve">situation </w:t>
      </w:r>
      <w:r w:rsidRPr="004A5DD1">
        <w:rPr>
          <w:sz w:val="22"/>
          <w:szCs w:val="22"/>
        </w:rPr>
        <w:t xml:space="preserve">has been documented in a </w:t>
      </w:r>
      <w:r w:rsidR="00935EFA" w:rsidRPr="004A5DD1">
        <w:rPr>
          <w:sz w:val="22"/>
          <w:szCs w:val="22"/>
        </w:rPr>
        <w:t xml:space="preserve">number of </w:t>
      </w:r>
      <w:r w:rsidR="008B1D58" w:rsidRPr="004A5DD1">
        <w:rPr>
          <w:sz w:val="22"/>
          <w:szCs w:val="22"/>
        </w:rPr>
        <w:t xml:space="preserve">recent </w:t>
      </w:r>
      <w:r w:rsidR="00935EFA" w:rsidRPr="004A5DD1">
        <w:rPr>
          <w:sz w:val="22"/>
          <w:szCs w:val="22"/>
        </w:rPr>
        <w:t>reports</w:t>
      </w:r>
      <w:r w:rsidR="00F2734E" w:rsidRPr="004A5DD1">
        <w:rPr>
          <w:rStyle w:val="EndnoteReference"/>
          <w:sz w:val="22"/>
          <w:szCs w:val="22"/>
        </w:rPr>
        <w:endnoteReference w:id="2"/>
      </w:r>
      <w:r w:rsidR="00935EFA" w:rsidRPr="004A5DD1">
        <w:rPr>
          <w:sz w:val="22"/>
          <w:szCs w:val="22"/>
        </w:rPr>
        <w:t xml:space="preserve"> </w:t>
      </w:r>
      <w:r w:rsidRPr="004A5DD1">
        <w:rPr>
          <w:sz w:val="22"/>
          <w:szCs w:val="22"/>
        </w:rPr>
        <w:t xml:space="preserve">that </w:t>
      </w:r>
      <w:r w:rsidR="008B1D58" w:rsidRPr="004A5DD1">
        <w:rPr>
          <w:sz w:val="22"/>
          <w:szCs w:val="22"/>
        </w:rPr>
        <w:t>focus on</w:t>
      </w:r>
      <w:r w:rsidR="00935EFA" w:rsidRPr="004A5DD1">
        <w:rPr>
          <w:sz w:val="22"/>
          <w:szCs w:val="22"/>
        </w:rPr>
        <w:t xml:space="preserve"> changing needs and mechanisms for attribution and citation of digital products, from the use of alternative metrics</w:t>
      </w:r>
      <w:r w:rsidR="00935EFA" w:rsidRPr="004A5DD1">
        <w:rPr>
          <w:rStyle w:val="EndnoteReference"/>
          <w:sz w:val="22"/>
          <w:szCs w:val="22"/>
        </w:rPr>
        <w:endnoteReference w:id="3"/>
      </w:r>
      <w:r w:rsidR="00935EFA" w:rsidRPr="004A5DD1">
        <w:rPr>
          <w:sz w:val="22"/>
          <w:szCs w:val="22"/>
        </w:rPr>
        <w:t xml:space="preserve"> that track popularity</w:t>
      </w:r>
      <w:r w:rsidR="009B0816" w:rsidRPr="004A5DD1">
        <w:rPr>
          <w:sz w:val="22"/>
          <w:szCs w:val="22"/>
        </w:rPr>
        <w:t>,</w:t>
      </w:r>
      <w:r w:rsidR="00935EFA" w:rsidRPr="004A5DD1">
        <w:rPr>
          <w:sz w:val="22"/>
          <w:szCs w:val="22"/>
        </w:rPr>
        <w:t xml:space="preserve"> to work on data</w:t>
      </w:r>
      <w:r w:rsidR="00935EFA" w:rsidRPr="004A5DD1">
        <w:rPr>
          <w:rStyle w:val="EndnoteReference"/>
          <w:sz w:val="22"/>
          <w:szCs w:val="22"/>
        </w:rPr>
        <w:endnoteReference w:id="4"/>
      </w:r>
      <w:r w:rsidR="00935EFA" w:rsidRPr="004A5DD1">
        <w:rPr>
          <w:sz w:val="22"/>
          <w:szCs w:val="22"/>
        </w:rPr>
        <w:t>.</w:t>
      </w:r>
      <w:r w:rsidR="00E022ED" w:rsidRPr="004A5DD1">
        <w:rPr>
          <w:sz w:val="22"/>
          <w:szCs w:val="22"/>
        </w:rPr>
        <w:t xml:space="preserve"> </w:t>
      </w:r>
      <w:r w:rsidR="00B159A5" w:rsidRPr="004A5DD1">
        <w:rPr>
          <w:sz w:val="22"/>
          <w:szCs w:val="22"/>
        </w:rPr>
        <w:t xml:space="preserve">About half the articles in many recent issues of </w:t>
      </w:r>
      <w:r w:rsidR="00B159A5" w:rsidRPr="004A5DD1">
        <w:rPr>
          <w:i/>
          <w:sz w:val="22"/>
          <w:szCs w:val="22"/>
        </w:rPr>
        <w:t>Science</w:t>
      </w:r>
      <w:r w:rsidR="00B159A5" w:rsidRPr="004A5DD1">
        <w:rPr>
          <w:sz w:val="22"/>
          <w:szCs w:val="22"/>
        </w:rPr>
        <w:t xml:space="preserve"> describe research that depended on software and a larger fraction analyze data. Indeed, the </w:t>
      </w:r>
      <w:r w:rsidR="00542E31" w:rsidRPr="004A5DD1">
        <w:rPr>
          <w:sz w:val="22"/>
          <w:szCs w:val="22"/>
        </w:rPr>
        <w:t xml:space="preserve">US National Science Foundation recently updated its guide to proposers to instruct them to provide a list of their “products” </w:t>
      </w:r>
      <w:r w:rsidR="009306A1" w:rsidRPr="004A5DD1">
        <w:rPr>
          <w:sz w:val="22"/>
          <w:szCs w:val="22"/>
        </w:rPr>
        <w:t>(</w:t>
      </w:r>
      <w:r w:rsidR="00542E31" w:rsidRPr="004A5DD1">
        <w:rPr>
          <w:sz w:val="22"/>
          <w:szCs w:val="22"/>
        </w:rPr>
        <w:t>objects that are “citable and accessible including but not limited to publications, data sets, software, patents, and copyrights”</w:t>
      </w:r>
      <w:r w:rsidR="009306A1" w:rsidRPr="004A5DD1">
        <w:rPr>
          <w:sz w:val="22"/>
          <w:szCs w:val="22"/>
        </w:rPr>
        <w:t>) rather than publications.</w:t>
      </w:r>
      <w:r w:rsidR="00542E31" w:rsidRPr="004A5DD1">
        <w:rPr>
          <w:rStyle w:val="EndnoteReference"/>
          <w:sz w:val="22"/>
          <w:szCs w:val="22"/>
        </w:rPr>
        <w:endnoteReference w:id="5"/>
      </w:r>
      <w:r w:rsidR="00542E31" w:rsidRPr="004A5DD1">
        <w:rPr>
          <w:sz w:val="22"/>
          <w:szCs w:val="22"/>
        </w:rPr>
        <w:t xml:space="preserve"> </w:t>
      </w:r>
    </w:p>
    <w:p w14:paraId="76710150" w14:textId="77777777" w:rsidR="00202C66" w:rsidRPr="004A5DD1" w:rsidRDefault="00202C66">
      <w:pPr>
        <w:rPr>
          <w:sz w:val="22"/>
          <w:szCs w:val="22"/>
        </w:rPr>
      </w:pPr>
    </w:p>
    <w:p w14:paraId="4F0DE73F" w14:textId="05806AFE" w:rsidR="00970D77" w:rsidRPr="004A5DD1" w:rsidRDefault="00970D77" w:rsidP="00970D77">
      <w:pPr>
        <w:rPr>
          <w:sz w:val="22"/>
          <w:szCs w:val="22"/>
        </w:rPr>
      </w:pPr>
      <w:r w:rsidRPr="004A5DD1">
        <w:rPr>
          <w:sz w:val="22"/>
          <w:szCs w:val="22"/>
        </w:rPr>
        <w:t xml:space="preserve">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w:t>
      </w:r>
      <w:r w:rsidRPr="004A5DD1">
        <w:rPr>
          <w:i/>
          <w:sz w:val="22"/>
          <w:szCs w:val="22"/>
        </w:rPr>
        <w:t>transitive credit</w:t>
      </w:r>
      <w:r w:rsidRPr="004A5DD1">
        <w:rPr>
          <w:sz w:val="22"/>
          <w:szCs w:val="22"/>
        </w:rPr>
        <w:t xml:space="preserve">, which </w:t>
      </w:r>
      <w:r w:rsidR="00AA4060" w:rsidRPr="004A5DD1">
        <w:rPr>
          <w:sz w:val="22"/>
          <w:szCs w:val="22"/>
        </w:rPr>
        <w:t>address</w:t>
      </w:r>
      <w:r w:rsidR="00B159A5" w:rsidRPr="004A5DD1">
        <w:rPr>
          <w:sz w:val="22"/>
          <w:szCs w:val="22"/>
        </w:rPr>
        <w:t>es</w:t>
      </w:r>
      <w:r w:rsidRPr="004A5DD1">
        <w:rPr>
          <w:sz w:val="22"/>
          <w:szCs w:val="22"/>
        </w:rPr>
        <w:t xml:space="preserve"> the issue of crediting indirect contributions, and discuss potential solutions to the</w:t>
      </w:r>
      <w:r w:rsidR="00DE07CC" w:rsidRPr="004A5DD1">
        <w:rPr>
          <w:sz w:val="22"/>
          <w:szCs w:val="22"/>
        </w:rPr>
        <w:t>se</w:t>
      </w:r>
      <w:r w:rsidRPr="004A5DD1">
        <w:rPr>
          <w:sz w:val="22"/>
          <w:szCs w:val="22"/>
        </w:rPr>
        <w:t xml:space="preserve"> other problems.</w:t>
      </w:r>
    </w:p>
    <w:p w14:paraId="4D1E838C" w14:textId="77777777" w:rsidR="00970D77" w:rsidRPr="004A5DD1" w:rsidRDefault="00970D77">
      <w:pPr>
        <w:rPr>
          <w:sz w:val="22"/>
          <w:szCs w:val="22"/>
        </w:rPr>
      </w:pPr>
    </w:p>
    <w:p w14:paraId="07E5DFF1" w14:textId="4E92D997" w:rsidR="00A46EE6" w:rsidRPr="004A5DD1" w:rsidRDefault="00A46EE6">
      <w:pPr>
        <w:rPr>
          <w:b/>
          <w:sz w:val="22"/>
          <w:szCs w:val="22"/>
        </w:rPr>
      </w:pPr>
      <w:r w:rsidRPr="004A5DD1">
        <w:rPr>
          <w:b/>
          <w:sz w:val="22"/>
          <w:szCs w:val="22"/>
        </w:rPr>
        <w:t>History of Citation</w:t>
      </w:r>
    </w:p>
    <w:p w14:paraId="060B756A" w14:textId="77777777" w:rsidR="00A46EE6" w:rsidRPr="004A5DD1" w:rsidRDefault="00A46EE6">
      <w:pPr>
        <w:rPr>
          <w:sz w:val="22"/>
          <w:szCs w:val="22"/>
        </w:rPr>
      </w:pPr>
    </w:p>
    <w:p w14:paraId="481975B9" w14:textId="07A18A79" w:rsidR="00C57898" w:rsidRPr="004A5DD1" w:rsidRDefault="00EC5B82">
      <w:pPr>
        <w:rPr>
          <w:sz w:val="22"/>
          <w:szCs w:val="22"/>
        </w:rPr>
      </w:pPr>
      <w:r w:rsidRPr="004A5DD1">
        <w:rPr>
          <w:sz w:val="22"/>
          <w:szCs w:val="22"/>
        </w:rPr>
        <w:t>Throughout</w:t>
      </w:r>
      <w:r w:rsidR="00B159A5" w:rsidRPr="004A5DD1">
        <w:rPr>
          <w:sz w:val="22"/>
          <w:szCs w:val="22"/>
        </w:rPr>
        <w:t xml:space="preserve"> </w:t>
      </w:r>
      <w:r w:rsidR="0038684E" w:rsidRPr="004A5DD1">
        <w:rPr>
          <w:sz w:val="22"/>
          <w:szCs w:val="22"/>
        </w:rPr>
        <w:t>history</w:t>
      </w:r>
      <w:r w:rsidR="00B159A5" w:rsidRPr="004A5DD1">
        <w:rPr>
          <w:sz w:val="22"/>
          <w:szCs w:val="22"/>
        </w:rPr>
        <w:t>, most</w:t>
      </w:r>
      <w:r w:rsidR="0038684E" w:rsidRPr="004A5DD1">
        <w:rPr>
          <w:sz w:val="22"/>
          <w:szCs w:val="22"/>
        </w:rPr>
        <w:t xml:space="preserve"> formal citation</w:t>
      </w:r>
      <w:r w:rsidR="002B6076" w:rsidRPr="004A5DD1">
        <w:rPr>
          <w:sz w:val="22"/>
          <w:szCs w:val="22"/>
        </w:rPr>
        <w:t xml:space="preserve"> </w:t>
      </w:r>
      <w:r w:rsidR="006A6D67" w:rsidRPr="004A5DD1">
        <w:rPr>
          <w:sz w:val="22"/>
          <w:szCs w:val="22"/>
        </w:rPr>
        <w:t xml:space="preserve">has </w:t>
      </w:r>
      <w:r w:rsidR="002B6076" w:rsidRPr="004A5DD1">
        <w:rPr>
          <w:sz w:val="22"/>
          <w:szCs w:val="22"/>
        </w:rPr>
        <w:t>been for authentication</w:t>
      </w:r>
      <w:r w:rsidR="0068537B" w:rsidRPr="004A5DD1">
        <w:rPr>
          <w:sz w:val="22"/>
          <w:szCs w:val="22"/>
        </w:rPr>
        <w:t xml:space="preserve"> and </w:t>
      </w:r>
      <w:r w:rsidR="00216DA6" w:rsidRPr="004A5DD1">
        <w:rPr>
          <w:sz w:val="22"/>
          <w:szCs w:val="22"/>
        </w:rPr>
        <w:t>authority</w:t>
      </w:r>
      <w:r w:rsidR="002B6076" w:rsidRPr="004A5DD1">
        <w:rPr>
          <w:sz w:val="22"/>
          <w:szCs w:val="22"/>
        </w:rPr>
        <w:t>, rather than</w:t>
      </w:r>
      <w:r w:rsidR="00216DA6" w:rsidRPr="004A5DD1">
        <w:rPr>
          <w:sz w:val="22"/>
          <w:szCs w:val="22"/>
        </w:rPr>
        <w:t xml:space="preserve"> </w:t>
      </w:r>
      <w:r w:rsidR="00C57898" w:rsidRPr="004A5DD1">
        <w:rPr>
          <w:sz w:val="22"/>
          <w:szCs w:val="22"/>
        </w:rPr>
        <w:t>for the provision of</w:t>
      </w:r>
      <w:r w:rsidR="00216DA6" w:rsidRPr="004A5DD1">
        <w:rPr>
          <w:sz w:val="22"/>
          <w:szCs w:val="22"/>
        </w:rPr>
        <w:t xml:space="preserve"> credit</w:t>
      </w:r>
      <w:r w:rsidR="0068537B" w:rsidRPr="004A5DD1">
        <w:rPr>
          <w:sz w:val="22"/>
          <w:szCs w:val="22"/>
        </w:rPr>
        <w:t xml:space="preserve"> and </w:t>
      </w:r>
      <w:r w:rsidR="00216DA6" w:rsidRPr="004A5DD1">
        <w:rPr>
          <w:sz w:val="22"/>
          <w:szCs w:val="22"/>
        </w:rPr>
        <w:t>acknowledgment</w:t>
      </w:r>
      <w:r w:rsidR="00B159A5" w:rsidRPr="004A5DD1">
        <w:rPr>
          <w:sz w:val="22"/>
          <w:szCs w:val="22"/>
        </w:rPr>
        <w:t xml:space="preserve"> or </w:t>
      </w:r>
      <w:r w:rsidR="00AF0AEB" w:rsidRPr="004A5DD1">
        <w:rPr>
          <w:sz w:val="22"/>
          <w:szCs w:val="22"/>
        </w:rPr>
        <w:t>attribution</w:t>
      </w:r>
      <w:r w:rsidR="002B6076" w:rsidRPr="004A5DD1">
        <w:rPr>
          <w:sz w:val="22"/>
          <w:szCs w:val="22"/>
        </w:rPr>
        <w:t xml:space="preserve">. </w:t>
      </w:r>
      <w:r w:rsidR="0038684E" w:rsidRPr="004A5DD1">
        <w:rPr>
          <w:sz w:val="22"/>
          <w:szCs w:val="22"/>
        </w:rPr>
        <w:t xml:space="preserve">Scientific citation in </w:t>
      </w:r>
      <w:r w:rsidR="003119EC" w:rsidRPr="004A5DD1">
        <w:rPr>
          <w:sz w:val="22"/>
          <w:szCs w:val="22"/>
        </w:rPr>
        <w:t>W</w:t>
      </w:r>
      <w:r w:rsidR="0068537B" w:rsidRPr="004A5DD1">
        <w:rPr>
          <w:sz w:val="22"/>
          <w:szCs w:val="22"/>
        </w:rPr>
        <w:t xml:space="preserve">estern </w:t>
      </w:r>
      <w:r w:rsidR="0038684E" w:rsidRPr="004A5DD1">
        <w:rPr>
          <w:sz w:val="22"/>
          <w:szCs w:val="22"/>
        </w:rPr>
        <w:t xml:space="preserve">history </w:t>
      </w:r>
      <w:r w:rsidR="00B159A5" w:rsidRPr="004A5DD1">
        <w:rPr>
          <w:sz w:val="22"/>
          <w:szCs w:val="22"/>
        </w:rPr>
        <w:t xml:space="preserve">appears </w:t>
      </w:r>
      <w:r w:rsidR="0038684E" w:rsidRPr="004A5DD1">
        <w:rPr>
          <w:sz w:val="22"/>
          <w:szCs w:val="22"/>
        </w:rPr>
        <w:t xml:space="preserve">by the late </w:t>
      </w:r>
      <w:r w:rsidR="00FE3786" w:rsidRPr="004A5DD1">
        <w:rPr>
          <w:sz w:val="22"/>
          <w:szCs w:val="22"/>
        </w:rPr>
        <w:t>1500s</w:t>
      </w:r>
      <w:r w:rsidR="0038684E" w:rsidRPr="004A5DD1">
        <w:rPr>
          <w:sz w:val="22"/>
          <w:szCs w:val="22"/>
        </w:rPr>
        <w:t>.</w:t>
      </w:r>
      <w:r w:rsidR="0038684E" w:rsidRPr="004A5DD1">
        <w:rPr>
          <w:rStyle w:val="EndnoteReference"/>
          <w:sz w:val="22"/>
          <w:szCs w:val="22"/>
        </w:rPr>
        <w:endnoteReference w:id="6"/>
      </w:r>
      <w:r w:rsidR="00D65981" w:rsidRPr="004A5DD1">
        <w:rPr>
          <w:sz w:val="22"/>
          <w:szCs w:val="22"/>
          <w:vertAlign w:val="superscript"/>
        </w:rPr>
        <w:t>,</w:t>
      </w:r>
      <w:r w:rsidR="00D65981" w:rsidRPr="004A5DD1">
        <w:rPr>
          <w:rStyle w:val="EndnoteReference"/>
          <w:sz w:val="22"/>
          <w:szCs w:val="22"/>
        </w:rPr>
        <w:endnoteReference w:id="7"/>
      </w:r>
      <w:r w:rsidR="0038684E" w:rsidRPr="004A5DD1">
        <w:rPr>
          <w:sz w:val="22"/>
          <w:szCs w:val="22"/>
        </w:rPr>
        <w:t xml:space="preserve"> </w:t>
      </w:r>
      <w:proofErr w:type="gramStart"/>
      <w:r w:rsidR="00C57898" w:rsidRPr="004A5DD1">
        <w:rPr>
          <w:sz w:val="22"/>
          <w:szCs w:val="22"/>
        </w:rPr>
        <w:t>In</w:t>
      </w:r>
      <w:proofErr w:type="gramEnd"/>
      <w:r w:rsidR="00C57898" w:rsidRPr="004A5DD1">
        <w:rPr>
          <w:sz w:val="22"/>
          <w:szCs w:val="22"/>
        </w:rPr>
        <w:t xml:space="preserve"> the early </w:t>
      </w:r>
      <w:r w:rsidR="00FE3786" w:rsidRPr="004A5DD1">
        <w:rPr>
          <w:sz w:val="22"/>
          <w:szCs w:val="22"/>
        </w:rPr>
        <w:t>1700s</w:t>
      </w:r>
      <w:r w:rsidR="00C57898" w:rsidRPr="004A5DD1">
        <w:rPr>
          <w:sz w:val="22"/>
          <w:szCs w:val="22"/>
        </w:rPr>
        <w:t>, c</w:t>
      </w:r>
      <w:r w:rsidR="0038684E" w:rsidRPr="004A5DD1">
        <w:rPr>
          <w:sz w:val="22"/>
          <w:szCs w:val="22"/>
        </w:rPr>
        <w:t>itation also appears in the legal system as a me</w:t>
      </w:r>
      <w:r w:rsidR="00181F0E" w:rsidRPr="004A5DD1">
        <w:rPr>
          <w:sz w:val="22"/>
          <w:szCs w:val="22"/>
        </w:rPr>
        <w:t>thod of understanding precedents</w:t>
      </w:r>
      <w:r w:rsidR="0038684E" w:rsidRPr="004A5DD1">
        <w:rPr>
          <w:sz w:val="22"/>
          <w:szCs w:val="22"/>
        </w:rPr>
        <w:t>.</w:t>
      </w:r>
      <w:r w:rsidR="0038684E" w:rsidRPr="004A5DD1">
        <w:rPr>
          <w:rStyle w:val="EndnoteReference"/>
          <w:sz w:val="22"/>
          <w:szCs w:val="22"/>
        </w:rPr>
        <w:endnoteReference w:id="8"/>
      </w:r>
      <w:r w:rsidR="00E022ED" w:rsidRPr="004A5DD1">
        <w:rPr>
          <w:sz w:val="22"/>
          <w:szCs w:val="22"/>
        </w:rPr>
        <w:t xml:space="preserve"> </w:t>
      </w:r>
      <w:r w:rsidR="00AF0AEB" w:rsidRPr="004A5DD1">
        <w:rPr>
          <w:sz w:val="22"/>
          <w:szCs w:val="22"/>
        </w:rPr>
        <w:t>T</w:t>
      </w:r>
      <w:r w:rsidR="00B40859" w:rsidRPr="004A5DD1">
        <w:rPr>
          <w:sz w:val="22"/>
          <w:szCs w:val="22"/>
        </w:rPr>
        <w:t xml:space="preserve">he idea of copyright as recognizing authors’ </w:t>
      </w:r>
      <w:r w:rsidR="00AF0AEB" w:rsidRPr="004A5DD1">
        <w:rPr>
          <w:sz w:val="22"/>
          <w:szCs w:val="22"/>
        </w:rPr>
        <w:t>rights</w:t>
      </w:r>
      <w:r w:rsidR="00B40859" w:rsidRPr="004A5DD1">
        <w:rPr>
          <w:sz w:val="22"/>
          <w:szCs w:val="22"/>
        </w:rPr>
        <w:t xml:space="preserve"> also arise</w:t>
      </w:r>
      <w:r w:rsidR="00B159A5" w:rsidRPr="004A5DD1">
        <w:rPr>
          <w:sz w:val="22"/>
          <w:szCs w:val="22"/>
        </w:rPr>
        <w:t>s</w:t>
      </w:r>
      <w:r w:rsidR="00AF0AEB" w:rsidRPr="004A5DD1">
        <w:rPr>
          <w:sz w:val="22"/>
          <w:szCs w:val="22"/>
        </w:rPr>
        <w:t xml:space="preserve"> </w:t>
      </w:r>
      <w:r w:rsidR="00B159A5" w:rsidRPr="004A5DD1">
        <w:rPr>
          <w:sz w:val="22"/>
          <w:szCs w:val="22"/>
        </w:rPr>
        <w:t xml:space="preserve">at </w:t>
      </w:r>
      <w:r w:rsidR="00AF0AEB" w:rsidRPr="004A5DD1">
        <w:rPr>
          <w:sz w:val="22"/>
          <w:szCs w:val="22"/>
        </w:rPr>
        <w:t xml:space="preserve">this </w:t>
      </w:r>
      <w:r w:rsidR="00B159A5" w:rsidRPr="004A5DD1">
        <w:rPr>
          <w:sz w:val="22"/>
          <w:szCs w:val="22"/>
        </w:rPr>
        <w:t>time</w:t>
      </w:r>
      <w:r w:rsidR="00D42261" w:rsidRPr="004A5DD1">
        <w:rPr>
          <w:sz w:val="22"/>
          <w:szCs w:val="22"/>
        </w:rPr>
        <w:t>, from the Statute of Anne in 1710</w:t>
      </w:r>
      <w:r w:rsidR="00AF0AEB" w:rsidRPr="004A5DD1">
        <w:rPr>
          <w:sz w:val="22"/>
          <w:szCs w:val="22"/>
        </w:rPr>
        <w:t xml:space="preserve">, perhaps due to a </w:t>
      </w:r>
      <w:r w:rsidR="00D42261" w:rsidRPr="004A5DD1">
        <w:rPr>
          <w:sz w:val="22"/>
          <w:szCs w:val="22"/>
        </w:rPr>
        <w:t>slow</w:t>
      </w:r>
      <w:r w:rsidR="00AF0AEB" w:rsidRPr="004A5DD1">
        <w:rPr>
          <w:sz w:val="22"/>
          <w:szCs w:val="22"/>
        </w:rPr>
        <w:t xml:space="preserve"> societal </w:t>
      </w:r>
      <w:r w:rsidR="00B159A5" w:rsidRPr="004A5DD1">
        <w:rPr>
          <w:sz w:val="22"/>
          <w:szCs w:val="22"/>
        </w:rPr>
        <w:t>trend to</w:t>
      </w:r>
      <w:r w:rsidR="00AF0AEB" w:rsidRPr="004A5DD1">
        <w:rPr>
          <w:sz w:val="22"/>
          <w:szCs w:val="22"/>
        </w:rPr>
        <w:t xml:space="preserve"> </w:t>
      </w:r>
      <w:r w:rsidR="00B159A5" w:rsidRPr="004A5DD1">
        <w:rPr>
          <w:sz w:val="22"/>
          <w:szCs w:val="22"/>
        </w:rPr>
        <w:t xml:space="preserve">recognize </w:t>
      </w:r>
      <w:r w:rsidR="00AF0AEB" w:rsidRPr="004A5DD1">
        <w:rPr>
          <w:sz w:val="22"/>
          <w:szCs w:val="22"/>
        </w:rPr>
        <w:t>intellectual property</w:t>
      </w:r>
      <w:r w:rsidR="00B159A5" w:rsidRPr="004A5DD1">
        <w:rPr>
          <w:sz w:val="22"/>
          <w:szCs w:val="22"/>
        </w:rPr>
        <w:t>, an idea</w:t>
      </w:r>
      <w:r w:rsidR="00D42261" w:rsidRPr="004A5DD1">
        <w:rPr>
          <w:sz w:val="22"/>
          <w:szCs w:val="22"/>
        </w:rPr>
        <w:t xml:space="preserve"> that appears to have developed alongside the printing press</w:t>
      </w:r>
      <w:r w:rsidR="00AF0AEB" w:rsidRPr="004A5DD1">
        <w:rPr>
          <w:sz w:val="22"/>
          <w:szCs w:val="22"/>
        </w:rPr>
        <w:t>.</w:t>
      </w:r>
      <w:r w:rsidR="00AF0AEB" w:rsidRPr="004A5DD1">
        <w:rPr>
          <w:rStyle w:val="EndnoteReference"/>
          <w:sz w:val="22"/>
          <w:szCs w:val="22"/>
        </w:rPr>
        <w:endnoteReference w:id="9"/>
      </w:r>
      <w:r w:rsidR="00E022ED" w:rsidRPr="004A5DD1">
        <w:rPr>
          <w:sz w:val="22"/>
          <w:szCs w:val="22"/>
        </w:rPr>
        <w:t xml:space="preserve"> </w:t>
      </w:r>
    </w:p>
    <w:p w14:paraId="2FC29021" w14:textId="77777777" w:rsidR="00C57898" w:rsidRPr="004A5DD1" w:rsidRDefault="00C57898">
      <w:pPr>
        <w:rPr>
          <w:sz w:val="22"/>
          <w:szCs w:val="22"/>
        </w:rPr>
      </w:pPr>
    </w:p>
    <w:p w14:paraId="2AA7834F" w14:textId="7DAEBFC3" w:rsidR="00C57898" w:rsidRPr="004A5DD1" w:rsidRDefault="00C57898" w:rsidP="00C57898">
      <w:pPr>
        <w:rPr>
          <w:sz w:val="22"/>
          <w:szCs w:val="22"/>
        </w:rPr>
      </w:pPr>
      <w:r w:rsidRPr="004A5DD1">
        <w:rPr>
          <w:sz w:val="22"/>
          <w:szCs w:val="22"/>
        </w:rPr>
        <w:t>L</w:t>
      </w:r>
      <w:r w:rsidR="0068537B" w:rsidRPr="004A5DD1">
        <w:rPr>
          <w:sz w:val="22"/>
          <w:szCs w:val="22"/>
        </w:rPr>
        <w:t xml:space="preserve">ooking for the predecessors </w:t>
      </w:r>
      <w:r w:rsidRPr="004A5DD1">
        <w:rPr>
          <w:sz w:val="22"/>
          <w:szCs w:val="22"/>
        </w:rPr>
        <w:t>of</w:t>
      </w:r>
      <w:r w:rsidR="0068537B" w:rsidRPr="004A5DD1">
        <w:rPr>
          <w:sz w:val="22"/>
          <w:szCs w:val="22"/>
        </w:rPr>
        <w:t xml:space="preserve"> an idea can be called </w:t>
      </w:r>
      <w:r w:rsidR="00B159A5" w:rsidRPr="004A5DD1">
        <w:rPr>
          <w:sz w:val="22"/>
          <w:szCs w:val="22"/>
        </w:rPr>
        <w:t>“</w:t>
      </w:r>
      <w:r w:rsidR="0068537B" w:rsidRPr="004A5DD1">
        <w:rPr>
          <w:sz w:val="22"/>
          <w:szCs w:val="22"/>
        </w:rPr>
        <w:t>backward citing.</w:t>
      </w:r>
      <w:r w:rsidR="00B159A5" w:rsidRPr="004A5DD1">
        <w:rPr>
          <w:sz w:val="22"/>
          <w:szCs w:val="22"/>
        </w:rPr>
        <w:t>”</w:t>
      </w:r>
      <w:r w:rsidR="00E022ED" w:rsidRPr="004A5DD1">
        <w:rPr>
          <w:sz w:val="22"/>
          <w:szCs w:val="22"/>
        </w:rPr>
        <w:t xml:space="preserve"> </w:t>
      </w:r>
      <w:r w:rsidR="00B159A5" w:rsidRPr="004A5DD1">
        <w:rPr>
          <w:sz w:val="22"/>
          <w:szCs w:val="22"/>
        </w:rPr>
        <w:t>When</w:t>
      </w:r>
      <w:r w:rsidRPr="004A5DD1">
        <w:rPr>
          <w:sz w:val="22"/>
          <w:szCs w:val="22"/>
        </w:rPr>
        <w:t xml:space="preserve"> multiple groups claim credit for the same advance, backward citing </w:t>
      </w:r>
      <w:r w:rsidR="0062509A" w:rsidRPr="004A5DD1">
        <w:rPr>
          <w:sz w:val="22"/>
          <w:szCs w:val="22"/>
        </w:rPr>
        <w:t>can</w:t>
      </w:r>
      <w:r w:rsidR="00EC5B82" w:rsidRPr="004A5DD1">
        <w:rPr>
          <w:sz w:val="22"/>
          <w:szCs w:val="22"/>
        </w:rPr>
        <w:t xml:space="preserve"> ascertain how the larger scientific community assigns credit </w:t>
      </w:r>
      <w:r w:rsidRPr="004A5DD1">
        <w:rPr>
          <w:sz w:val="22"/>
          <w:szCs w:val="22"/>
        </w:rPr>
        <w:t>by looking at which groups are cited and how this changes over time</w:t>
      </w:r>
      <w:r w:rsidR="00AB3473" w:rsidRPr="004A5DD1">
        <w:rPr>
          <w:sz w:val="22"/>
          <w:szCs w:val="22"/>
        </w:rPr>
        <w:t>.</w:t>
      </w:r>
      <w:r w:rsidR="00AB3473" w:rsidRPr="004A5DD1">
        <w:rPr>
          <w:rStyle w:val="EndnoteReference"/>
          <w:sz w:val="22"/>
          <w:szCs w:val="22"/>
        </w:rPr>
        <w:endnoteReference w:id="10"/>
      </w:r>
    </w:p>
    <w:p w14:paraId="0253F7DF" w14:textId="77777777" w:rsidR="00C57898" w:rsidRPr="004A5DD1" w:rsidRDefault="00C57898" w:rsidP="00C57898">
      <w:pPr>
        <w:rPr>
          <w:sz w:val="22"/>
          <w:szCs w:val="22"/>
        </w:rPr>
      </w:pPr>
    </w:p>
    <w:p w14:paraId="50501E5E" w14:textId="6827E8BD" w:rsidR="0068537B" w:rsidRPr="004A5DD1" w:rsidRDefault="00B159A5" w:rsidP="00C57898">
      <w:pPr>
        <w:rPr>
          <w:sz w:val="22"/>
          <w:szCs w:val="22"/>
        </w:rPr>
      </w:pPr>
      <w:r w:rsidRPr="004A5DD1">
        <w:rPr>
          <w:sz w:val="22"/>
          <w:szCs w:val="22"/>
        </w:rPr>
        <w:t>“F</w:t>
      </w:r>
      <w:r w:rsidR="0068537B" w:rsidRPr="004A5DD1">
        <w:rPr>
          <w:sz w:val="22"/>
          <w:szCs w:val="22"/>
        </w:rPr>
        <w:t xml:space="preserve">orward </w:t>
      </w:r>
      <w:r w:rsidR="006F1DA0" w:rsidRPr="004A5DD1">
        <w:rPr>
          <w:sz w:val="22"/>
          <w:szCs w:val="22"/>
        </w:rPr>
        <w:t>citing</w:t>
      </w:r>
      <w:r w:rsidRPr="004A5DD1">
        <w:rPr>
          <w:sz w:val="22"/>
          <w:szCs w:val="22"/>
        </w:rPr>
        <w:t>”</w:t>
      </w:r>
      <w:r w:rsidR="006F1DA0" w:rsidRPr="004A5DD1">
        <w:rPr>
          <w:sz w:val="22"/>
          <w:szCs w:val="22"/>
        </w:rPr>
        <w:t xml:space="preserve"> </w:t>
      </w:r>
      <w:r w:rsidR="0068537B" w:rsidRPr="004A5DD1">
        <w:rPr>
          <w:sz w:val="22"/>
          <w:szCs w:val="22"/>
        </w:rPr>
        <w:t>has also been used</w:t>
      </w:r>
      <w:r w:rsidR="00C57898" w:rsidRPr="004A5DD1">
        <w:rPr>
          <w:sz w:val="22"/>
          <w:szCs w:val="22"/>
        </w:rPr>
        <w:t xml:space="preserve"> </w:t>
      </w:r>
      <w:r w:rsidRPr="004A5DD1">
        <w:rPr>
          <w:sz w:val="22"/>
          <w:szCs w:val="22"/>
        </w:rPr>
        <w:t>when</w:t>
      </w:r>
      <w:r w:rsidR="0068537B" w:rsidRPr="004A5DD1">
        <w:rPr>
          <w:sz w:val="22"/>
          <w:szCs w:val="22"/>
        </w:rPr>
        <w:t xml:space="preserve"> one wants to understand how an idea has been used. This is often </w:t>
      </w:r>
      <w:r w:rsidR="006E071E" w:rsidRPr="004A5DD1">
        <w:rPr>
          <w:sz w:val="22"/>
          <w:szCs w:val="22"/>
        </w:rPr>
        <w:t>done</w:t>
      </w:r>
      <w:r w:rsidR="0068537B" w:rsidRPr="004A5DD1">
        <w:rPr>
          <w:sz w:val="22"/>
          <w:szCs w:val="22"/>
        </w:rPr>
        <w:t xml:space="preserve"> through </w:t>
      </w:r>
      <w:r w:rsidR="006E071E" w:rsidRPr="004A5DD1">
        <w:rPr>
          <w:sz w:val="22"/>
          <w:szCs w:val="22"/>
        </w:rPr>
        <w:t xml:space="preserve">citation indices, the earliest examples of which are to portions of the Bible from the </w:t>
      </w:r>
      <w:r w:rsidR="00807443" w:rsidRPr="004A5DD1">
        <w:rPr>
          <w:sz w:val="22"/>
          <w:szCs w:val="22"/>
        </w:rPr>
        <w:t>1100s</w:t>
      </w:r>
      <w:r w:rsidR="0068537B" w:rsidRPr="004A5DD1">
        <w:rPr>
          <w:sz w:val="22"/>
          <w:szCs w:val="22"/>
        </w:rPr>
        <w:t>.</w:t>
      </w:r>
      <w:r w:rsidR="0068537B" w:rsidRPr="004A5DD1">
        <w:rPr>
          <w:rStyle w:val="EndnoteReference"/>
          <w:sz w:val="22"/>
          <w:szCs w:val="22"/>
        </w:rPr>
        <w:endnoteReference w:id="11"/>
      </w:r>
      <w:r w:rsidR="00E022ED" w:rsidRPr="004A5DD1">
        <w:rPr>
          <w:sz w:val="22"/>
          <w:szCs w:val="22"/>
        </w:rPr>
        <w:t xml:space="preserve"> </w:t>
      </w:r>
      <w:r w:rsidRPr="004A5DD1">
        <w:rPr>
          <w:sz w:val="22"/>
          <w:szCs w:val="22"/>
        </w:rPr>
        <w:t>T</w:t>
      </w:r>
      <w:r w:rsidR="0068537B" w:rsidRPr="004A5DD1">
        <w:rPr>
          <w:sz w:val="22"/>
          <w:szCs w:val="22"/>
        </w:rPr>
        <w:t xml:space="preserve">he common use of citations indices in science is much more recent, as exemplified by Garfield’s work in the 1950s that led to </w:t>
      </w:r>
      <w:r w:rsidR="00173EC6" w:rsidRPr="004A5DD1">
        <w:rPr>
          <w:sz w:val="22"/>
          <w:szCs w:val="22"/>
        </w:rPr>
        <w:t xml:space="preserve">the </w:t>
      </w:r>
      <w:r w:rsidR="0068537B" w:rsidRPr="004A5DD1">
        <w:rPr>
          <w:sz w:val="22"/>
          <w:szCs w:val="22"/>
        </w:rPr>
        <w:t>Science Citation Index.</w:t>
      </w:r>
      <w:r w:rsidR="0068537B" w:rsidRPr="004A5DD1">
        <w:rPr>
          <w:rStyle w:val="EndnoteReference"/>
          <w:sz w:val="22"/>
          <w:szCs w:val="22"/>
        </w:rPr>
        <w:endnoteReference w:id="12"/>
      </w:r>
    </w:p>
    <w:p w14:paraId="4E0B42D6" w14:textId="77777777" w:rsidR="00B36FE4" w:rsidRPr="004A5DD1" w:rsidRDefault="00B36FE4">
      <w:pPr>
        <w:rPr>
          <w:sz w:val="22"/>
          <w:szCs w:val="22"/>
        </w:rPr>
      </w:pPr>
    </w:p>
    <w:p w14:paraId="1942EC12" w14:textId="3EA464C9" w:rsidR="002B1E32" w:rsidRPr="004A5DD1" w:rsidRDefault="00AA4060" w:rsidP="00623906">
      <w:pPr>
        <w:rPr>
          <w:sz w:val="22"/>
          <w:szCs w:val="22"/>
        </w:rPr>
      </w:pPr>
      <w:r w:rsidRPr="004A5DD1">
        <w:rPr>
          <w:sz w:val="22"/>
          <w:szCs w:val="22"/>
        </w:rPr>
        <w:t>N</w:t>
      </w:r>
      <w:r w:rsidR="006A6D67" w:rsidRPr="004A5DD1">
        <w:rPr>
          <w:sz w:val="22"/>
          <w:szCs w:val="22"/>
        </w:rPr>
        <w:t xml:space="preserve">ew knowledge </w:t>
      </w:r>
      <w:r w:rsidRPr="004A5DD1">
        <w:rPr>
          <w:sz w:val="22"/>
          <w:szCs w:val="22"/>
        </w:rPr>
        <w:t xml:space="preserve">clearly </w:t>
      </w:r>
      <w:r w:rsidR="006A6D67" w:rsidRPr="004A5DD1">
        <w:rPr>
          <w:sz w:val="22"/>
          <w:szCs w:val="22"/>
        </w:rPr>
        <w:t xml:space="preserve">builds on past knowledge. </w:t>
      </w:r>
      <w:r w:rsidR="00623906" w:rsidRPr="004A5DD1">
        <w:rPr>
          <w:sz w:val="22"/>
          <w:szCs w:val="22"/>
        </w:rPr>
        <w:t>Traditionally, a</w:t>
      </w:r>
      <w:r w:rsidR="00B159A5" w:rsidRPr="004A5DD1">
        <w:rPr>
          <w:sz w:val="22"/>
          <w:szCs w:val="22"/>
        </w:rPr>
        <w:t>n</w:t>
      </w:r>
      <w:r w:rsidR="00807443" w:rsidRPr="004A5DD1">
        <w:rPr>
          <w:sz w:val="22"/>
          <w:szCs w:val="22"/>
        </w:rPr>
        <w:t xml:space="preserve"> author </w:t>
      </w:r>
      <w:r w:rsidR="00623906" w:rsidRPr="004A5DD1">
        <w:rPr>
          <w:sz w:val="22"/>
          <w:szCs w:val="22"/>
        </w:rPr>
        <w:t>cite</w:t>
      </w:r>
      <w:r w:rsidR="00761362" w:rsidRPr="004A5DD1">
        <w:rPr>
          <w:sz w:val="22"/>
          <w:szCs w:val="22"/>
        </w:rPr>
        <w:t>s</w:t>
      </w:r>
      <w:r w:rsidR="00623906" w:rsidRPr="004A5DD1">
        <w:rPr>
          <w:sz w:val="22"/>
          <w:szCs w:val="22"/>
        </w:rPr>
        <w:t xml:space="preserve"> a previous paper by adding a </w:t>
      </w:r>
      <w:r w:rsidR="00761362" w:rsidRPr="004A5DD1">
        <w:rPr>
          <w:sz w:val="22"/>
          <w:szCs w:val="22"/>
        </w:rPr>
        <w:t>reference</w:t>
      </w:r>
      <w:r w:rsidR="00807443" w:rsidRPr="004A5DD1">
        <w:rPr>
          <w:sz w:val="22"/>
          <w:szCs w:val="22"/>
        </w:rPr>
        <w:t xml:space="preserve"> to the author</w:t>
      </w:r>
      <w:r w:rsidR="00623906" w:rsidRPr="004A5DD1">
        <w:rPr>
          <w:sz w:val="22"/>
          <w:szCs w:val="22"/>
        </w:rPr>
        <w:t xml:space="preserve">, title, </w:t>
      </w:r>
      <w:r w:rsidR="00B70311" w:rsidRPr="004A5DD1">
        <w:rPr>
          <w:sz w:val="22"/>
          <w:szCs w:val="22"/>
        </w:rPr>
        <w:t>place of publication, and so on</w:t>
      </w:r>
      <w:r w:rsidR="00623906" w:rsidRPr="004A5DD1">
        <w:rPr>
          <w:sz w:val="22"/>
          <w:szCs w:val="22"/>
        </w:rPr>
        <w:t xml:space="preserve">. However, this concept </w:t>
      </w:r>
      <w:r w:rsidR="00761362" w:rsidRPr="004A5DD1">
        <w:rPr>
          <w:sz w:val="22"/>
          <w:szCs w:val="22"/>
        </w:rPr>
        <w:t>doesn’t</w:t>
      </w:r>
      <w:r w:rsidR="00623906" w:rsidRPr="004A5DD1">
        <w:rPr>
          <w:sz w:val="22"/>
          <w:szCs w:val="22"/>
        </w:rPr>
        <w:t xml:space="preserve"> work well for digital products such as software, which are often dependent on libraries (assembled software packages), code fragments</w:t>
      </w:r>
      <w:r w:rsidR="00B159A5" w:rsidRPr="004A5DD1">
        <w:rPr>
          <w:sz w:val="22"/>
          <w:szCs w:val="22"/>
        </w:rPr>
        <w:t xml:space="preserve">, and </w:t>
      </w:r>
      <w:r w:rsidR="00623906" w:rsidRPr="004A5DD1">
        <w:rPr>
          <w:sz w:val="22"/>
          <w:szCs w:val="22"/>
        </w:rPr>
        <w:t xml:space="preserve">algorithms. </w:t>
      </w:r>
      <w:r w:rsidR="00761362" w:rsidRPr="004A5DD1">
        <w:rPr>
          <w:sz w:val="22"/>
          <w:szCs w:val="22"/>
        </w:rPr>
        <w:t>For many of these</w:t>
      </w:r>
      <w:r w:rsidR="00623906" w:rsidRPr="004A5DD1">
        <w:rPr>
          <w:sz w:val="22"/>
          <w:szCs w:val="22"/>
        </w:rPr>
        <w:t xml:space="preserve">, the identifier (a “name” that refers to a unique product) that should be cited is not clear. Additionally, if a cited library depends on another library, the contribution of this second library is not captured. </w:t>
      </w:r>
      <w:r w:rsidR="00761362" w:rsidRPr="004A5DD1">
        <w:rPr>
          <w:sz w:val="22"/>
          <w:szCs w:val="22"/>
        </w:rPr>
        <w:t>Similarly</w:t>
      </w:r>
      <w:r w:rsidR="00623906" w:rsidRPr="004A5DD1">
        <w:rPr>
          <w:sz w:val="22"/>
          <w:szCs w:val="22"/>
        </w:rPr>
        <w:t xml:space="preserve">, citation of a dataset should perhaps give credit to the people who gathered the data, as well as those who curated it, but the paper author may not know or be able to find these details. </w:t>
      </w:r>
    </w:p>
    <w:p w14:paraId="0987934E" w14:textId="77777777" w:rsidR="002B1E32" w:rsidRPr="004A5DD1" w:rsidRDefault="002B1E32" w:rsidP="002B1E32">
      <w:pPr>
        <w:rPr>
          <w:sz w:val="22"/>
          <w:szCs w:val="22"/>
        </w:rPr>
      </w:pPr>
    </w:p>
    <w:p w14:paraId="33DCCE49" w14:textId="5626DF18" w:rsidR="00066D9D" w:rsidRPr="004A5DD1" w:rsidRDefault="00B159A5" w:rsidP="00623906">
      <w:pPr>
        <w:rPr>
          <w:b/>
          <w:sz w:val="22"/>
          <w:szCs w:val="22"/>
        </w:rPr>
      </w:pPr>
      <w:r w:rsidRPr="004A5DD1">
        <w:rPr>
          <w:b/>
          <w:sz w:val="22"/>
          <w:szCs w:val="22"/>
        </w:rPr>
        <w:lastRenderedPageBreak/>
        <w:t>A Robust System of Citation</w:t>
      </w:r>
    </w:p>
    <w:p w14:paraId="6623BE24" w14:textId="77777777" w:rsidR="00066D9D" w:rsidRPr="004A5DD1" w:rsidRDefault="00066D9D" w:rsidP="00623906">
      <w:pPr>
        <w:rPr>
          <w:sz w:val="22"/>
          <w:szCs w:val="22"/>
        </w:rPr>
      </w:pPr>
    </w:p>
    <w:p w14:paraId="75FCD8DB" w14:textId="76E2B0AD" w:rsidR="00623906" w:rsidRPr="004A5DD1" w:rsidRDefault="009842D6" w:rsidP="00C66D69">
      <w:pPr>
        <w:rPr>
          <w:sz w:val="22"/>
          <w:szCs w:val="22"/>
        </w:rPr>
      </w:pPr>
      <w:r w:rsidRPr="004A5DD1">
        <w:rPr>
          <w:sz w:val="22"/>
          <w:szCs w:val="22"/>
        </w:rPr>
        <w:t>For</w:t>
      </w:r>
      <w:r w:rsidR="00623906" w:rsidRPr="004A5DD1">
        <w:rPr>
          <w:sz w:val="22"/>
          <w:szCs w:val="22"/>
        </w:rPr>
        <w:t xml:space="preserve"> citation of digital products </w:t>
      </w:r>
      <w:r w:rsidRPr="004A5DD1">
        <w:rPr>
          <w:sz w:val="22"/>
          <w:szCs w:val="22"/>
        </w:rPr>
        <w:t>to be</w:t>
      </w:r>
      <w:r w:rsidR="00623906" w:rsidRPr="004A5DD1">
        <w:rPr>
          <w:sz w:val="22"/>
          <w:szCs w:val="22"/>
        </w:rPr>
        <w:t xml:space="preserve"> robust and at least semi-automated, we need to develop and build a set of tools and practices that</w:t>
      </w:r>
      <w:r w:rsidR="00B70311" w:rsidRPr="004A5DD1">
        <w:rPr>
          <w:sz w:val="22"/>
          <w:szCs w:val="22"/>
        </w:rPr>
        <w:t xml:space="preserve"> (1) r</w:t>
      </w:r>
      <w:r w:rsidR="00623906" w:rsidRPr="004A5DD1">
        <w:rPr>
          <w:sz w:val="22"/>
          <w:szCs w:val="22"/>
        </w:rPr>
        <w:t xml:space="preserve">egister </w:t>
      </w:r>
      <w:r w:rsidR="00761362" w:rsidRPr="004A5DD1">
        <w:rPr>
          <w:sz w:val="22"/>
          <w:szCs w:val="22"/>
        </w:rPr>
        <w:t xml:space="preserve">digital </w:t>
      </w:r>
      <w:r w:rsidR="00623906" w:rsidRPr="004A5DD1">
        <w:rPr>
          <w:sz w:val="22"/>
          <w:szCs w:val="22"/>
        </w:rPr>
        <w:t xml:space="preserve">products and those who should be credited </w:t>
      </w:r>
      <w:r w:rsidR="00761362" w:rsidRPr="004A5DD1">
        <w:rPr>
          <w:sz w:val="22"/>
          <w:szCs w:val="22"/>
        </w:rPr>
        <w:t>for those</w:t>
      </w:r>
      <w:r w:rsidR="00736FB0" w:rsidRPr="004A5DD1">
        <w:rPr>
          <w:sz w:val="22"/>
          <w:szCs w:val="22"/>
        </w:rPr>
        <w:t xml:space="preserve"> products</w:t>
      </w:r>
      <w:r w:rsidR="00B70311" w:rsidRPr="004A5DD1">
        <w:rPr>
          <w:sz w:val="22"/>
          <w:szCs w:val="22"/>
        </w:rPr>
        <w:t xml:space="preserve"> and (2) t</w:t>
      </w:r>
      <w:r w:rsidR="00623906" w:rsidRPr="004A5DD1">
        <w:rPr>
          <w:sz w:val="22"/>
          <w:szCs w:val="22"/>
        </w:rPr>
        <w:t>rack usage of the products</w:t>
      </w:r>
      <w:r w:rsidR="00E26688" w:rsidRPr="004A5DD1">
        <w:rPr>
          <w:sz w:val="22"/>
          <w:szCs w:val="22"/>
        </w:rPr>
        <w:t>, and t</w:t>
      </w:r>
      <w:r w:rsidR="00623906" w:rsidRPr="004A5DD1">
        <w:rPr>
          <w:sz w:val="22"/>
          <w:szCs w:val="22"/>
        </w:rPr>
        <w:t>ie this usage to future products</w:t>
      </w:r>
      <w:r w:rsidR="00B70311" w:rsidRPr="004A5DD1">
        <w:rPr>
          <w:sz w:val="22"/>
          <w:szCs w:val="22"/>
        </w:rPr>
        <w:t>.</w:t>
      </w:r>
    </w:p>
    <w:p w14:paraId="00183AB4" w14:textId="77777777" w:rsidR="00623906" w:rsidRPr="004A5DD1" w:rsidRDefault="00623906" w:rsidP="00623906">
      <w:pPr>
        <w:rPr>
          <w:sz w:val="22"/>
          <w:szCs w:val="22"/>
        </w:rPr>
      </w:pPr>
    </w:p>
    <w:p w14:paraId="3C90C9A8" w14:textId="71A0C25F" w:rsidR="00623906" w:rsidRPr="004A5DD1" w:rsidRDefault="00623906" w:rsidP="00623906">
      <w:pPr>
        <w:rPr>
          <w:sz w:val="22"/>
          <w:szCs w:val="22"/>
        </w:rPr>
      </w:pPr>
      <w:r w:rsidRPr="004A5DD1">
        <w:rPr>
          <w:sz w:val="22"/>
          <w:szCs w:val="22"/>
        </w:rPr>
        <w:t xml:space="preserve">Let’s initially focus on the first </w:t>
      </w:r>
      <w:r w:rsidR="00B70311" w:rsidRPr="004A5DD1">
        <w:rPr>
          <w:sz w:val="22"/>
          <w:szCs w:val="22"/>
        </w:rPr>
        <w:t>requirement</w:t>
      </w:r>
      <w:r w:rsidRPr="004A5DD1">
        <w:rPr>
          <w:sz w:val="22"/>
          <w:szCs w:val="22"/>
        </w:rPr>
        <w:t>. Papers traditionally have been registered by commercial publishers, who generally use peer-reviewers to validate the quality of the work, but often charge readers for access to the papers. Alternatives also have appeared in recent years, such as PLOS, a</w:t>
      </w:r>
      <w:r w:rsidR="00761362" w:rsidRPr="004A5DD1">
        <w:rPr>
          <w:sz w:val="22"/>
          <w:szCs w:val="22"/>
        </w:rPr>
        <w:t>n open-access,</w:t>
      </w:r>
      <w:r w:rsidRPr="004A5DD1">
        <w:rPr>
          <w:sz w:val="22"/>
          <w:szCs w:val="22"/>
        </w:rPr>
        <w:t xml:space="preserve"> </w:t>
      </w:r>
      <w:r w:rsidR="00736FB0" w:rsidRPr="004A5DD1">
        <w:rPr>
          <w:sz w:val="22"/>
          <w:szCs w:val="22"/>
        </w:rPr>
        <w:t xml:space="preserve">peer-reviewed, </w:t>
      </w:r>
      <w:r w:rsidRPr="004A5DD1">
        <w:rPr>
          <w:sz w:val="22"/>
          <w:szCs w:val="22"/>
        </w:rPr>
        <w:t xml:space="preserve">non-commercial publisher, and ArXiv.org, an </w:t>
      </w:r>
      <w:r w:rsidR="00736FB0" w:rsidRPr="004A5DD1">
        <w:rPr>
          <w:sz w:val="22"/>
          <w:szCs w:val="22"/>
        </w:rPr>
        <w:t xml:space="preserve">open-access, non-peer-reviewed </w:t>
      </w:r>
      <w:r w:rsidR="00761362" w:rsidRPr="004A5DD1">
        <w:rPr>
          <w:sz w:val="22"/>
          <w:szCs w:val="22"/>
        </w:rPr>
        <w:t>repository</w:t>
      </w:r>
      <w:r w:rsidRPr="004A5DD1">
        <w:rPr>
          <w:sz w:val="22"/>
          <w:szCs w:val="22"/>
        </w:rPr>
        <w:t xml:space="preserve">. </w:t>
      </w:r>
      <w:r w:rsidR="009842D6" w:rsidRPr="004A5DD1">
        <w:rPr>
          <w:sz w:val="22"/>
          <w:szCs w:val="22"/>
        </w:rPr>
        <w:t>T</w:t>
      </w:r>
      <w:r w:rsidRPr="004A5DD1">
        <w:rPr>
          <w:sz w:val="22"/>
          <w:szCs w:val="22"/>
        </w:rPr>
        <w:t xml:space="preserve">hese systems </w:t>
      </w:r>
      <w:r w:rsidR="00761362" w:rsidRPr="004A5DD1">
        <w:rPr>
          <w:sz w:val="22"/>
          <w:szCs w:val="22"/>
        </w:rPr>
        <w:t xml:space="preserve">also </w:t>
      </w:r>
      <w:r w:rsidRPr="004A5DD1">
        <w:rPr>
          <w:sz w:val="22"/>
          <w:szCs w:val="22"/>
        </w:rPr>
        <w:t>have the technical capability to register (and peer-review, if appropriate) software and data.</w:t>
      </w:r>
    </w:p>
    <w:p w14:paraId="199509B4" w14:textId="77777777" w:rsidR="00623906" w:rsidRPr="004A5DD1" w:rsidRDefault="00623906" w:rsidP="00623906">
      <w:pPr>
        <w:rPr>
          <w:sz w:val="22"/>
          <w:szCs w:val="22"/>
        </w:rPr>
      </w:pPr>
    </w:p>
    <w:p w14:paraId="7C5BEF31" w14:textId="4ED9DC69" w:rsidR="002B1E32" w:rsidRPr="004A5DD1" w:rsidRDefault="00623906" w:rsidP="00623906">
      <w:pPr>
        <w:rPr>
          <w:sz w:val="22"/>
          <w:szCs w:val="22"/>
        </w:rPr>
      </w:pPr>
      <w:r w:rsidRPr="004A5DD1">
        <w:rPr>
          <w:sz w:val="22"/>
          <w:szCs w:val="22"/>
        </w:rPr>
        <w:t>There are, of course, additional issu</w:t>
      </w:r>
      <w:r w:rsidR="002B1E32" w:rsidRPr="004A5DD1">
        <w:rPr>
          <w:sz w:val="22"/>
          <w:szCs w:val="22"/>
        </w:rPr>
        <w:t xml:space="preserve">es related to digital products, many of which are social, </w:t>
      </w:r>
      <w:r w:rsidRPr="004A5DD1">
        <w:rPr>
          <w:sz w:val="22"/>
          <w:szCs w:val="22"/>
        </w:rPr>
        <w:t>such as the potential volume of products being produced, and the number of versions of those products. If we develop a culture that expects these product</w:t>
      </w:r>
      <w:r w:rsidR="00736FB0" w:rsidRPr="004A5DD1">
        <w:rPr>
          <w:sz w:val="22"/>
          <w:szCs w:val="22"/>
        </w:rPr>
        <w:t>s</w:t>
      </w:r>
      <w:r w:rsidRPr="004A5DD1">
        <w:rPr>
          <w:sz w:val="22"/>
          <w:szCs w:val="22"/>
        </w:rPr>
        <w:t xml:space="preserve"> to have value similar to that of papers, in which a group produces a small number of products each year, and these products </w:t>
      </w:r>
      <w:r w:rsidR="009306A1" w:rsidRPr="004A5DD1">
        <w:rPr>
          <w:sz w:val="22"/>
          <w:szCs w:val="22"/>
        </w:rPr>
        <w:t xml:space="preserve">embody </w:t>
      </w:r>
      <w:r w:rsidRPr="004A5DD1">
        <w:rPr>
          <w:sz w:val="22"/>
          <w:szCs w:val="22"/>
        </w:rPr>
        <w:t>significant progress beyond previous products, these issues can probably still be handled with today’s systems</w:t>
      </w:r>
      <w:r w:rsidR="00DD23F9" w:rsidRPr="004A5DD1">
        <w:rPr>
          <w:rStyle w:val="EndnoteReference"/>
          <w:sz w:val="22"/>
          <w:szCs w:val="22"/>
        </w:rPr>
        <w:endnoteReference w:id="13"/>
      </w:r>
      <w:r w:rsidRPr="004A5DD1">
        <w:rPr>
          <w:sz w:val="22"/>
          <w:szCs w:val="22"/>
        </w:rPr>
        <w:t>.</w:t>
      </w:r>
      <w:r w:rsidR="002B1E32" w:rsidRPr="004A5DD1">
        <w:rPr>
          <w:sz w:val="22"/>
          <w:szCs w:val="22"/>
        </w:rPr>
        <w:t xml:space="preserve"> </w:t>
      </w:r>
      <w:r w:rsidRPr="004A5DD1">
        <w:rPr>
          <w:sz w:val="22"/>
          <w:szCs w:val="22"/>
        </w:rPr>
        <w:t>The question of credit for these products, however, will be as much an issue in the future as it is for papers today</w:t>
      </w:r>
      <w:r w:rsidR="00736FB0" w:rsidRPr="004A5DD1">
        <w:rPr>
          <w:sz w:val="22"/>
          <w:szCs w:val="22"/>
        </w:rPr>
        <w:t>.</w:t>
      </w:r>
      <w:r w:rsidRPr="004A5DD1">
        <w:rPr>
          <w:rStyle w:val="EndnoteReference"/>
          <w:sz w:val="22"/>
          <w:szCs w:val="22"/>
        </w:rPr>
        <w:endnoteReference w:id="14"/>
      </w:r>
      <w:r w:rsidRPr="004A5DD1">
        <w:rPr>
          <w:sz w:val="22"/>
          <w:szCs w:val="22"/>
          <w:vertAlign w:val="superscript"/>
        </w:rPr>
        <w:t>,</w:t>
      </w:r>
      <w:r w:rsidRPr="004A5DD1">
        <w:rPr>
          <w:rStyle w:val="EndnoteReference"/>
          <w:sz w:val="22"/>
          <w:szCs w:val="22"/>
        </w:rPr>
        <w:endnoteReference w:id="15"/>
      </w:r>
      <w:r w:rsidRPr="004A5DD1">
        <w:rPr>
          <w:sz w:val="22"/>
          <w:szCs w:val="22"/>
        </w:rPr>
        <w:t xml:space="preserve"> </w:t>
      </w:r>
    </w:p>
    <w:p w14:paraId="47F7FB94" w14:textId="77777777" w:rsidR="002B1E32" w:rsidRPr="004A5DD1" w:rsidRDefault="002B1E32" w:rsidP="00623906">
      <w:pPr>
        <w:rPr>
          <w:sz w:val="22"/>
          <w:szCs w:val="22"/>
        </w:rPr>
      </w:pPr>
    </w:p>
    <w:p w14:paraId="0DF840E6" w14:textId="77777777" w:rsidR="002B1E32" w:rsidRPr="004A5DD1" w:rsidRDefault="00623906" w:rsidP="00623906">
      <w:pPr>
        <w:rPr>
          <w:sz w:val="22"/>
          <w:szCs w:val="22"/>
        </w:rPr>
      </w:pPr>
      <w:r w:rsidRPr="004A5DD1">
        <w:rPr>
          <w:sz w:val="22"/>
          <w:szCs w:val="22"/>
        </w:rPr>
        <w:t>Many sets of standards for authorship exist, often distinct across disciplines, but it seems that in many fields, a substantial number of papers do not follow these rules, particularly with regards to granting honorary authorship</w:t>
      </w:r>
      <w:r w:rsidRPr="004A5DD1">
        <w:rPr>
          <w:rStyle w:val="EndnoteReference"/>
          <w:sz w:val="22"/>
          <w:szCs w:val="22"/>
        </w:rPr>
        <w:endnoteReference w:id="16"/>
      </w:r>
      <w:r w:rsidRPr="004A5DD1">
        <w:rPr>
          <w:sz w:val="22"/>
          <w:szCs w:val="22"/>
        </w:rPr>
        <w:t>. Some journals have tried to solve this problem by requiring that the contribution of each author be defined, and other systems have also been proposed.</w:t>
      </w:r>
      <w:r w:rsidRPr="004A5DD1">
        <w:rPr>
          <w:rStyle w:val="EndnoteReference"/>
          <w:sz w:val="22"/>
          <w:szCs w:val="22"/>
        </w:rPr>
        <w:endnoteReference w:id="17"/>
      </w:r>
      <w:r w:rsidRPr="004A5DD1">
        <w:rPr>
          <w:sz w:val="22"/>
          <w:szCs w:val="22"/>
          <w:vertAlign w:val="superscript"/>
        </w:rPr>
        <w:t>,</w:t>
      </w:r>
      <w:r w:rsidRPr="004A5DD1">
        <w:rPr>
          <w:rStyle w:val="EndnoteReference"/>
          <w:sz w:val="22"/>
          <w:szCs w:val="22"/>
        </w:rPr>
        <w:endnoteReference w:id="18"/>
      </w:r>
      <w:r w:rsidR="009842D6" w:rsidRPr="004A5DD1">
        <w:rPr>
          <w:sz w:val="22"/>
          <w:szCs w:val="22"/>
        </w:rPr>
        <w:t xml:space="preserve"> </w:t>
      </w:r>
    </w:p>
    <w:p w14:paraId="7A3B8965" w14:textId="77777777" w:rsidR="002B1E32" w:rsidRPr="004A5DD1" w:rsidRDefault="002B1E32" w:rsidP="00623906">
      <w:pPr>
        <w:rPr>
          <w:sz w:val="22"/>
          <w:szCs w:val="22"/>
        </w:rPr>
      </w:pPr>
    </w:p>
    <w:p w14:paraId="0A93E12E" w14:textId="60E4766E" w:rsidR="00623906" w:rsidRPr="004A5DD1" w:rsidRDefault="009842D6" w:rsidP="00623906">
      <w:pPr>
        <w:rPr>
          <w:sz w:val="22"/>
          <w:szCs w:val="22"/>
        </w:rPr>
      </w:pPr>
      <w:r w:rsidRPr="004A5DD1">
        <w:rPr>
          <w:sz w:val="22"/>
          <w:szCs w:val="22"/>
        </w:rPr>
        <w:t xml:space="preserve">A </w:t>
      </w:r>
      <w:r w:rsidR="002B1E32" w:rsidRPr="004A5DD1">
        <w:rPr>
          <w:sz w:val="22"/>
          <w:szCs w:val="22"/>
        </w:rPr>
        <w:t xml:space="preserve">technologically </w:t>
      </w:r>
      <w:r w:rsidRPr="004A5DD1">
        <w:rPr>
          <w:sz w:val="22"/>
          <w:szCs w:val="22"/>
        </w:rPr>
        <w:t>simple</w:t>
      </w:r>
      <w:r w:rsidR="00623906" w:rsidRPr="004A5DD1">
        <w:rPr>
          <w:sz w:val="22"/>
          <w:szCs w:val="22"/>
        </w:rPr>
        <w:t xml:space="preserve"> solution is to give fractional credit to all authors</w:t>
      </w:r>
      <w:r w:rsidRPr="004A5DD1">
        <w:rPr>
          <w:sz w:val="22"/>
          <w:szCs w:val="22"/>
        </w:rPr>
        <w:t>, which</w:t>
      </w:r>
      <w:r w:rsidR="00623906" w:rsidRPr="004A5DD1">
        <w:rPr>
          <w:sz w:val="22"/>
          <w:szCs w:val="22"/>
        </w:rPr>
        <w:t xml:space="preserve"> c</w:t>
      </w:r>
      <w:r w:rsidRPr="004A5DD1">
        <w:rPr>
          <w:sz w:val="22"/>
          <w:szCs w:val="22"/>
        </w:rPr>
        <w:t>an</w:t>
      </w:r>
      <w:r w:rsidR="00623906" w:rsidRPr="004A5DD1">
        <w:rPr>
          <w:sz w:val="22"/>
          <w:szCs w:val="22"/>
        </w:rPr>
        <w:t xml:space="preserve"> also be done for software and data. </w:t>
      </w:r>
      <w:r w:rsidR="00B70311" w:rsidRPr="004A5DD1">
        <w:rPr>
          <w:sz w:val="22"/>
          <w:szCs w:val="22"/>
        </w:rPr>
        <w:t xml:space="preserve">Arguably, determining </w:t>
      </w:r>
      <w:r w:rsidR="00623906" w:rsidRPr="004A5DD1">
        <w:rPr>
          <w:sz w:val="22"/>
          <w:szCs w:val="22"/>
        </w:rPr>
        <w:t>how to weight credit of the authors may be difficult, but it should be possible. And just as papers today are submitted by one person who is responsible for mak</w:t>
      </w:r>
      <w:r w:rsidR="00736FB0" w:rsidRPr="004A5DD1">
        <w:rPr>
          <w:sz w:val="22"/>
          <w:szCs w:val="22"/>
        </w:rPr>
        <w:t>ing sure all authors are listed</w:t>
      </w:r>
      <w:r w:rsidR="00623906" w:rsidRPr="004A5DD1">
        <w:rPr>
          <w:sz w:val="22"/>
          <w:szCs w:val="22"/>
        </w:rPr>
        <w:t xml:space="preserve"> and the paper is complete, etc., the submitter would also be responsible for registering this fractional credit.</w:t>
      </w:r>
    </w:p>
    <w:p w14:paraId="663257F5" w14:textId="77777777" w:rsidR="00623906" w:rsidRPr="004A5DD1" w:rsidRDefault="00623906" w:rsidP="00623906">
      <w:pPr>
        <w:rPr>
          <w:sz w:val="22"/>
          <w:szCs w:val="22"/>
        </w:rPr>
      </w:pPr>
    </w:p>
    <w:p w14:paraId="34653F53" w14:textId="2368AA44" w:rsidR="00623906" w:rsidRPr="004A5DD1" w:rsidRDefault="00DE07CC" w:rsidP="00623906">
      <w:pPr>
        <w:rPr>
          <w:sz w:val="22"/>
          <w:szCs w:val="22"/>
        </w:rPr>
      </w:pPr>
      <w:r w:rsidRPr="004A5DD1">
        <w:rPr>
          <w:sz w:val="22"/>
          <w:szCs w:val="22"/>
        </w:rPr>
        <w:t>W</w:t>
      </w:r>
      <w:r w:rsidR="00623906" w:rsidRPr="004A5DD1">
        <w:rPr>
          <w:sz w:val="22"/>
          <w:szCs w:val="22"/>
        </w:rPr>
        <w:t xml:space="preserve">e </w:t>
      </w:r>
      <w:r w:rsidR="00B70311" w:rsidRPr="004A5DD1">
        <w:rPr>
          <w:sz w:val="22"/>
          <w:szCs w:val="22"/>
        </w:rPr>
        <w:t xml:space="preserve">can </w:t>
      </w:r>
      <w:r w:rsidRPr="004A5DD1">
        <w:rPr>
          <w:sz w:val="22"/>
          <w:szCs w:val="22"/>
        </w:rPr>
        <w:t xml:space="preserve">also </w:t>
      </w:r>
      <w:r w:rsidR="00B70311" w:rsidRPr="004A5DD1">
        <w:rPr>
          <w:sz w:val="22"/>
          <w:szCs w:val="22"/>
        </w:rPr>
        <w:t xml:space="preserve">envision </w:t>
      </w:r>
      <w:r w:rsidR="00623906" w:rsidRPr="004A5DD1">
        <w:rPr>
          <w:sz w:val="22"/>
          <w:szCs w:val="22"/>
        </w:rPr>
        <w:t xml:space="preserve">combining the idea of credit to contributors, as currently listed in authorship lists, and credit to others, as currently listed in acknowledgements, and credit to predecessors, as currently listed in citations, into one single credit map for each product. The reason to do </w:t>
      </w:r>
      <w:r w:rsidR="00B70311" w:rsidRPr="004A5DD1">
        <w:rPr>
          <w:sz w:val="22"/>
          <w:szCs w:val="22"/>
        </w:rPr>
        <w:t xml:space="preserve">so </w:t>
      </w:r>
      <w:r w:rsidR="00623906" w:rsidRPr="004A5DD1">
        <w:rPr>
          <w:sz w:val="22"/>
          <w:szCs w:val="22"/>
        </w:rPr>
        <w:t xml:space="preserve">is to allow </w:t>
      </w:r>
      <w:r w:rsidR="00623906" w:rsidRPr="004A5DD1">
        <w:rPr>
          <w:i/>
          <w:sz w:val="22"/>
          <w:szCs w:val="22"/>
        </w:rPr>
        <w:t>transitive credit</w:t>
      </w:r>
      <w:r w:rsidR="00623906" w:rsidRPr="004A5DD1">
        <w:rPr>
          <w:sz w:val="22"/>
          <w:szCs w:val="22"/>
        </w:rPr>
        <w:t xml:space="preserve">, which is part of the </w:t>
      </w:r>
      <w:r w:rsidR="00394CD9" w:rsidRPr="004A5DD1">
        <w:rPr>
          <w:sz w:val="22"/>
          <w:szCs w:val="22"/>
        </w:rPr>
        <w:t xml:space="preserve">second </w:t>
      </w:r>
      <w:r w:rsidR="00623906" w:rsidRPr="004A5DD1">
        <w:rPr>
          <w:sz w:val="22"/>
          <w:szCs w:val="22"/>
        </w:rPr>
        <w:t>step</w:t>
      </w:r>
      <w:r w:rsidR="00EC5B82" w:rsidRPr="004A5DD1">
        <w:rPr>
          <w:sz w:val="22"/>
          <w:szCs w:val="22"/>
        </w:rPr>
        <w:t xml:space="preserve"> in developing a robust system of citation</w:t>
      </w:r>
      <w:r w:rsidR="00623906" w:rsidRPr="004A5DD1">
        <w:rPr>
          <w:sz w:val="22"/>
          <w:szCs w:val="22"/>
        </w:rPr>
        <w:t>.</w:t>
      </w:r>
    </w:p>
    <w:p w14:paraId="2B3B2D84" w14:textId="77777777" w:rsidR="00623906" w:rsidRPr="004A5DD1" w:rsidRDefault="00623906" w:rsidP="00623906">
      <w:pPr>
        <w:rPr>
          <w:sz w:val="22"/>
          <w:szCs w:val="22"/>
        </w:rPr>
      </w:pPr>
    </w:p>
    <w:p w14:paraId="557F9A38" w14:textId="77777777" w:rsidR="00B70311" w:rsidRPr="004A5DD1" w:rsidRDefault="00B70311" w:rsidP="00623906">
      <w:pPr>
        <w:rPr>
          <w:b/>
          <w:sz w:val="22"/>
          <w:szCs w:val="22"/>
        </w:rPr>
      </w:pPr>
      <w:r w:rsidRPr="004A5DD1">
        <w:rPr>
          <w:b/>
          <w:sz w:val="22"/>
          <w:szCs w:val="22"/>
        </w:rPr>
        <w:t>Tracking Product Usage</w:t>
      </w:r>
    </w:p>
    <w:p w14:paraId="56513C31" w14:textId="77777777" w:rsidR="00B70311" w:rsidRPr="004A5DD1" w:rsidRDefault="00B70311" w:rsidP="00623906">
      <w:pPr>
        <w:rPr>
          <w:sz w:val="22"/>
          <w:szCs w:val="22"/>
        </w:rPr>
      </w:pPr>
    </w:p>
    <w:p w14:paraId="184DFD0B" w14:textId="171FF3D0" w:rsidR="00623906" w:rsidRPr="004A5DD1" w:rsidRDefault="00623906" w:rsidP="00623906">
      <w:pPr>
        <w:rPr>
          <w:sz w:val="22"/>
          <w:szCs w:val="22"/>
        </w:rPr>
      </w:pPr>
      <w:r w:rsidRPr="004A5DD1">
        <w:rPr>
          <w:sz w:val="22"/>
          <w:szCs w:val="22"/>
        </w:rPr>
        <w:t xml:space="preserve">The idea of transitive credit is </w:t>
      </w:r>
      <w:r w:rsidR="00B70311" w:rsidRPr="004A5DD1">
        <w:rPr>
          <w:sz w:val="22"/>
          <w:szCs w:val="22"/>
        </w:rPr>
        <w:t>as follows: T</w:t>
      </w:r>
      <w:r w:rsidRPr="004A5DD1">
        <w:rPr>
          <w:sz w:val="22"/>
          <w:szCs w:val="22"/>
        </w:rPr>
        <w:t xml:space="preserve">he credit map for product A, which is used by product B, feeds into the credit map for product B. For example, product A is a software package equally written by two authors and its credit map is just 50% credit to each of them. Product B is a paper that depended on this package, and </w:t>
      </w:r>
      <w:r w:rsidR="00B70311" w:rsidRPr="004A5DD1">
        <w:rPr>
          <w:sz w:val="22"/>
          <w:szCs w:val="22"/>
        </w:rPr>
        <w:t>the authors</w:t>
      </w:r>
      <w:r w:rsidRPr="004A5DD1">
        <w:rPr>
          <w:sz w:val="22"/>
          <w:szCs w:val="22"/>
        </w:rPr>
        <w:t xml:space="preserve"> assign 10% credit to the package. The transitive nature of this credit system means that the two authors of the software package now can each fairly claim 5% credit for the paper. If another paper is later written that extends the product B paper and gives 10% credit to that paper, the software package developers will also have 0.5% credit for the new paper.</w:t>
      </w:r>
    </w:p>
    <w:p w14:paraId="02F14B8B" w14:textId="77777777" w:rsidR="00623906" w:rsidRPr="004A5DD1" w:rsidRDefault="00623906" w:rsidP="00623906">
      <w:pPr>
        <w:rPr>
          <w:sz w:val="22"/>
          <w:szCs w:val="22"/>
        </w:rPr>
      </w:pPr>
    </w:p>
    <w:p w14:paraId="7DEBBDFA" w14:textId="109B338E" w:rsidR="00623906" w:rsidRPr="004A5DD1" w:rsidRDefault="00623906" w:rsidP="00623906">
      <w:pPr>
        <w:rPr>
          <w:sz w:val="22"/>
          <w:szCs w:val="22"/>
        </w:rPr>
      </w:pPr>
      <w:r w:rsidRPr="004A5DD1" w:rsidDel="00B70311">
        <w:rPr>
          <w:sz w:val="22"/>
          <w:szCs w:val="22"/>
        </w:rPr>
        <w:t xml:space="preserve">The primary value of transitive credit is in measuring the indirect contributions to a product, which today are not quantitatively captured. Because </w:t>
      </w:r>
      <w:r w:rsidR="00B208AC" w:rsidRPr="004A5DD1" w:rsidDel="00B70311">
        <w:rPr>
          <w:sz w:val="22"/>
          <w:szCs w:val="22"/>
        </w:rPr>
        <w:t>they</w:t>
      </w:r>
      <w:r w:rsidRPr="004A5DD1" w:rsidDel="00B70311">
        <w:rPr>
          <w:sz w:val="22"/>
          <w:szCs w:val="22"/>
        </w:rPr>
        <w:t xml:space="preserve"> are</w:t>
      </w:r>
      <w:r w:rsidR="00B208AC" w:rsidRPr="004A5DD1" w:rsidDel="00B70311">
        <w:rPr>
          <w:sz w:val="22"/>
          <w:szCs w:val="22"/>
        </w:rPr>
        <w:t>n’t captured, they are</w:t>
      </w:r>
      <w:r w:rsidRPr="004A5DD1" w:rsidDel="00B70311">
        <w:rPr>
          <w:sz w:val="22"/>
          <w:szCs w:val="22"/>
        </w:rPr>
        <w:t>n</w:t>
      </w:r>
      <w:r w:rsidR="00B208AC" w:rsidRPr="004A5DD1" w:rsidDel="00B70311">
        <w:rPr>
          <w:sz w:val="22"/>
          <w:szCs w:val="22"/>
        </w:rPr>
        <w:t>’</w:t>
      </w:r>
      <w:r w:rsidRPr="004A5DD1" w:rsidDel="00B70311">
        <w:rPr>
          <w:sz w:val="22"/>
          <w:szCs w:val="22"/>
        </w:rPr>
        <w:t xml:space="preserve">t rewarded, and there is a disincentive to perform them. If they were captured, this disincentive would be replaced by an incentive, which </w:t>
      </w:r>
      <w:r w:rsidR="00761362" w:rsidRPr="004A5DD1" w:rsidDel="00B70311">
        <w:rPr>
          <w:sz w:val="22"/>
          <w:szCs w:val="22"/>
        </w:rPr>
        <w:t>for</w:t>
      </w:r>
      <w:r w:rsidRPr="004A5DD1" w:rsidDel="00B70311">
        <w:rPr>
          <w:sz w:val="22"/>
          <w:szCs w:val="22"/>
        </w:rPr>
        <w:t xml:space="preserve"> software and data means to publish and share the</w:t>
      </w:r>
      <w:r w:rsidR="00761362" w:rsidRPr="004A5DD1" w:rsidDel="00B70311">
        <w:rPr>
          <w:sz w:val="22"/>
          <w:szCs w:val="22"/>
        </w:rPr>
        <w:t>m</w:t>
      </w:r>
      <w:r w:rsidRPr="004A5DD1" w:rsidDel="00B70311">
        <w:rPr>
          <w:sz w:val="22"/>
          <w:szCs w:val="22"/>
        </w:rPr>
        <w:t xml:space="preserve"> in a </w:t>
      </w:r>
      <w:r w:rsidR="00761362" w:rsidRPr="004A5DD1" w:rsidDel="00B70311">
        <w:rPr>
          <w:sz w:val="22"/>
          <w:szCs w:val="22"/>
        </w:rPr>
        <w:t xml:space="preserve">reusable </w:t>
      </w:r>
      <w:r w:rsidRPr="004A5DD1" w:rsidDel="00B70311">
        <w:rPr>
          <w:sz w:val="22"/>
          <w:szCs w:val="22"/>
        </w:rPr>
        <w:t>form.</w:t>
      </w:r>
    </w:p>
    <w:p w14:paraId="060E55DD" w14:textId="77777777" w:rsidR="0047519F" w:rsidRPr="004A5DD1" w:rsidDel="00B70311" w:rsidRDefault="0047519F" w:rsidP="00623906">
      <w:pPr>
        <w:rPr>
          <w:sz w:val="22"/>
          <w:szCs w:val="22"/>
        </w:rPr>
      </w:pPr>
    </w:p>
    <w:p w14:paraId="0FD26108" w14:textId="34265FB9" w:rsidR="00623906" w:rsidRPr="004A5DD1" w:rsidRDefault="00623906" w:rsidP="00623906">
      <w:pPr>
        <w:rPr>
          <w:sz w:val="22"/>
          <w:szCs w:val="22"/>
        </w:rPr>
      </w:pPr>
      <w:r w:rsidRPr="004A5DD1">
        <w:rPr>
          <w:sz w:val="22"/>
          <w:szCs w:val="22"/>
        </w:rPr>
        <w:t xml:space="preserve">Tools </w:t>
      </w:r>
      <w:r w:rsidR="004748A3" w:rsidRPr="004A5DD1">
        <w:rPr>
          <w:sz w:val="22"/>
          <w:szCs w:val="22"/>
        </w:rPr>
        <w:t xml:space="preserve">to measure </w:t>
      </w:r>
      <w:r w:rsidR="00C45A33" w:rsidRPr="004A5DD1">
        <w:rPr>
          <w:sz w:val="22"/>
          <w:szCs w:val="22"/>
        </w:rPr>
        <w:t xml:space="preserve">product </w:t>
      </w:r>
      <w:r w:rsidR="004748A3" w:rsidRPr="004A5DD1">
        <w:rPr>
          <w:sz w:val="22"/>
          <w:szCs w:val="22"/>
        </w:rPr>
        <w:t xml:space="preserve">usage </w:t>
      </w:r>
      <w:r w:rsidRPr="004A5DD1">
        <w:rPr>
          <w:sz w:val="22"/>
          <w:szCs w:val="22"/>
        </w:rPr>
        <w:t>are needed, such as provenance systems</w:t>
      </w:r>
      <w:r w:rsidR="001461BD" w:rsidRPr="004A5DD1">
        <w:rPr>
          <w:sz w:val="22"/>
          <w:szCs w:val="22"/>
        </w:rPr>
        <w:t>, some of which are being developed today</w:t>
      </w:r>
      <w:r w:rsidRPr="004A5DD1">
        <w:rPr>
          <w:sz w:val="22"/>
          <w:szCs w:val="22"/>
        </w:rPr>
        <w:t xml:space="preserve">. Some </w:t>
      </w:r>
      <w:proofErr w:type="spellStart"/>
      <w:r w:rsidR="00EE34BC" w:rsidRPr="004A5DD1">
        <w:rPr>
          <w:sz w:val="22"/>
          <w:szCs w:val="22"/>
        </w:rPr>
        <w:t>altmetrics</w:t>
      </w:r>
      <w:proofErr w:type="spellEnd"/>
      <w:r w:rsidR="00EE34BC" w:rsidRPr="004A5DD1">
        <w:rPr>
          <w:sz w:val="22"/>
          <w:szCs w:val="22"/>
        </w:rPr>
        <w:t xml:space="preserve"> </w:t>
      </w:r>
      <w:r w:rsidRPr="004A5DD1">
        <w:rPr>
          <w:sz w:val="22"/>
          <w:szCs w:val="22"/>
        </w:rPr>
        <w:t xml:space="preserve">work may also be </w:t>
      </w:r>
      <w:r w:rsidR="00C45A33" w:rsidRPr="004A5DD1">
        <w:rPr>
          <w:sz w:val="22"/>
          <w:szCs w:val="22"/>
        </w:rPr>
        <w:t>used to</w:t>
      </w:r>
      <w:r w:rsidRPr="004A5DD1">
        <w:rPr>
          <w:sz w:val="22"/>
          <w:szCs w:val="22"/>
        </w:rPr>
        <w:t xml:space="preserve"> help developer</w:t>
      </w:r>
      <w:r w:rsidR="00EE34BC" w:rsidRPr="004A5DD1">
        <w:rPr>
          <w:sz w:val="22"/>
          <w:szCs w:val="22"/>
        </w:rPr>
        <w:t>s</w:t>
      </w:r>
      <w:r w:rsidRPr="004A5DD1">
        <w:rPr>
          <w:sz w:val="22"/>
          <w:szCs w:val="22"/>
        </w:rPr>
        <w:t xml:space="preserve"> track their activities (paper and data views, software usage), so that they can select </w:t>
      </w:r>
      <w:r w:rsidR="00EE34BC" w:rsidRPr="004A5DD1">
        <w:rPr>
          <w:sz w:val="22"/>
          <w:szCs w:val="22"/>
        </w:rPr>
        <w:t>those that</w:t>
      </w:r>
      <w:r w:rsidRPr="004A5DD1">
        <w:rPr>
          <w:sz w:val="22"/>
          <w:szCs w:val="22"/>
        </w:rPr>
        <w:t xml:space="preserve"> were related to the new product</w:t>
      </w:r>
      <w:r w:rsidR="00EE34BC" w:rsidRPr="004A5DD1">
        <w:rPr>
          <w:sz w:val="22"/>
          <w:szCs w:val="22"/>
        </w:rPr>
        <w:t>s</w:t>
      </w:r>
      <w:r w:rsidRPr="004A5DD1">
        <w:rPr>
          <w:sz w:val="22"/>
          <w:szCs w:val="22"/>
        </w:rPr>
        <w:t>.</w:t>
      </w:r>
      <w:r w:rsidR="004748A3" w:rsidRPr="004A5DD1">
        <w:rPr>
          <w:sz w:val="22"/>
          <w:szCs w:val="22"/>
        </w:rPr>
        <w:t xml:space="preserve"> This second step </w:t>
      </w:r>
      <w:r w:rsidR="00EC5B82" w:rsidRPr="004A5DD1">
        <w:rPr>
          <w:sz w:val="22"/>
          <w:szCs w:val="22"/>
        </w:rPr>
        <w:t xml:space="preserve">in developing a robust system of citation </w:t>
      </w:r>
      <w:r w:rsidR="004748A3" w:rsidRPr="004A5DD1">
        <w:rPr>
          <w:sz w:val="22"/>
          <w:szCs w:val="22"/>
        </w:rPr>
        <w:t>is important because as more digital products become available, it will become increasingly difficult for the person who registers a new product (whether paper, software, or data) to remember what previous products were used.</w:t>
      </w:r>
    </w:p>
    <w:p w14:paraId="14E12735" w14:textId="77777777" w:rsidR="00623906" w:rsidRPr="004A5DD1" w:rsidRDefault="00623906" w:rsidP="00623906">
      <w:pPr>
        <w:rPr>
          <w:sz w:val="22"/>
          <w:szCs w:val="22"/>
        </w:rPr>
      </w:pPr>
    </w:p>
    <w:p w14:paraId="48DB6E71" w14:textId="77777777" w:rsidR="006C16D8" w:rsidRPr="004A5DD1" w:rsidRDefault="006C16D8" w:rsidP="006C16D8">
      <w:pPr>
        <w:rPr>
          <w:b/>
          <w:sz w:val="22"/>
          <w:szCs w:val="22"/>
        </w:rPr>
      </w:pPr>
      <w:r w:rsidRPr="004A5DD1">
        <w:rPr>
          <w:b/>
          <w:sz w:val="22"/>
          <w:szCs w:val="22"/>
        </w:rPr>
        <w:t>Implementation</w:t>
      </w:r>
    </w:p>
    <w:p w14:paraId="2957E9AC" w14:textId="77777777" w:rsidR="006C16D8" w:rsidRPr="004A5DD1" w:rsidRDefault="006C16D8" w:rsidP="006C16D8">
      <w:pPr>
        <w:rPr>
          <w:sz w:val="22"/>
          <w:szCs w:val="22"/>
        </w:rPr>
      </w:pPr>
    </w:p>
    <w:p w14:paraId="64DD08CC" w14:textId="21B16C46" w:rsidR="006C16D8" w:rsidRPr="004A5DD1" w:rsidRDefault="006C16D8" w:rsidP="006C16D8">
      <w:pPr>
        <w:rPr>
          <w:sz w:val="22"/>
          <w:szCs w:val="22"/>
        </w:rPr>
      </w:pPr>
      <w:r w:rsidRPr="004A5DD1">
        <w:rPr>
          <w:sz w:val="22"/>
          <w:szCs w:val="22"/>
        </w:rPr>
        <w:t>In order for transitive credit to be measured, we first need unique identifiers for products, which can be done by the existing Handle System (http://handle.net), as extended by the existing digital object identifier (DOI, http://doi.org) system. Next, we need unique identifiers for authors, which is a problem that ORCID (http://orcid.org) is attempting to solve. Third, we need a way to register the unique mapping of credit for each product, which would require a new service to map a DOI to a weighted lists of additional ORCIDs or DOIs, which is no more technically challenging than the existing DOI system.</w:t>
      </w:r>
      <w:r w:rsidR="00C45A33" w:rsidRPr="004A5DD1">
        <w:rPr>
          <w:sz w:val="22"/>
          <w:szCs w:val="22"/>
        </w:rPr>
        <w:t xml:space="preserve">  Finally, in order track product usage, we need easy-to-use automated provenance systems.</w:t>
      </w:r>
    </w:p>
    <w:p w14:paraId="0EA7725F" w14:textId="77810FC5" w:rsidR="006C16D8" w:rsidRPr="004A5DD1" w:rsidRDefault="006C16D8" w:rsidP="006C16D8">
      <w:pPr>
        <w:rPr>
          <w:sz w:val="22"/>
          <w:szCs w:val="22"/>
        </w:rPr>
      </w:pPr>
    </w:p>
    <w:p w14:paraId="516B4E03" w14:textId="2E936F14" w:rsidR="00394CD9" w:rsidRPr="004A5DD1" w:rsidRDefault="004E7331" w:rsidP="00EA2774">
      <w:pPr>
        <w:rPr>
          <w:b/>
          <w:sz w:val="22"/>
          <w:szCs w:val="22"/>
        </w:rPr>
      </w:pPr>
      <w:r w:rsidRPr="004A5DD1">
        <w:rPr>
          <w:b/>
          <w:sz w:val="22"/>
          <w:szCs w:val="22"/>
        </w:rPr>
        <w:t>Social Motivation</w:t>
      </w:r>
    </w:p>
    <w:p w14:paraId="4009774C" w14:textId="77777777" w:rsidR="00394CD9" w:rsidRPr="004A5DD1" w:rsidRDefault="00394CD9" w:rsidP="00EA2774">
      <w:pPr>
        <w:rPr>
          <w:sz w:val="22"/>
          <w:szCs w:val="22"/>
        </w:rPr>
      </w:pPr>
    </w:p>
    <w:p w14:paraId="43ABB825" w14:textId="69192E33" w:rsidR="00EA2774" w:rsidRPr="004A5DD1" w:rsidRDefault="00EA2774" w:rsidP="00EA2774">
      <w:pPr>
        <w:rPr>
          <w:sz w:val="22"/>
          <w:szCs w:val="22"/>
        </w:rPr>
      </w:pPr>
      <w:r w:rsidRPr="004A5DD1">
        <w:rPr>
          <w:sz w:val="22"/>
          <w:szCs w:val="22"/>
        </w:rPr>
        <w:t xml:space="preserve">To promote the creation, maintenance, and use of digital products, we must measure these activities, and provide credit to those who perform them. The current lack of credit for performing these activities acts as a negative force that stops sharing of digital products, following </w:t>
      </w:r>
      <w:proofErr w:type="spellStart"/>
      <w:r w:rsidRPr="004A5DD1">
        <w:rPr>
          <w:sz w:val="22"/>
          <w:szCs w:val="22"/>
        </w:rPr>
        <w:t>Lewin’s</w:t>
      </w:r>
      <w:proofErr w:type="spellEnd"/>
      <w:r w:rsidRPr="004A5DD1">
        <w:rPr>
          <w:sz w:val="22"/>
          <w:szCs w:val="22"/>
        </w:rPr>
        <w:t xml:space="preserve"> principal of force field analysis</w:t>
      </w:r>
      <w:r w:rsidRPr="004A5DD1">
        <w:rPr>
          <w:rStyle w:val="EndnoteReference"/>
          <w:sz w:val="22"/>
          <w:szCs w:val="22"/>
        </w:rPr>
        <w:endnoteReference w:id="19"/>
      </w:r>
      <w:r w:rsidRPr="004A5DD1">
        <w:rPr>
          <w:sz w:val="22"/>
          <w:szCs w:val="22"/>
        </w:rPr>
        <w:t>. Providing a credit mechanism would both remove the negative force and create a positive force, creating an incentive for sharing.</w:t>
      </w:r>
      <w:r w:rsidR="006C16D8" w:rsidRPr="004A5DD1">
        <w:rPr>
          <w:sz w:val="22"/>
          <w:szCs w:val="22"/>
        </w:rPr>
        <w:t xml:space="preserve"> </w:t>
      </w:r>
      <w:r w:rsidR="006C16D8" w:rsidRPr="004A5DD1" w:rsidDel="00B70311">
        <w:rPr>
          <w:sz w:val="22"/>
          <w:szCs w:val="22"/>
        </w:rPr>
        <w:t>This would impact recognition and status, hiring and promotion, and funding agency decisions.</w:t>
      </w:r>
    </w:p>
    <w:p w14:paraId="626B91CB" w14:textId="77777777" w:rsidR="004E7331" w:rsidRPr="004A5DD1" w:rsidRDefault="004E7331" w:rsidP="00EA2774">
      <w:pPr>
        <w:rPr>
          <w:sz w:val="22"/>
          <w:szCs w:val="22"/>
        </w:rPr>
      </w:pPr>
    </w:p>
    <w:p w14:paraId="53C4FF52" w14:textId="04058E0A" w:rsidR="004E7331" w:rsidRPr="004A5DD1" w:rsidRDefault="00CB76BA" w:rsidP="004E7331">
      <w:pPr>
        <w:rPr>
          <w:sz w:val="22"/>
          <w:szCs w:val="22"/>
        </w:rPr>
      </w:pPr>
      <w:r w:rsidRPr="004A5DD1">
        <w:rPr>
          <w:sz w:val="22"/>
          <w:szCs w:val="22"/>
        </w:rPr>
        <w:t>T</w:t>
      </w:r>
      <w:r w:rsidR="004E7331" w:rsidRPr="004A5DD1">
        <w:rPr>
          <w:sz w:val="22"/>
          <w:szCs w:val="22"/>
        </w:rPr>
        <w:t xml:space="preserve">hese ideas </w:t>
      </w:r>
      <w:r w:rsidRPr="004A5DD1">
        <w:rPr>
          <w:sz w:val="22"/>
          <w:szCs w:val="22"/>
        </w:rPr>
        <w:t xml:space="preserve">have the </w:t>
      </w:r>
      <w:r w:rsidR="00305FC0" w:rsidRPr="004A5DD1">
        <w:rPr>
          <w:sz w:val="22"/>
          <w:szCs w:val="22"/>
        </w:rPr>
        <w:t xml:space="preserve">potential to </w:t>
      </w:r>
      <w:r w:rsidR="004E7331" w:rsidRPr="004A5DD1">
        <w:rPr>
          <w:sz w:val="22"/>
          <w:szCs w:val="22"/>
        </w:rPr>
        <w:t xml:space="preserve">change </w:t>
      </w:r>
      <w:r w:rsidR="00305FC0" w:rsidRPr="004A5DD1">
        <w:rPr>
          <w:sz w:val="22"/>
          <w:szCs w:val="22"/>
        </w:rPr>
        <w:t>the</w:t>
      </w:r>
      <w:r w:rsidR="004E7331" w:rsidRPr="004A5DD1">
        <w:rPr>
          <w:sz w:val="22"/>
          <w:szCs w:val="22"/>
        </w:rPr>
        <w:t xml:space="preserve"> culture</w:t>
      </w:r>
      <w:r w:rsidR="00305FC0" w:rsidRPr="004A5DD1">
        <w:rPr>
          <w:sz w:val="22"/>
          <w:szCs w:val="22"/>
        </w:rPr>
        <w:t>,</w:t>
      </w:r>
      <w:r w:rsidRPr="004A5DD1">
        <w:rPr>
          <w:sz w:val="22"/>
          <w:szCs w:val="22"/>
        </w:rPr>
        <w:t xml:space="preserve"> because</w:t>
      </w:r>
      <w:r w:rsidR="004E7331" w:rsidRPr="004A5DD1">
        <w:rPr>
          <w:sz w:val="22"/>
          <w:szCs w:val="22"/>
        </w:rPr>
        <w:t xml:space="preserve"> the act of measuring an item and publicizing that measure lead</w:t>
      </w:r>
      <w:r w:rsidRPr="004A5DD1">
        <w:rPr>
          <w:sz w:val="22"/>
          <w:szCs w:val="22"/>
        </w:rPr>
        <w:t>s</w:t>
      </w:r>
      <w:r w:rsidR="004E7331" w:rsidRPr="004A5DD1">
        <w:rPr>
          <w:sz w:val="22"/>
          <w:szCs w:val="22"/>
        </w:rPr>
        <w:t xml:space="preserve"> to a focus on improving that </w:t>
      </w:r>
      <w:r w:rsidRPr="004A5DD1">
        <w:rPr>
          <w:sz w:val="22"/>
          <w:szCs w:val="22"/>
        </w:rPr>
        <w:t xml:space="preserve">measure, thus improving the </w:t>
      </w:r>
      <w:r w:rsidR="004E7331" w:rsidRPr="004A5DD1">
        <w:rPr>
          <w:sz w:val="22"/>
          <w:szCs w:val="22"/>
        </w:rPr>
        <w:t xml:space="preserve">item. This focus on improving the measure can be intentional, as in the Check portion of the Deming Cycle, or unintentional, as happens when teachers teach students to answer </w:t>
      </w:r>
      <w:r w:rsidR="00305FC0" w:rsidRPr="004A5DD1">
        <w:rPr>
          <w:sz w:val="22"/>
          <w:szCs w:val="22"/>
        </w:rPr>
        <w:t>specific</w:t>
      </w:r>
      <w:r w:rsidR="004E7331" w:rsidRPr="004A5DD1">
        <w:rPr>
          <w:sz w:val="22"/>
          <w:szCs w:val="22"/>
        </w:rPr>
        <w:t xml:space="preserve"> questions rather than the material that the questions cover. </w:t>
      </w:r>
      <w:r w:rsidR="00305FC0" w:rsidRPr="004A5DD1">
        <w:rPr>
          <w:sz w:val="22"/>
          <w:szCs w:val="22"/>
        </w:rPr>
        <w:t>Similarly</w:t>
      </w:r>
      <w:r w:rsidR="00EC5B82" w:rsidRPr="004A5DD1">
        <w:rPr>
          <w:sz w:val="22"/>
          <w:szCs w:val="22"/>
        </w:rPr>
        <w:t xml:space="preserve">, </w:t>
      </w:r>
      <w:r w:rsidR="004E7331" w:rsidRPr="004A5DD1">
        <w:rPr>
          <w:sz w:val="22"/>
          <w:szCs w:val="22"/>
        </w:rPr>
        <w:t>the h-index</w:t>
      </w:r>
      <w:r w:rsidR="004E7331" w:rsidRPr="004A5DD1">
        <w:rPr>
          <w:rStyle w:val="EndnoteReference"/>
          <w:sz w:val="22"/>
          <w:szCs w:val="22"/>
        </w:rPr>
        <w:endnoteReference w:id="20"/>
      </w:r>
      <w:r w:rsidR="00EC5B82" w:rsidRPr="004A5DD1">
        <w:rPr>
          <w:sz w:val="22"/>
          <w:szCs w:val="22"/>
        </w:rPr>
        <w:t xml:space="preserve"> </w:t>
      </w:r>
      <w:r w:rsidR="004E7331" w:rsidRPr="004A5DD1">
        <w:rPr>
          <w:sz w:val="22"/>
          <w:szCs w:val="22"/>
        </w:rPr>
        <w:t>is now being used (and gamed) in many ways that Hirsch did not foresee</w:t>
      </w:r>
      <w:r w:rsidR="00305FC0" w:rsidRPr="004A5DD1">
        <w:rPr>
          <w:sz w:val="22"/>
          <w:szCs w:val="22"/>
        </w:rPr>
        <w:t xml:space="preserve"> and</w:t>
      </w:r>
      <w:r w:rsidR="004E7331" w:rsidRPr="004A5DD1">
        <w:rPr>
          <w:sz w:val="22"/>
          <w:szCs w:val="22"/>
        </w:rPr>
        <w:t xml:space="preserve">, Google’s PageRank algorithm has had a substantial impact on the Web. </w:t>
      </w:r>
      <w:r w:rsidR="00EC5B82" w:rsidRPr="004A5DD1">
        <w:rPr>
          <w:sz w:val="22"/>
          <w:szCs w:val="22"/>
        </w:rPr>
        <w:t>A</w:t>
      </w:r>
      <w:r w:rsidRPr="004A5DD1">
        <w:rPr>
          <w:sz w:val="22"/>
          <w:szCs w:val="22"/>
        </w:rPr>
        <w:t xml:space="preserve"> metric </w:t>
      </w:r>
      <w:r w:rsidR="00EC5B82" w:rsidRPr="004A5DD1">
        <w:rPr>
          <w:sz w:val="22"/>
          <w:szCs w:val="22"/>
        </w:rPr>
        <w:t xml:space="preserve">‘D’ </w:t>
      </w:r>
      <w:r w:rsidRPr="004A5DD1">
        <w:rPr>
          <w:sz w:val="22"/>
          <w:szCs w:val="22"/>
        </w:rPr>
        <w:t>providing</w:t>
      </w:r>
      <w:r w:rsidR="004E7331" w:rsidRPr="004A5DD1">
        <w:rPr>
          <w:sz w:val="22"/>
          <w:szCs w:val="22"/>
        </w:rPr>
        <w:t xml:space="preserve"> credit to the developers of digital products would lead to people trying to incr</w:t>
      </w:r>
      <w:r w:rsidRPr="004A5DD1">
        <w:rPr>
          <w:sz w:val="22"/>
          <w:szCs w:val="22"/>
        </w:rPr>
        <w:t xml:space="preserve">ease their </w:t>
      </w:r>
      <w:r w:rsidR="00EC5B82" w:rsidRPr="004A5DD1">
        <w:rPr>
          <w:sz w:val="22"/>
          <w:szCs w:val="22"/>
        </w:rPr>
        <w:t>D-</w:t>
      </w:r>
      <w:r w:rsidRPr="004A5DD1">
        <w:rPr>
          <w:sz w:val="22"/>
          <w:szCs w:val="22"/>
        </w:rPr>
        <w:t>value</w:t>
      </w:r>
      <w:r w:rsidR="004E7331" w:rsidRPr="004A5DD1">
        <w:rPr>
          <w:sz w:val="22"/>
          <w:szCs w:val="22"/>
        </w:rPr>
        <w:t xml:space="preserve"> by developing more such products. And if it was clear that they received credit from others who used their products, they would likewise make it clear that they had used products from others and give those others credit</w:t>
      </w:r>
      <w:r w:rsidRPr="004A5DD1">
        <w:rPr>
          <w:sz w:val="22"/>
          <w:szCs w:val="22"/>
        </w:rPr>
        <w:t>, since s</w:t>
      </w:r>
      <w:r w:rsidR="004E7331" w:rsidRPr="004A5DD1">
        <w:rPr>
          <w:sz w:val="22"/>
          <w:szCs w:val="22"/>
        </w:rPr>
        <w:t>uch credit is not a zero-sum game.</w:t>
      </w:r>
    </w:p>
    <w:p w14:paraId="2DC4326B" w14:textId="77777777" w:rsidR="00EA2774" w:rsidRPr="004A5DD1" w:rsidRDefault="00EA2774" w:rsidP="00EA2774">
      <w:pPr>
        <w:rPr>
          <w:sz w:val="22"/>
          <w:szCs w:val="22"/>
        </w:rPr>
      </w:pPr>
    </w:p>
    <w:p w14:paraId="626E513B" w14:textId="57EFB182" w:rsidR="00245C73" w:rsidRPr="004A5DD1" w:rsidRDefault="00FB68E2" w:rsidP="00D767E5">
      <w:pPr>
        <w:rPr>
          <w:rFonts w:ascii="Calibri" w:hAnsi="Calibri" w:cs="Calibri"/>
          <w:sz w:val="22"/>
          <w:szCs w:val="22"/>
        </w:rPr>
      </w:pPr>
      <w:r w:rsidRPr="004A5DD1">
        <w:rPr>
          <w:sz w:val="22"/>
          <w:szCs w:val="22"/>
        </w:rPr>
        <w:t>Issues of motivation are of particular concern today</w:t>
      </w:r>
      <w:bookmarkStart w:id="0" w:name="_GoBack"/>
      <w:r w:rsidR="00AB6AFC">
        <w:rPr>
          <w:rStyle w:val="EndnoteReference"/>
          <w:sz w:val="22"/>
          <w:szCs w:val="22"/>
        </w:rPr>
        <w:endnoteReference w:id="21"/>
      </w:r>
      <w:bookmarkEnd w:id="0"/>
      <w:r w:rsidRPr="004A5DD1">
        <w:rPr>
          <w:sz w:val="22"/>
          <w:szCs w:val="22"/>
        </w:rPr>
        <w:t xml:space="preserve"> as science becomes more collaborative (</w:t>
      </w:r>
      <w:r w:rsidR="001136D2" w:rsidRPr="004A5DD1">
        <w:rPr>
          <w:sz w:val="22"/>
          <w:szCs w:val="22"/>
        </w:rPr>
        <w:t>aka</w:t>
      </w:r>
      <w:r w:rsidRPr="004A5DD1">
        <w:rPr>
          <w:sz w:val="22"/>
          <w:szCs w:val="22"/>
        </w:rPr>
        <w:t xml:space="preserve"> team science)</w:t>
      </w:r>
      <w:r w:rsidR="0098421D" w:rsidRPr="004A5DD1">
        <w:rPr>
          <w:sz w:val="22"/>
          <w:szCs w:val="22"/>
        </w:rPr>
        <w:t>, and as collaboration leads to more — and better — science</w:t>
      </w:r>
      <w:r w:rsidR="00305FC0" w:rsidRPr="004A5DD1">
        <w:rPr>
          <w:sz w:val="22"/>
          <w:szCs w:val="22"/>
        </w:rPr>
        <w:t>.</w:t>
      </w:r>
      <w:r w:rsidR="0098421D" w:rsidRPr="004A5DD1">
        <w:rPr>
          <w:rStyle w:val="EndnoteReference"/>
          <w:sz w:val="22"/>
          <w:szCs w:val="22"/>
        </w:rPr>
        <w:endnoteReference w:id="22"/>
      </w:r>
      <w:r w:rsidR="001432BE" w:rsidRPr="004A5DD1">
        <w:rPr>
          <w:sz w:val="22"/>
          <w:szCs w:val="22"/>
        </w:rPr>
        <w:t xml:space="preserve"> </w:t>
      </w:r>
      <w:r w:rsidR="00305FC0" w:rsidRPr="004A5DD1">
        <w:rPr>
          <w:sz w:val="22"/>
          <w:szCs w:val="22"/>
        </w:rPr>
        <w:t>T</w:t>
      </w:r>
      <w:r w:rsidRPr="004A5DD1">
        <w:rPr>
          <w:sz w:val="22"/>
          <w:szCs w:val="22"/>
        </w:rPr>
        <w:t xml:space="preserve">he average number of authors per paper </w:t>
      </w:r>
      <w:r w:rsidR="00305FC0" w:rsidRPr="004A5DD1">
        <w:rPr>
          <w:sz w:val="22"/>
          <w:szCs w:val="22"/>
        </w:rPr>
        <w:t>is</w:t>
      </w:r>
      <w:r w:rsidRPr="004A5DD1">
        <w:rPr>
          <w:sz w:val="22"/>
          <w:szCs w:val="22"/>
        </w:rPr>
        <w:t xml:space="preserve"> increasing, and collaborative projects are becom</w:t>
      </w:r>
      <w:r w:rsidR="00445975" w:rsidRPr="004A5DD1">
        <w:rPr>
          <w:sz w:val="22"/>
          <w:szCs w:val="22"/>
        </w:rPr>
        <w:t>ing</w:t>
      </w:r>
      <w:r w:rsidRPr="004A5DD1">
        <w:rPr>
          <w:sz w:val="22"/>
          <w:szCs w:val="22"/>
        </w:rPr>
        <w:t xml:space="preserve"> common, which is part of the cause for the incre</w:t>
      </w:r>
      <w:r w:rsidR="00D767E5" w:rsidRPr="004A5DD1">
        <w:rPr>
          <w:sz w:val="22"/>
          <w:szCs w:val="22"/>
        </w:rPr>
        <w:t xml:space="preserve">asing number of paper authors. </w:t>
      </w:r>
    </w:p>
    <w:p w14:paraId="648E4888" w14:textId="77777777" w:rsidR="0098421D" w:rsidRPr="004A5DD1" w:rsidRDefault="0098421D" w:rsidP="00245C73">
      <w:pPr>
        <w:widowControl w:val="0"/>
        <w:autoSpaceDE w:val="0"/>
        <w:autoSpaceDN w:val="0"/>
        <w:adjustRightInd w:val="0"/>
        <w:rPr>
          <w:sz w:val="22"/>
          <w:szCs w:val="22"/>
        </w:rPr>
      </w:pPr>
    </w:p>
    <w:p w14:paraId="70D5F86D" w14:textId="77777777" w:rsidR="004E7331" w:rsidRPr="004A5DD1" w:rsidRDefault="004E7331" w:rsidP="00BF021E">
      <w:pPr>
        <w:rPr>
          <w:b/>
          <w:sz w:val="22"/>
          <w:szCs w:val="22"/>
        </w:rPr>
      </w:pPr>
      <w:r w:rsidRPr="004A5DD1">
        <w:rPr>
          <w:b/>
          <w:sz w:val="22"/>
          <w:szCs w:val="22"/>
        </w:rPr>
        <w:t>Conclusion</w:t>
      </w:r>
    </w:p>
    <w:p w14:paraId="6492455C" w14:textId="77777777" w:rsidR="004E7331" w:rsidRPr="004A5DD1" w:rsidRDefault="004E7331" w:rsidP="00BF021E">
      <w:pPr>
        <w:rPr>
          <w:sz w:val="22"/>
          <w:szCs w:val="22"/>
        </w:rPr>
      </w:pPr>
    </w:p>
    <w:p w14:paraId="691C4184" w14:textId="50E7C718" w:rsidR="003716F8" w:rsidRPr="004A5DD1" w:rsidRDefault="00623906" w:rsidP="00BF021E">
      <w:pPr>
        <w:rPr>
          <w:sz w:val="22"/>
          <w:szCs w:val="22"/>
        </w:rPr>
      </w:pPr>
      <w:r w:rsidRPr="004A5DD1">
        <w:rPr>
          <w:sz w:val="22"/>
          <w:szCs w:val="22"/>
        </w:rPr>
        <w:t>Overall, the issues related to software and data citation can be solved with a mix of adapting current systems</w:t>
      </w:r>
      <w:r w:rsidR="00EC5B82" w:rsidRPr="004A5DD1">
        <w:rPr>
          <w:sz w:val="22"/>
          <w:szCs w:val="22"/>
        </w:rPr>
        <w:t xml:space="preserve"> for tracking citations</w:t>
      </w:r>
      <w:r w:rsidRPr="004A5DD1">
        <w:rPr>
          <w:sz w:val="22"/>
          <w:szCs w:val="22"/>
        </w:rPr>
        <w:t xml:space="preserve">, developing a new system </w:t>
      </w:r>
      <w:r w:rsidR="00EC5B82" w:rsidRPr="004A5DD1">
        <w:rPr>
          <w:sz w:val="22"/>
          <w:szCs w:val="22"/>
        </w:rPr>
        <w:t xml:space="preserve">to register the unique mapping of credit for digital products </w:t>
      </w:r>
      <w:r w:rsidRPr="004A5DD1">
        <w:rPr>
          <w:sz w:val="22"/>
          <w:szCs w:val="22"/>
        </w:rPr>
        <w:t>that is similar to existing systems</w:t>
      </w:r>
      <w:r w:rsidR="00EC5B82" w:rsidRPr="004A5DD1">
        <w:rPr>
          <w:sz w:val="22"/>
          <w:szCs w:val="22"/>
        </w:rPr>
        <w:t xml:space="preserve"> for tracking citations</w:t>
      </w:r>
      <w:r w:rsidRPr="004A5DD1">
        <w:rPr>
          <w:sz w:val="22"/>
          <w:szCs w:val="22"/>
        </w:rPr>
        <w:t xml:space="preserve">, and building new tools to help developers identify the existing </w:t>
      </w:r>
      <w:r w:rsidR="00DE07CC" w:rsidRPr="004A5DD1">
        <w:rPr>
          <w:sz w:val="22"/>
          <w:szCs w:val="22"/>
        </w:rPr>
        <w:t xml:space="preserve">digital </w:t>
      </w:r>
      <w:r w:rsidRPr="004A5DD1">
        <w:rPr>
          <w:sz w:val="22"/>
          <w:szCs w:val="22"/>
        </w:rPr>
        <w:t>products that they used. Th</w:t>
      </w:r>
      <w:r w:rsidR="00B70311" w:rsidRPr="004A5DD1">
        <w:rPr>
          <w:sz w:val="22"/>
          <w:szCs w:val="22"/>
        </w:rPr>
        <w:t>e result could be</w:t>
      </w:r>
      <w:r w:rsidRPr="004A5DD1">
        <w:rPr>
          <w:sz w:val="22"/>
          <w:szCs w:val="22"/>
        </w:rPr>
        <w:t xml:space="preserve"> an acceptance of transitive credit and incentives for developing and sharing new digital products, </w:t>
      </w:r>
      <w:r w:rsidR="00761362" w:rsidRPr="004A5DD1">
        <w:rPr>
          <w:sz w:val="22"/>
          <w:szCs w:val="22"/>
        </w:rPr>
        <w:t xml:space="preserve">supporting both forward and backward citing, and </w:t>
      </w:r>
      <w:r w:rsidRPr="004A5DD1">
        <w:rPr>
          <w:sz w:val="22"/>
          <w:szCs w:val="22"/>
        </w:rPr>
        <w:t>ultimately leading to better science</w:t>
      </w:r>
      <w:r w:rsidR="00761362" w:rsidRPr="004A5DD1">
        <w:rPr>
          <w:sz w:val="22"/>
          <w:szCs w:val="22"/>
        </w:rPr>
        <w:t xml:space="preserve"> and better understanding of science</w:t>
      </w:r>
      <w:r w:rsidRPr="004A5DD1">
        <w:rPr>
          <w:sz w:val="22"/>
          <w:szCs w:val="22"/>
        </w:rPr>
        <w:t>.</w:t>
      </w:r>
    </w:p>
    <w:p w14:paraId="318A92BC" w14:textId="77777777" w:rsidR="003716F8" w:rsidRPr="004A5DD1" w:rsidRDefault="003716F8" w:rsidP="00BF021E">
      <w:pPr>
        <w:rPr>
          <w:sz w:val="22"/>
          <w:szCs w:val="22"/>
        </w:rPr>
      </w:pPr>
    </w:p>
    <w:p w14:paraId="537878BE" w14:textId="266C957D" w:rsidR="00FC4F2E" w:rsidRPr="004A5DD1" w:rsidRDefault="00EC5B82" w:rsidP="00FC4F2E">
      <w:pPr>
        <w:widowControl w:val="0"/>
        <w:autoSpaceDE w:val="0"/>
        <w:autoSpaceDN w:val="0"/>
        <w:adjustRightInd w:val="0"/>
        <w:rPr>
          <w:sz w:val="22"/>
          <w:szCs w:val="22"/>
        </w:rPr>
      </w:pPr>
      <w:r w:rsidRPr="004A5DD1">
        <w:rPr>
          <w:sz w:val="22"/>
          <w:szCs w:val="22"/>
        </w:rPr>
        <w:t>Additionally, while m</w:t>
      </w:r>
      <w:r w:rsidR="00C45A33" w:rsidRPr="004A5DD1">
        <w:rPr>
          <w:sz w:val="22"/>
          <w:szCs w:val="22"/>
        </w:rPr>
        <w:t>any i</w:t>
      </w:r>
      <w:r w:rsidR="00FC4F2E" w:rsidRPr="004A5DD1">
        <w:rPr>
          <w:sz w:val="22"/>
          <w:szCs w:val="22"/>
        </w:rPr>
        <w:t>ncentives toward better citation practices may be social, funding agencies also have a role to play</w:t>
      </w:r>
      <w:r w:rsidRPr="004A5DD1">
        <w:rPr>
          <w:sz w:val="22"/>
          <w:szCs w:val="22"/>
        </w:rPr>
        <w:t>. J</w:t>
      </w:r>
      <w:r w:rsidR="00FC4F2E" w:rsidRPr="004A5DD1">
        <w:rPr>
          <w:sz w:val="22"/>
          <w:szCs w:val="22"/>
        </w:rPr>
        <w:t>udging from the recent US</w:t>
      </w:r>
      <w:r w:rsidRPr="004A5DD1">
        <w:rPr>
          <w:sz w:val="22"/>
          <w:szCs w:val="22"/>
        </w:rPr>
        <w:t xml:space="preserve"> discussion</w:t>
      </w:r>
      <w:r w:rsidR="00FC4F2E" w:rsidRPr="004A5DD1">
        <w:rPr>
          <w:sz w:val="22"/>
          <w:szCs w:val="22"/>
        </w:rPr>
        <w:t xml:space="preserve"> about data management plans and access policies for the outputs of publicly funded research, it’s clear that government agencies are willing to add requirements if they think </w:t>
      </w:r>
      <w:r w:rsidR="00445975" w:rsidRPr="004A5DD1">
        <w:rPr>
          <w:sz w:val="22"/>
          <w:szCs w:val="22"/>
        </w:rPr>
        <w:t xml:space="preserve">it will </w:t>
      </w:r>
      <w:r w:rsidRPr="004A5DD1">
        <w:rPr>
          <w:sz w:val="22"/>
          <w:szCs w:val="22"/>
        </w:rPr>
        <w:t>benefit the country</w:t>
      </w:r>
      <w:r w:rsidR="00FC4F2E" w:rsidRPr="004A5DD1">
        <w:rPr>
          <w:sz w:val="22"/>
          <w:szCs w:val="22"/>
        </w:rPr>
        <w:t>.</w:t>
      </w:r>
    </w:p>
    <w:p w14:paraId="4FBCE88A" w14:textId="77777777" w:rsidR="00FC4F2E" w:rsidRPr="004A5DD1" w:rsidRDefault="00FC4F2E" w:rsidP="00BF021E">
      <w:pPr>
        <w:rPr>
          <w:sz w:val="22"/>
          <w:szCs w:val="22"/>
        </w:rPr>
      </w:pPr>
    </w:p>
    <w:p w14:paraId="37B5E146" w14:textId="0B339C8F" w:rsidR="00BF021E" w:rsidRPr="004A5DD1" w:rsidRDefault="00FD2F9C" w:rsidP="00BF021E">
      <w:pPr>
        <w:rPr>
          <w:sz w:val="22"/>
          <w:szCs w:val="22"/>
        </w:rPr>
      </w:pPr>
      <w:r w:rsidRPr="004A5DD1">
        <w:rPr>
          <w:sz w:val="22"/>
          <w:szCs w:val="22"/>
        </w:rPr>
        <w:t>The</w:t>
      </w:r>
      <w:r w:rsidR="00065985" w:rsidRPr="004A5DD1">
        <w:rPr>
          <w:sz w:val="22"/>
          <w:szCs w:val="22"/>
        </w:rPr>
        <w:t xml:space="preserve"> goal </w:t>
      </w:r>
      <w:r w:rsidRPr="004A5DD1">
        <w:rPr>
          <w:sz w:val="22"/>
          <w:szCs w:val="22"/>
        </w:rPr>
        <w:t>of</w:t>
      </w:r>
      <w:r w:rsidR="00065985" w:rsidRPr="004A5DD1">
        <w:rPr>
          <w:sz w:val="22"/>
          <w:szCs w:val="22"/>
        </w:rPr>
        <w:t xml:space="preserve"> this article is to start a conversation on these issues</w:t>
      </w:r>
      <w:r w:rsidR="006264FC" w:rsidRPr="004A5DD1">
        <w:rPr>
          <w:sz w:val="22"/>
          <w:szCs w:val="22"/>
        </w:rPr>
        <w:t>, which can continue</w:t>
      </w:r>
      <w:r w:rsidR="00F50EE6" w:rsidRPr="004A5DD1">
        <w:rPr>
          <w:sz w:val="22"/>
          <w:szCs w:val="22"/>
        </w:rPr>
        <w:t xml:space="preserve"> at </w:t>
      </w:r>
      <w:r w:rsidR="00156AC2" w:rsidRPr="004A5DD1">
        <w:rPr>
          <w:sz w:val="22"/>
          <w:szCs w:val="22"/>
        </w:rPr>
        <w:t xml:space="preserve">events such as </w:t>
      </w:r>
      <w:r w:rsidR="00F50EE6" w:rsidRPr="004A5DD1">
        <w:rPr>
          <w:sz w:val="22"/>
          <w:szCs w:val="22"/>
        </w:rPr>
        <w:t xml:space="preserve">the Research Data Alliance (http://rd-alliance.org/) and </w:t>
      </w:r>
      <w:r w:rsidR="0047519F" w:rsidRPr="004A5DD1">
        <w:rPr>
          <w:sz w:val="22"/>
          <w:szCs w:val="22"/>
        </w:rPr>
        <w:t xml:space="preserve">the WSSSP workshop </w:t>
      </w:r>
      <w:proofErr w:type="gramStart"/>
      <w:r w:rsidR="0047519F" w:rsidRPr="004A5DD1">
        <w:rPr>
          <w:sz w:val="22"/>
          <w:szCs w:val="22"/>
        </w:rPr>
        <w:t xml:space="preserve">at  </w:t>
      </w:r>
      <w:r w:rsidR="006264FC" w:rsidRPr="004A5DD1">
        <w:rPr>
          <w:sz w:val="22"/>
          <w:szCs w:val="22"/>
        </w:rPr>
        <w:t>SC13</w:t>
      </w:r>
      <w:proofErr w:type="gramEnd"/>
      <w:r w:rsidR="00F50EE6" w:rsidRPr="004A5DD1">
        <w:rPr>
          <w:sz w:val="22"/>
          <w:szCs w:val="22"/>
        </w:rPr>
        <w:t xml:space="preserve"> workshop (http://wssspe.researchcomputing.org.uk/).</w:t>
      </w:r>
    </w:p>
    <w:p w14:paraId="3C026AC9" w14:textId="77777777" w:rsidR="00EA2774" w:rsidRPr="004A5DD1" w:rsidRDefault="00EA2774" w:rsidP="00BF021E">
      <w:pPr>
        <w:rPr>
          <w:sz w:val="22"/>
          <w:szCs w:val="22"/>
        </w:rPr>
      </w:pPr>
    </w:p>
    <w:p w14:paraId="0C1335B4" w14:textId="5016B562" w:rsidR="00114044" w:rsidRPr="004A5DD1" w:rsidRDefault="00114044" w:rsidP="00114044">
      <w:pPr>
        <w:rPr>
          <w:b/>
          <w:sz w:val="22"/>
          <w:szCs w:val="22"/>
        </w:rPr>
      </w:pPr>
      <w:r w:rsidRPr="004A5DD1">
        <w:rPr>
          <w:b/>
          <w:sz w:val="22"/>
          <w:szCs w:val="22"/>
        </w:rPr>
        <w:t>Acknowledgments</w:t>
      </w:r>
    </w:p>
    <w:p w14:paraId="57FFEA7F" w14:textId="77777777" w:rsidR="00114044" w:rsidRPr="004A5DD1" w:rsidRDefault="00114044" w:rsidP="00114044">
      <w:pPr>
        <w:rPr>
          <w:b/>
          <w:sz w:val="22"/>
          <w:szCs w:val="22"/>
        </w:rPr>
      </w:pPr>
    </w:p>
    <w:p w14:paraId="35221242" w14:textId="5609DDC2" w:rsidR="00440C4B" w:rsidRPr="004A5DD1" w:rsidRDefault="00114044">
      <w:pPr>
        <w:rPr>
          <w:sz w:val="22"/>
          <w:szCs w:val="22"/>
        </w:rPr>
      </w:pPr>
      <w:r w:rsidRPr="004A5DD1">
        <w:rPr>
          <w:sz w:val="22"/>
          <w:szCs w:val="22"/>
        </w:rPr>
        <w:t xml:space="preserve">Some initial discussions about this issue took place </w:t>
      </w:r>
      <w:r w:rsidR="002B1E32" w:rsidRPr="004A5DD1">
        <w:rPr>
          <w:sz w:val="22"/>
          <w:szCs w:val="22"/>
        </w:rPr>
        <w:t xml:space="preserve">in </w:t>
      </w:r>
      <w:r w:rsidR="00975500" w:rsidRPr="004A5DD1">
        <w:rPr>
          <w:sz w:val="22"/>
          <w:szCs w:val="22"/>
        </w:rPr>
        <w:t xml:space="preserve">a 2010 </w:t>
      </w:r>
      <w:r w:rsidRPr="004A5DD1">
        <w:rPr>
          <w:sz w:val="22"/>
          <w:szCs w:val="22"/>
        </w:rPr>
        <w:t>Institute for Computing in Science (</w:t>
      </w:r>
      <w:proofErr w:type="spellStart"/>
      <w:r w:rsidRPr="004A5DD1">
        <w:rPr>
          <w:sz w:val="22"/>
          <w:szCs w:val="22"/>
        </w:rPr>
        <w:t>ICiS</w:t>
      </w:r>
      <w:proofErr w:type="spellEnd"/>
      <w:r w:rsidRPr="004A5DD1">
        <w:rPr>
          <w:sz w:val="22"/>
          <w:szCs w:val="22"/>
        </w:rPr>
        <w:t xml:space="preserve">) workshop </w:t>
      </w:r>
      <w:r w:rsidR="00CE02EE" w:rsidRPr="004A5DD1">
        <w:rPr>
          <w:sz w:val="22"/>
          <w:szCs w:val="22"/>
        </w:rPr>
        <w:t xml:space="preserve">breakout session </w:t>
      </w:r>
      <w:r w:rsidRPr="004A5DD1">
        <w:rPr>
          <w:sz w:val="22"/>
          <w:szCs w:val="22"/>
        </w:rPr>
        <w:t xml:space="preserve">with Jacob Foster </w:t>
      </w:r>
      <w:r w:rsidR="00CE02EE" w:rsidRPr="004A5DD1">
        <w:rPr>
          <w:sz w:val="22"/>
          <w:szCs w:val="22"/>
        </w:rPr>
        <w:t xml:space="preserve">(U Chicago) </w:t>
      </w:r>
      <w:r w:rsidRPr="004A5DD1">
        <w:rPr>
          <w:sz w:val="22"/>
          <w:szCs w:val="22"/>
        </w:rPr>
        <w:t xml:space="preserve">and </w:t>
      </w:r>
      <w:r w:rsidR="00CE02EE" w:rsidRPr="004A5DD1">
        <w:rPr>
          <w:sz w:val="22"/>
          <w:szCs w:val="22"/>
        </w:rPr>
        <w:t>Robert Stevens (U Manchester).</w:t>
      </w:r>
      <w:r w:rsidR="001461BD" w:rsidRPr="004A5DD1">
        <w:rPr>
          <w:sz w:val="22"/>
          <w:szCs w:val="22"/>
        </w:rPr>
        <w:t xml:space="preserve"> </w:t>
      </w:r>
      <w:r w:rsidR="00DE07CC" w:rsidRPr="004A5DD1">
        <w:rPr>
          <w:sz w:val="22"/>
          <w:szCs w:val="22"/>
        </w:rPr>
        <w:t xml:space="preserve">Conversations </w:t>
      </w:r>
      <w:r w:rsidR="001461BD" w:rsidRPr="004A5DD1">
        <w:rPr>
          <w:sz w:val="22"/>
          <w:szCs w:val="22"/>
        </w:rPr>
        <w:t xml:space="preserve">with </w:t>
      </w:r>
      <w:r w:rsidR="00EC5B82" w:rsidRPr="004A5DD1">
        <w:rPr>
          <w:sz w:val="22"/>
          <w:szCs w:val="22"/>
        </w:rPr>
        <w:t xml:space="preserve">David Proctor (NSF) and </w:t>
      </w:r>
      <w:r w:rsidR="001461BD" w:rsidRPr="004A5DD1">
        <w:rPr>
          <w:sz w:val="22"/>
          <w:szCs w:val="22"/>
        </w:rPr>
        <w:t>Ian Foster (U Chicago) have also shaped this article.</w:t>
      </w:r>
    </w:p>
    <w:p w14:paraId="3C14EFA1" w14:textId="64C41B47" w:rsidR="00CE02EE" w:rsidRPr="004A5DD1" w:rsidRDefault="00CE02EE">
      <w:pPr>
        <w:rPr>
          <w:sz w:val="22"/>
          <w:szCs w:val="22"/>
        </w:rPr>
      </w:pPr>
    </w:p>
    <w:sectPr w:rsidR="00CE02EE" w:rsidRPr="004A5DD1" w:rsidSect="0037516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57177" w14:textId="7A52C8AA" w:rsidR="00C3097F" w:rsidRPr="004A5DD1" w:rsidRDefault="00C65D9C" w:rsidP="00935EFA">
      <w:pPr>
        <w:rPr>
          <w:b/>
          <w:sz w:val="22"/>
          <w:szCs w:val="22"/>
        </w:rPr>
      </w:pPr>
      <w:r w:rsidRPr="004A5DD1">
        <w:rPr>
          <w:b/>
          <w:sz w:val="22"/>
          <w:szCs w:val="22"/>
        </w:rPr>
        <w:t>References</w:t>
      </w:r>
    </w:p>
    <w:p w14:paraId="525763DC" w14:textId="77777777" w:rsidR="00C65D9C" w:rsidRPr="004A5DD1" w:rsidRDefault="00C65D9C" w:rsidP="00935EFA">
      <w:pPr>
        <w:rPr>
          <w:sz w:val="22"/>
          <w:szCs w:val="22"/>
        </w:rPr>
      </w:pPr>
    </w:p>
  </w:endnote>
  <w:endnote w:type="continuationSeparator" w:id="0">
    <w:p w14:paraId="6F76910A" w14:textId="50158C2D" w:rsidR="00C3097F" w:rsidRDefault="00C3097F" w:rsidP="00935EFA"/>
  </w:endnote>
  <w:endnote w:type="continuationNotice" w:id="1">
    <w:p w14:paraId="1576B938" w14:textId="77777777" w:rsidR="00C65D9C" w:rsidRDefault="00C65D9C"/>
  </w:endnote>
  <w:endnote w:id="2">
    <w:p w14:paraId="3EDBBE5C" w14:textId="646875FA"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National Science Foundation, ACCI Task Force Reports on Campus Bridging; Data &amp; Visualization; and Software for Science &amp; Engineering (2011); http://www.nsf.gov/od/oci/taskforces</w:t>
      </w:r>
    </w:p>
  </w:endnote>
  <w:endnote w:id="3">
    <w:p w14:paraId="20E79711" w14:textId="0B64C55E"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w:t>
      </w:r>
      <w:proofErr w:type="spellStart"/>
      <w:r w:rsidRPr="004A5DD1">
        <w:rPr>
          <w:sz w:val="22"/>
          <w:szCs w:val="22"/>
        </w:rPr>
        <w:t>Priem</w:t>
      </w:r>
      <w:proofErr w:type="spellEnd"/>
      <w:r w:rsidRPr="004A5DD1">
        <w:rPr>
          <w:sz w:val="22"/>
          <w:szCs w:val="22"/>
        </w:rPr>
        <w:t xml:space="preserve">, J., et al. </w:t>
      </w:r>
      <w:proofErr w:type="spellStart"/>
      <w:r w:rsidRPr="004A5DD1">
        <w:rPr>
          <w:i/>
          <w:sz w:val="22"/>
          <w:szCs w:val="22"/>
        </w:rPr>
        <w:t>Altmetrics</w:t>
      </w:r>
      <w:proofErr w:type="spellEnd"/>
      <w:r w:rsidRPr="004A5DD1">
        <w:rPr>
          <w:i/>
          <w:sz w:val="22"/>
          <w:szCs w:val="22"/>
        </w:rPr>
        <w:t xml:space="preserve"> Manifesto</w:t>
      </w:r>
      <w:r w:rsidRPr="004A5DD1">
        <w:rPr>
          <w:sz w:val="22"/>
          <w:szCs w:val="22"/>
        </w:rPr>
        <w:t>; http://altmetrics.org/manifesto</w:t>
      </w:r>
    </w:p>
  </w:endnote>
  <w:endnote w:id="4">
    <w:p w14:paraId="2C3D8BA2" w14:textId="33F45F1F"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w:t>
      </w:r>
      <w:proofErr w:type="gramStart"/>
      <w:r w:rsidRPr="004A5DD1">
        <w:rPr>
          <w:sz w:val="22"/>
          <w:szCs w:val="22"/>
        </w:rPr>
        <w:t>National Research Council.</w:t>
      </w:r>
      <w:proofErr w:type="gramEnd"/>
      <w:r w:rsidRPr="004A5DD1">
        <w:rPr>
          <w:sz w:val="22"/>
          <w:szCs w:val="22"/>
        </w:rPr>
        <w:t xml:space="preserve"> </w:t>
      </w:r>
      <w:r w:rsidRPr="004A5DD1">
        <w:rPr>
          <w:i/>
          <w:sz w:val="22"/>
          <w:szCs w:val="22"/>
        </w:rPr>
        <w:t>For Attribution—Developing Data Attribution and Citation Practices and Standards</w:t>
      </w:r>
      <w:r w:rsidRPr="004A5DD1">
        <w:rPr>
          <w:sz w:val="22"/>
          <w:szCs w:val="22"/>
        </w:rPr>
        <w:t xml:space="preserve"> (National Academies Press, (2012).</w:t>
      </w:r>
    </w:p>
  </w:endnote>
  <w:endnote w:id="5">
    <w:p w14:paraId="7D38C1EC" w14:textId="5D991AA1"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National Science Foundation, </w:t>
      </w:r>
      <w:r w:rsidRPr="004A5DD1">
        <w:rPr>
          <w:i/>
          <w:sz w:val="22"/>
          <w:szCs w:val="22"/>
        </w:rPr>
        <w:t>Grant and Proposal Guide</w:t>
      </w:r>
      <w:r w:rsidRPr="004A5DD1">
        <w:rPr>
          <w:sz w:val="22"/>
          <w:szCs w:val="22"/>
        </w:rPr>
        <w:t>, NSF 13-1 (2013).</w:t>
      </w:r>
    </w:p>
  </w:endnote>
  <w:endnote w:id="6">
    <w:p w14:paraId="5A1251AC" w14:textId="2A92C151"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w:t>
      </w:r>
      <w:proofErr w:type="spellStart"/>
      <w:proofErr w:type="gramStart"/>
      <w:r w:rsidRPr="004A5DD1">
        <w:rPr>
          <w:sz w:val="22"/>
          <w:szCs w:val="22"/>
        </w:rPr>
        <w:t>Lipsius</w:t>
      </w:r>
      <w:proofErr w:type="spellEnd"/>
      <w:r w:rsidRPr="004A5DD1">
        <w:rPr>
          <w:sz w:val="22"/>
          <w:szCs w:val="22"/>
        </w:rPr>
        <w:t xml:space="preserve">, J. </w:t>
      </w:r>
      <w:r w:rsidRPr="004A5DD1">
        <w:rPr>
          <w:i/>
          <w:sz w:val="22"/>
          <w:szCs w:val="22"/>
        </w:rPr>
        <w:t xml:space="preserve">De Militia </w:t>
      </w:r>
      <w:proofErr w:type="spellStart"/>
      <w:r w:rsidRPr="004A5DD1">
        <w:rPr>
          <w:i/>
          <w:sz w:val="22"/>
          <w:szCs w:val="22"/>
        </w:rPr>
        <w:t>Romana</w:t>
      </w:r>
      <w:proofErr w:type="spellEnd"/>
      <w:r w:rsidRPr="004A5DD1">
        <w:rPr>
          <w:sz w:val="22"/>
          <w:szCs w:val="22"/>
        </w:rPr>
        <w:t xml:space="preserve"> (1595).</w:t>
      </w:r>
      <w:proofErr w:type="gramEnd"/>
    </w:p>
  </w:endnote>
  <w:endnote w:id="7">
    <w:p w14:paraId="6CCC75E1" w14:textId="7122E940" w:rsidR="00C3097F" w:rsidRPr="004A5DD1" w:rsidRDefault="00C3097F">
      <w:pPr>
        <w:pStyle w:val="EndnoteText"/>
        <w:rPr>
          <w:i/>
          <w:sz w:val="22"/>
          <w:szCs w:val="22"/>
        </w:rPr>
      </w:pPr>
      <w:r w:rsidRPr="004A5DD1">
        <w:rPr>
          <w:rStyle w:val="EndnoteReference"/>
          <w:sz w:val="22"/>
          <w:szCs w:val="22"/>
        </w:rPr>
        <w:endnoteRef/>
      </w:r>
      <w:r w:rsidRPr="004A5DD1">
        <w:rPr>
          <w:sz w:val="22"/>
          <w:szCs w:val="22"/>
        </w:rPr>
        <w:t xml:space="preserve"> White, R. </w:t>
      </w:r>
      <w:proofErr w:type="spellStart"/>
      <w:r w:rsidRPr="004A5DD1">
        <w:rPr>
          <w:i/>
          <w:sz w:val="22"/>
          <w:szCs w:val="22"/>
        </w:rPr>
        <w:t>Historiarum</w:t>
      </w:r>
      <w:proofErr w:type="spellEnd"/>
      <w:r w:rsidRPr="004A5DD1">
        <w:rPr>
          <w:i/>
          <w:sz w:val="22"/>
          <w:szCs w:val="22"/>
        </w:rPr>
        <w:t xml:space="preserve"> (</w:t>
      </w:r>
      <w:proofErr w:type="spellStart"/>
      <w:r w:rsidRPr="004A5DD1">
        <w:rPr>
          <w:i/>
          <w:sz w:val="22"/>
          <w:szCs w:val="22"/>
        </w:rPr>
        <w:t>Britanniæ</w:t>
      </w:r>
      <w:proofErr w:type="spellEnd"/>
      <w:r w:rsidRPr="004A5DD1">
        <w:rPr>
          <w:i/>
          <w:sz w:val="22"/>
          <w:szCs w:val="22"/>
        </w:rPr>
        <w:t xml:space="preserve">) </w:t>
      </w:r>
      <w:proofErr w:type="spellStart"/>
      <w:r w:rsidRPr="004A5DD1">
        <w:rPr>
          <w:i/>
          <w:sz w:val="22"/>
          <w:szCs w:val="22"/>
        </w:rPr>
        <w:t>libri</w:t>
      </w:r>
      <w:proofErr w:type="spellEnd"/>
      <w:r w:rsidRPr="004A5DD1">
        <w:rPr>
          <w:i/>
          <w:sz w:val="22"/>
          <w:szCs w:val="22"/>
        </w:rPr>
        <w:t xml:space="preserve"> (1-11) ... cum </w:t>
      </w:r>
      <w:proofErr w:type="spellStart"/>
      <w:r w:rsidRPr="004A5DD1">
        <w:rPr>
          <w:i/>
          <w:sz w:val="22"/>
          <w:szCs w:val="22"/>
        </w:rPr>
        <w:t>notis</w:t>
      </w:r>
      <w:proofErr w:type="spellEnd"/>
      <w:r w:rsidRPr="004A5DD1">
        <w:rPr>
          <w:i/>
          <w:sz w:val="22"/>
          <w:szCs w:val="22"/>
        </w:rPr>
        <w:t xml:space="preserve"> </w:t>
      </w:r>
      <w:proofErr w:type="spellStart"/>
      <w:r w:rsidRPr="004A5DD1">
        <w:rPr>
          <w:i/>
          <w:sz w:val="22"/>
          <w:szCs w:val="22"/>
        </w:rPr>
        <w:t>antiquitatum</w:t>
      </w:r>
      <w:proofErr w:type="spellEnd"/>
      <w:r w:rsidRPr="004A5DD1">
        <w:rPr>
          <w:i/>
          <w:sz w:val="22"/>
          <w:szCs w:val="22"/>
        </w:rPr>
        <w:t xml:space="preserve"> </w:t>
      </w:r>
      <w:proofErr w:type="spellStart"/>
      <w:r w:rsidRPr="004A5DD1">
        <w:rPr>
          <w:i/>
          <w:sz w:val="22"/>
          <w:szCs w:val="22"/>
        </w:rPr>
        <w:t>Britannicarum</w:t>
      </w:r>
      <w:proofErr w:type="spellEnd"/>
      <w:r w:rsidRPr="004A5DD1">
        <w:rPr>
          <w:sz w:val="22"/>
          <w:szCs w:val="22"/>
        </w:rPr>
        <w:t xml:space="preserve"> (1597-1607)</w:t>
      </w:r>
    </w:p>
  </w:endnote>
  <w:endnote w:id="8">
    <w:p w14:paraId="7509CD0C" w14:textId="328460A3"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Raymond, Lord R. </w:t>
      </w:r>
      <w:r w:rsidRPr="004A5DD1">
        <w:rPr>
          <w:i/>
          <w:sz w:val="22"/>
          <w:szCs w:val="22"/>
        </w:rPr>
        <w:t>Reports of Cases Argued and Adjudged in the Courts of King's Bench and Common Pleas, In the Reigns of The Late King William, Queen Anne, King George the First, and His Present Majesty</w:t>
      </w:r>
      <w:r w:rsidRPr="004A5DD1">
        <w:rPr>
          <w:sz w:val="22"/>
          <w:szCs w:val="22"/>
        </w:rPr>
        <w:t xml:space="preserve"> (1743).</w:t>
      </w:r>
    </w:p>
  </w:endnote>
  <w:endnote w:id="9">
    <w:p w14:paraId="511BBCCE" w14:textId="1682EA8A"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w:t>
      </w:r>
      <w:proofErr w:type="spellStart"/>
      <w:r w:rsidRPr="004A5DD1">
        <w:rPr>
          <w:sz w:val="22"/>
          <w:szCs w:val="22"/>
        </w:rPr>
        <w:t>Bettig</w:t>
      </w:r>
      <w:proofErr w:type="spellEnd"/>
      <w:r w:rsidRPr="004A5DD1">
        <w:rPr>
          <w:sz w:val="22"/>
          <w:szCs w:val="22"/>
        </w:rPr>
        <w:t xml:space="preserve">, R. V. </w:t>
      </w:r>
      <w:r w:rsidRPr="004A5DD1">
        <w:rPr>
          <w:i/>
          <w:iCs/>
          <w:sz w:val="22"/>
          <w:szCs w:val="22"/>
        </w:rPr>
        <w:t>Copyrighting Culture: The Political Economy of Intellectual Property. Westview Press</w:t>
      </w:r>
      <w:r w:rsidRPr="004A5DD1">
        <w:rPr>
          <w:sz w:val="22"/>
          <w:szCs w:val="22"/>
        </w:rPr>
        <w:t>. pp. 9–30 (1996).</w:t>
      </w:r>
    </w:p>
  </w:endnote>
  <w:endnote w:id="10">
    <w:p w14:paraId="5589F95F" w14:textId="54BD4344" w:rsidR="00C3097F" w:rsidRPr="004A5DD1" w:rsidRDefault="00C3097F">
      <w:pPr>
        <w:pStyle w:val="EndnoteText"/>
        <w:rPr>
          <w:i/>
          <w:sz w:val="22"/>
          <w:szCs w:val="22"/>
        </w:rPr>
      </w:pPr>
      <w:r w:rsidRPr="004A5DD1">
        <w:rPr>
          <w:rStyle w:val="EndnoteReference"/>
          <w:sz w:val="22"/>
          <w:szCs w:val="22"/>
        </w:rPr>
        <w:endnoteRef/>
      </w:r>
      <w:r w:rsidRPr="004A5DD1">
        <w:rPr>
          <w:sz w:val="22"/>
          <w:szCs w:val="22"/>
        </w:rPr>
        <w:t xml:space="preserve"> </w:t>
      </w:r>
      <w:proofErr w:type="spellStart"/>
      <w:r w:rsidRPr="004A5DD1">
        <w:rPr>
          <w:sz w:val="22"/>
          <w:szCs w:val="22"/>
        </w:rPr>
        <w:t>Lindahl</w:t>
      </w:r>
      <w:proofErr w:type="spellEnd"/>
      <w:r w:rsidRPr="004A5DD1">
        <w:rPr>
          <w:sz w:val="22"/>
          <w:szCs w:val="22"/>
        </w:rPr>
        <w:t xml:space="preserve"> B. I., </w:t>
      </w:r>
      <w:proofErr w:type="spellStart"/>
      <w:r w:rsidRPr="004A5DD1">
        <w:rPr>
          <w:sz w:val="22"/>
          <w:szCs w:val="22"/>
        </w:rPr>
        <w:t>Elzinga</w:t>
      </w:r>
      <w:proofErr w:type="spellEnd"/>
      <w:r w:rsidRPr="004A5DD1">
        <w:rPr>
          <w:sz w:val="22"/>
          <w:szCs w:val="22"/>
        </w:rPr>
        <w:t xml:space="preserve"> A, </w:t>
      </w:r>
      <w:proofErr w:type="spellStart"/>
      <w:r w:rsidRPr="004A5DD1">
        <w:rPr>
          <w:sz w:val="22"/>
          <w:szCs w:val="22"/>
        </w:rPr>
        <w:t>Welljams-Dorof</w:t>
      </w:r>
      <w:proofErr w:type="spellEnd"/>
      <w:r w:rsidRPr="004A5DD1">
        <w:rPr>
          <w:sz w:val="22"/>
          <w:szCs w:val="22"/>
        </w:rPr>
        <w:t xml:space="preserve"> A. Credit for discoveries: citation data as a basis for history of science analysis. </w:t>
      </w:r>
      <w:proofErr w:type="gramStart"/>
      <w:r w:rsidRPr="004A5DD1">
        <w:rPr>
          <w:i/>
          <w:sz w:val="22"/>
          <w:szCs w:val="22"/>
        </w:rPr>
        <w:t>Theoretical Medicine and Bioethics 19(6)</w:t>
      </w:r>
      <w:r w:rsidRPr="004A5DD1">
        <w:rPr>
          <w:sz w:val="22"/>
          <w:szCs w:val="22"/>
        </w:rPr>
        <w:t>, pp. 609-620 (1998).</w:t>
      </w:r>
      <w:proofErr w:type="gramEnd"/>
    </w:p>
  </w:endnote>
  <w:endnote w:id="11">
    <w:p w14:paraId="4AD05BC2" w14:textId="3882CCE4" w:rsidR="00C3097F" w:rsidRPr="004A5DD1" w:rsidRDefault="00C3097F" w:rsidP="0068537B">
      <w:pPr>
        <w:pStyle w:val="EndnoteText"/>
        <w:rPr>
          <w:sz w:val="22"/>
          <w:szCs w:val="22"/>
        </w:rPr>
      </w:pPr>
      <w:r w:rsidRPr="004A5DD1">
        <w:rPr>
          <w:rStyle w:val="EndnoteReference"/>
          <w:sz w:val="22"/>
          <w:szCs w:val="22"/>
        </w:rPr>
        <w:endnoteRef/>
      </w:r>
      <w:r w:rsidRPr="004A5DD1">
        <w:rPr>
          <w:sz w:val="22"/>
          <w:szCs w:val="22"/>
        </w:rPr>
        <w:t xml:space="preserve"> Weinberg, B. H. Predecessor of scientific indexing structures in the domain of religion. </w:t>
      </w:r>
      <w:proofErr w:type="gramStart"/>
      <w:r w:rsidRPr="004A5DD1">
        <w:rPr>
          <w:i/>
          <w:sz w:val="22"/>
          <w:szCs w:val="22"/>
        </w:rPr>
        <w:t>Second Conference on the History and Heritage of Scientific and Technical Information Systems</w:t>
      </w:r>
      <w:r w:rsidRPr="004A5DD1">
        <w:rPr>
          <w:sz w:val="22"/>
          <w:szCs w:val="22"/>
        </w:rPr>
        <w:t>.</w:t>
      </w:r>
      <w:proofErr w:type="gramEnd"/>
      <w:r w:rsidRPr="004A5DD1">
        <w:rPr>
          <w:sz w:val="22"/>
          <w:szCs w:val="22"/>
        </w:rPr>
        <w:t xml:space="preserve"> pp. 126-134 (2004).</w:t>
      </w:r>
    </w:p>
  </w:endnote>
  <w:endnote w:id="12">
    <w:p w14:paraId="0BCEEF77" w14:textId="15136A07"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Thompson Reuters. </w:t>
      </w:r>
      <w:r w:rsidRPr="004A5DD1">
        <w:rPr>
          <w:i/>
          <w:sz w:val="22"/>
          <w:szCs w:val="22"/>
        </w:rPr>
        <w:t>History of Citation Indexing</w:t>
      </w:r>
      <w:r w:rsidRPr="004A5DD1">
        <w:rPr>
          <w:sz w:val="22"/>
          <w:szCs w:val="22"/>
        </w:rPr>
        <w:t>; http://thomsonreuters.com/products_services/science/free/essays/history_of_citation_indexing/</w:t>
      </w:r>
    </w:p>
  </w:endnote>
  <w:endnote w:id="13">
    <w:p w14:paraId="16E980B6" w14:textId="0ADC5E07" w:rsidR="00DD23F9" w:rsidRPr="004A5DD1" w:rsidRDefault="00DD23F9">
      <w:pPr>
        <w:pStyle w:val="EndnoteText"/>
        <w:rPr>
          <w:sz w:val="22"/>
          <w:szCs w:val="22"/>
        </w:rPr>
      </w:pPr>
      <w:r w:rsidRPr="004A5DD1">
        <w:rPr>
          <w:rStyle w:val="EndnoteReference"/>
          <w:sz w:val="22"/>
          <w:szCs w:val="22"/>
        </w:rPr>
        <w:endnoteRef/>
      </w:r>
      <w:r w:rsidRPr="004A5DD1">
        <w:rPr>
          <w:sz w:val="22"/>
          <w:szCs w:val="22"/>
        </w:rPr>
        <w:t xml:space="preserve"> </w:t>
      </w:r>
      <w:proofErr w:type="spellStart"/>
      <w:r w:rsidRPr="004A5DD1">
        <w:rPr>
          <w:sz w:val="22"/>
          <w:szCs w:val="22"/>
        </w:rPr>
        <w:t>Hafer</w:t>
      </w:r>
      <w:proofErr w:type="spellEnd"/>
      <w:r w:rsidRPr="004A5DD1">
        <w:rPr>
          <w:sz w:val="22"/>
          <w:szCs w:val="22"/>
        </w:rPr>
        <w:t xml:space="preserve">, L., Kirkpatrick, A.E. Assessing open source software as a scholarly contribution. </w:t>
      </w:r>
      <w:proofErr w:type="spellStart"/>
      <w:r w:rsidRPr="004A5DD1">
        <w:rPr>
          <w:i/>
          <w:sz w:val="22"/>
          <w:szCs w:val="22"/>
        </w:rPr>
        <w:t>Commun</w:t>
      </w:r>
      <w:proofErr w:type="spellEnd"/>
      <w:r w:rsidRPr="004A5DD1">
        <w:rPr>
          <w:i/>
          <w:sz w:val="22"/>
          <w:szCs w:val="22"/>
        </w:rPr>
        <w:t>. ACM 52(12)</w:t>
      </w:r>
      <w:r w:rsidRPr="004A5DD1">
        <w:rPr>
          <w:sz w:val="22"/>
          <w:szCs w:val="22"/>
        </w:rPr>
        <w:t xml:space="preserve">, pp. </w:t>
      </w:r>
      <w:r w:rsidRPr="004A5DD1">
        <w:rPr>
          <w:sz w:val="22"/>
          <w:szCs w:val="22"/>
        </w:rPr>
        <w:t>126–129</w:t>
      </w:r>
      <w:r w:rsidRPr="004A5DD1">
        <w:rPr>
          <w:sz w:val="22"/>
          <w:szCs w:val="22"/>
        </w:rPr>
        <w:t xml:space="preserve"> (2009).</w:t>
      </w:r>
    </w:p>
  </w:endnote>
  <w:endnote w:id="14">
    <w:p w14:paraId="60A98786" w14:textId="7BCA5F37" w:rsidR="00C3097F" w:rsidRPr="004A5DD1" w:rsidRDefault="00C3097F" w:rsidP="00623906">
      <w:pPr>
        <w:pStyle w:val="EndnoteText"/>
        <w:rPr>
          <w:sz w:val="22"/>
          <w:szCs w:val="22"/>
        </w:rPr>
      </w:pPr>
      <w:r w:rsidRPr="004A5DD1">
        <w:rPr>
          <w:rStyle w:val="EndnoteReference"/>
          <w:sz w:val="22"/>
          <w:szCs w:val="22"/>
        </w:rPr>
        <w:endnoteRef/>
      </w:r>
      <w:r w:rsidRPr="004A5DD1">
        <w:rPr>
          <w:sz w:val="22"/>
          <w:szCs w:val="22"/>
        </w:rPr>
        <w:t xml:space="preserve"> </w:t>
      </w:r>
      <w:proofErr w:type="spellStart"/>
      <w:r w:rsidRPr="004A5DD1">
        <w:rPr>
          <w:sz w:val="22"/>
          <w:szCs w:val="22"/>
        </w:rPr>
        <w:t>Schiermeier</w:t>
      </w:r>
      <w:proofErr w:type="spellEnd"/>
      <w:r w:rsidRPr="004A5DD1">
        <w:rPr>
          <w:sz w:val="22"/>
          <w:szCs w:val="22"/>
        </w:rPr>
        <w:t xml:space="preserve">, Q. Europe's young researchers seek proper rewards. </w:t>
      </w:r>
      <w:r w:rsidRPr="004A5DD1">
        <w:rPr>
          <w:i/>
          <w:sz w:val="22"/>
          <w:szCs w:val="22"/>
        </w:rPr>
        <w:t>Nature 397(6721)</w:t>
      </w:r>
      <w:r w:rsidRPr="004A5DD1">
        <w:rPr>
          <w:sz w:val="22"/>
          <w:szCs w:val="22"/>
        </w:rPr>
        <w:t>, pp. 640-641 (1999).</w:t>
      </w:r>
    </w:p>
  </w:endnote>
  <w:endnote w:id="15">
    <w:p w14:paraId="62C102F5" w14:textId="1DB3C72E" w:rsidR="00C3097F" w:rsidRPr="004A5DD1" w:rsidRDefault="00C3097F" w:rsidP="00623906">
      <w:pPr>
        <w:pStyle w:val="EndnoteText"/>
        <w:rPr>
          <w:sz w:val="22"/>
          <w:szCs w:val="22"/>
        </w:rPr>
      </w:pPr>
      <w:r w:rsidRPr="004A5DD1">
        <w:rPr>
          <w:rStyle w:val="EndnoteReference"/>
          <w:sz w:val="22"/>
          <w:szCs w:val="22"/>
        </w:rPr>
        <w:endnoteRef/>
      </w:r>
      <w:r w:rsidRPr="004A5DD1">
        <w:rPr>
          <w:sz w:val="22"/>
          <w:szCs w:val="22"/>
        </w:rPr>
        <w:t xml:space="preserve"> </w:t>
      </w:r>
      <w:proofErr w:type="gramStart"/>
      <w:r w:rsidRPr="004A5DD1">
        <w:rPr>
          <w:sz w:val="22"/>
          <w:szCs w:val="22"/>
        </w:rPr>
        <w:t>Tarnow, E.</w:t>
      </w:r>
      <w:proofErr w:type="gramEnd"/>
      <w:r w:rsidRPr="004A5DD1">
        <w:rPr>
          <w:sz w:val="22"/>
          <w:szCs w:val="22"/>
        </w:rPr>
        <w:t xml:space="preserve"> The Authorship List in Science: Junior Physicist’s Perceptions of Who Appears and Why. </w:t>
      </w:r>
      <w:proofErr w:type="gramStart"/>
      <w:r w:rsidRPr="004A5DD1">
        <w:rPr>
          <w:i/>
          <w:sz w:val="22"/>
          <w:szCs w:val="22"/>
        </w:rPr>
        <w:t>Science and Engineering Ethics 5(1)</w:t>
      </w:r>
      <w:r w:rsidRPr="004A5DD1">
        <w:rPr>
          <w:sz w:val="22"/>
          <w:szCs w:val="22"/>
        </w:rPr>
        <w:t>, pp. 73-88 (1999).</w:t>
      </w:r>
      <w:proofErr w:type="gramEnd"/>
    </w:p>
  </w:endnote>
  <w:endnote w:id="16">
    <w:p w14:paraId="219B64B2" w14:textId="14ECEF7A" w:rsidR="00C3097F" w:rsidRPr="004A5DD1" w:rsidRDefault="00C3097F" w:rsidP="00623906">
      <w:pPr>
        <w:pStyle w:val="EndnoteText"/>
        <w:rPr>
          <w:sz w:val="22"/>
          <w:szCs w:val="22"/>
        </w:rPr>
      </w:pPr>
      <w:r w:rsidRPr="004A5DD1">
        <w:rPr>
          <w:rStyle w:val="EndnoteReference"/>
          <w:sz w:val="22"/>
          <w:szCs w:val="22"/>
        </w:rPr>
        <w:endnoteRef/>
      </w:r>
      <w:r w:rsidRPr="004A5DD1">
        <w:rPr>
          <w:sz w:val="22"/>
          <w:szCs w:val="22"/>
        </w:rPr>
        <w:t xml:space="preserve"> Martinson, B. C., Anderson, M. S., De </w:t>
      </w:r>
      <w:proofErr w:type="spellStart"/>
      <w:r w:rsidRPr="004A5DD1">
        <w:rPr>
          <w:sz w:val="22"/>
          <w:szCs w:val="22"/>
        </w:rPr>
        <w:t>Vries</w:t>
      </w:r>
      <w:proofErr w:type="spellEnd"/>
      <w:r w:rsidRPr="004A5DD1">
        <w:rPr>
          <w:sz w:val="22"/>
          <w:szCs w:val="22"/>
        </w:rPr>
        <w:t xml:space="preserve">, R. Scientists behaving badly. </w:t>
      </w:r>
      <w:proofErr w:type="gramStart"/>
      <w:r w:rsidRPr="004A5DD1">
        <w:rPr>
          <w:i/>
          <w:iCs/>
          <w:sz w:val="22"/>
          <w:szCs w:val="22"/>
        </w:rPr>
        <w:t>Nature</w:t>
      </w:r>
      <w:r w:rsidRPr="004A5DD1">
        <w:rPr>
          <w:sz w:val="22"/>
          <w:szCs w:val="22"/>
        </w:rPr>
        <w:t xml:space="preserve"> </w:t>
      </w:r>
      <w:r w:rsidRPr="004A5DD1">
        <w:rPr>
          <w:bCs/>
          <w:i/>
          <w:sz w:val="22"/>
          <w:szCs w:val="22"/>
        </w:rPr>
        <w:t>435</w:t>
      </w:r>
      <w:r w:rsidRPr="004A5DD1">
        <w:rPr>
          <w:i/>
          <w:sz w:val="22"/>
          <w:szCs w:val="22"/>
        </w:rPr>
        <w:t>(7043)</w:t>
      </w:r>
      <w:r w:rsidRPr="004A5DD1">
        <w:rPr>
          <w:sz w:val="22"/>
          <w:szCs w:val="22"/>
        </w:rPr>
        <w:t>.</w:t>
      </w:r>
      <w:proofErr w:type="gramEnd"/>
      <w:r w:rsidRPr="004A5DD1">
        <w:rPr>
          <w:sz w:val="22"/>
          <w:szCs w:val="22"/>
        </w:rPr>
        <w:t xml:space="preserve"> pp. 737-738 (2005).</w:t>
      </w:r>
    </w:p>
  </w:endnote>
  <w:endnote w:id="17">
    <w:p w14:paraId="6172C585" w14:textId="3D7933A1" w:rsidR="00C3097F" w:rsidRPr="004A5DD1" w:rsidRDefault="00C3097F" w:rsidP="00623906">
      <w:pPr>
        <w:pStyle w:val="EndnoteText"/>
        <w:rPr>
          <w:i/>
          <w:sz w:val="22"/>
          <w:szCs w:val="22"/>
        </w:rPr>
      </w:pPr>
      <w:r w:rsidRPr="004A5DD1">
        <w:rPr>
          <w:rStyle w:val="EndnoteReference"/>
          <w:sz w:val="22"/>
          <w:szCs w:val="22"/>
        </w:rPr>
        <w:endnoteRef/>
      </w:r>
      <w:r w:rsidRPr="004A5DD1">
        <w:rPr>
          <w:sz w:val="22"/>
          <w:szCs w:val="22"/>
        </w:rPr>
        <w:t xml:space="preserve"> </w:t>
      </w:r>
      <w:proofErr w:type="spellStart"/>
      <w:r w:rsidRPr="004A5DD1">
        <w:rPr>
          <w:sz w:val="22"/>
          <w:szCs w:val="22"/>
        </w:rPr>
        <w:t>Verhagen</w:t>
      </w:r>
      <w:proofErr w:type="spellEnd"/>
      <w:r w:rsidRPr="004A5DD1">
        <w:rPr>
          <w:sz w:val="22"/>
          <w:szCs w:val="22"/>
        </w:rPr>
        <w:t xml:space="preserve">, J. V., Wallace, K. J., Collins, S. C., Scott, T. R. QUAD system offers fair shares to all authors. </w:t>
      </w:r>
      <w:proofErr w:type="gramStart"/>
      <w:r w:rsidRPr="004A5DD1">
        <w:rPr>
          <w:i/>
          <w:sz w:val="22"/>
          <w:szCs w:val="22"/>
        </w:rPr>
        <w:t>Nature 426(6967)</w:t>
      </w:r>
      <w:r w:rsidRPr="004A5DD1">
        <w:rPr>
          <w:sz w:val="22"/>
          <w:szCs w:val="22"/>
        </w:rPr>
        <w:t>.</w:t>
      </w:r>
      <w:proofErr w:type="gramEnd"/>
      <w:r w:rsidRPr="004A5DD1">
        <w:rPr>
          <w:sz w:val="22"/>
          <w:szCs w:val="22"/>
        </w:rPr>
        <w:t xml:space="preserve"> p. 602 (2003).</w:t>
      </w:r>
    </w:p>
  </w:endnote>
  <w:endnote w:id="18">
    <w:p w14:paraId="0B107CC0" w14:textId="77777777" w:rsidR="00C3097F" w:rsidRPr="004A5DD1" w:rsidRDefault="00C3097F" w:rsidP="00623906">
      <w:pPr>
        <w:pStyle w:val="EndnoteText"/>
        <w:rPr>
          <w:sz w:val="22"/>
          <w:szCs w:val="22"/>
        </w:rPr>
      </w:pPr>
      <w:r w:rsidRPr="004A5DD1">
        <w:rPr>
          <w:rStyle w:val="EndnoteReference"/>
          <w:sz w:val="22"/>
          <w:szCs w:val="22"/>
        </w:rPr>
        <w:endnoteRef/>
      </w:r>
      <w:r w:rsidRPr="004A5DD1">
        <w:rPr>
          <w:sz w:val="22"/>
          <w:szCs w:val="22"/>
        </w:rPr>
        <w:t xml:space="preserve"> </w:t>
      </w:r>
      <w:proofErr w:type="spellStart"/>
      <w:r w:rsidRPr="004A5DD1">
        <w:rPr>
          <w:sz w:val="22"/>
          <w:szCs w:val="22"/>
        </w:rPr>
        <w:t>Molla</w:t>
      </w:r>
      <w:proofErr w:type="spellEnd"/>
      <w:r w:rsidRPr="004A5DD1">
        <w:rPr>
          <w:sz w:val="22"/>
          <w:szCs w:val="22"/>
        </w:rPr>
        <w:t xml:space="preserve">, M., Gardner, T. Roll Credits: Sometimes the Authorship Byline Isn’t Enough. </w:t>
      </w:r>
      <w:proofErr w:type="gramStart"/>
      <w:r w:rsidRPr="004A5DD1">
        <w:rPr>
          <w:sz w:val="22"/>
          <w:szCs w:val="22"/>
        </w:rPr>
        <w:t>PLOS Blog; http://www.plos.org/cms/node/285 (2007).</w:t>
      </w:r>
      <w:proofErr w:type="gramEnd"/>
    </w:p>
  </w:endnote>
  <w:endnote w:id="19">
    <w:p w14:paraId="5ACEF794" w14:textId="77777777" w:rsidR="00C3097F" w:rsidRPr="004A5DD1" w:rsidRDefault="00C3097F" w:rsidP="00EA2774">
      <w:pPr>
        <w:pStyle w:val="EndnoteText"/>
        <w:rPr>
          <w:sz w:val="22"/>
          <w:szCs w:val="22"/>
        </w:rPr>
      </w:pPr>
      <w:r w:rsidRPr="004A5DD1">
        <w:rPr>
          <w:rStyle w:val="EndnoteReference"/>
          <w:sz w:val="22"/>
          <w:szCs w:val="22"/>
        </w:rPr>
        <w:endnoteRef/>
      </w:r>
      <w:r w:rsidRPr="004A5DD1">
        <w:rPr>
          <w:sz w:val="22"/>
          <w:szCs w:val="22"/>
        </w:rPr>
        <w:t xml:space="preserve"> </w:t>
      </w:r>
      <w:proofErr w:type="spellStart"/>
      <w:r w:rsidRPr="004A5DD1">
        <w:rPr>
          <w:sz w:val="22"/>
          <w:szCs w:val="22"/>
        </w:rPr>
        <w:t>Lewin</w:t>
      </w:r>
      <w:proofErr w:type="spellEnd"/>
      <w:r w:rsidRPr="004A5DD1">
        <w:rPr>
          <w:sz w:val="22"/>
          <w:szCs w:val="22"/>
        </w:rPr>
        <w:t xml:space="preserve"> K. Defining the "Field at a Given Time." </w:t>
      </w:r>
      <w:proofErr w:type="gramStart"/>
      <w:r w:rsidRPr="004A5DD1">
        <w:rPr>
          <w:i/>
          <w:iCs/>
          <w:sz w:val="22"/>
          <w:szCs w:val="22"/>
        </w:rPr>
        <w:t xml:space="preserve">Psychological Review </w:t>
      </w:r>
      <w:r w:rsidRPr="004A5DD1">
        <w:rPr>
          <w:i/>
          <w:sz w:val="22"/>
          <w:szCs w:val="22"/>
        </w:rPr>
        <w:t>50.</w:t>
      </w:r>
      <w:proofErr w:type="gramEnd"/>
      <w:r w:rsidRPr="004A5DD1">
        <w:rPr>
          <w:sz w:val="22"/>
          <w:szCs w:val="22"/>
        </w:rPr>
        <w:t xml:space="preserve"> pp. 292-310 (1943).</w:t>
      </w:r>
    </w:p>
  </w:endnote>
  <w:endnote w:id="20">
    <w:p w14:paraId="095F7EC8" w14:textId="579567EB"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w:t>
      </w:r>
      <w:proofErr w:type="gramStart"/>
      <w:r w:rsidRPr="004A5DD1">
        <w:rPr>
          <w:sz w:val="22"/>
          <w:szCs w:val="22"/>
        </w:rPr>
        <w:t>Hirsch, J. E.</w:t>
      </w:r>
      <w:proofErr w:type="gramEnd"/>
      <w:r w:rsidRPr="004A5DD1">
        <w:rPr>
          <w:sz w:val="22"/>
          <w:szCs w:val="22"/>
        </w:rPr>
        <w:t xml:space="preserve"> </w:t>
      </w:r>
      <w:proofErr w:type="gramStart"/>
      <w:r w:rsidRPr="004A5DD1">
        <w:rPr>
          <w:sz w:val="22"/>
          <w:szCs w:val="22"/>
        </w:rPr>
        <w:t>An index to quantify an individual’s scientific research output.</w:t>
      </w:r>
      <w:proofErr w:type="gramEnd"/>
      <w:r w:rsidRPr="004A5DD1">
        <w:rPr>
          <w:sz w:val="22"/>
          <w:szCs w:val="22"/>
        </w:rPr>
        <w:t xml:space="preserve"> </w:t>
      </w:r>
      <w:proofErr w:type="gramStart"/>
      <w:r w:rsidRPr="004A5DD1">
        <w:rPr>
          <w:i/>
          <w:sz w:val="22"/>
          <w:szCs w:val="22"/>
        </w:rPr>
        <w:t>Proceedings of the National Academy of Sciences of the USA.</w:t>
      </w:r>
      <w:proofErr w:type="gramEnd"/>
      <w:r w:rsidRPr="004A5DD1">
        <w:rPr>
          <w:i/>
          <w:sz w:val="22"/>
          <w:szCs w:val="22"/>
        </w:rPr>
        <w:t xml:space="preserve"> </w:t>
      </w:r>
      <w:proofErr w:type="gramStart"/>
      <w:r w:rsidRPr="004A5DD1">
        <w:rPr>
          <w:i/>
          <w:sz w:val="22"/>
          <w:szCs w:val="22"/>
        </w:rPr>
        <w:t>102(46)</w:t>
      </w:r>
      <w:r w:rsidRPr="004A5DD1">
        <w:rPr>
          <w:sz w:val="22"/>
          <w:szCs w:val="22"/>
        </w:rPr>
        <w:t>.</w:t>
      </w:r>
      <w:proofErr w:type="gramEnd"/>
      <w:r w:rsidRPr="004A5DD1">
        <w:rPr>
          <w:sz w:val="22"/>
          <w:szCs w:val="22"/>
        </w:rPr>
        <w:t xml:space="preserve"> pp. 16569–16572 (2005).</w:t>
      </w:r>
    </w:p>
  </w:endnote>
  <w:endnote w:id="21">
    <w:p w14:paraId="2179A494" w14:textId="0E129C55" w:rsidR="00AB6AFC" w:rsidRPr="00AB6AFC" w:rsidRDefault="00AB6AFC">
      <w:pPr>
        <w:pStyle w:val="EndnoteText"/>
        <w:rPr>
          <w:sz w:val="22"/>
          <w:szCs w:val="22"/>
        </w:rPr>
      </w:pPr>
      <w:r w:rsidRPr="00AB6AFC">
        <w:rPr>
          <w:rStyle w:val="EndnoteReference"/>
          <w:sz w:val="22"/>
          <w:szCs w:val="22"/>
        </w:rPr>
        <w:endnoteRef/>
      </w:r>
      <w:r w:rsidRPr="00AB6AFC">
        <w:rPr>
          <w:sz w:val="22"/>
          <w:szCs w:val="22"/>
        </w:rPr>
        <w:t xml:space="preserve"> </w:t>
      </w:r>
      <w:proofErr w:type="spellStart"/>
      <w:proofErr w:type="gramStart"/>
      <w:r w:rsidRPr="00AB6AFC">
        <w:rPr>
          <w:sz w:val="22"/>
          <w:szCs w:val="22"/>
        </w:rPr>
        <w:t>Howison</w:t>
      </w:r>
      <w:proofErr w:type="spellEnd"/>
      <w:r w:rsidRPr="00AB6AFC">
        <w:rPr>
          <w:sz w:val="22"/>
          <w:szCs w:val="22"/>
        </w:rPr>
        <w:t xml:space="preserve">, J., </w:t>
      </w:r>
      <w:proofErr w:type="spellStart"/>
      <w:r w:rsidRPr="00AB6AFC">
        <w:rPr>
          <w:sz w:val="22"/>
          <w:szCs w:val="22"/>
        </w:rPr>
        <w:t>Herbsleb</w:t>
      </w:r>
      <w:proofErr w:type="spellEnd"/>
      <w:r w:rsidRPr="00AB6AFC">
        <w:rPr>
          <w:sz w:val="22"/>
          <w:szCs w:val="22"/>
        </w:rPr>
        <w:t>, J. D. Incentives and integration in scientific software production.</w:t>
      </w:r>
      <w:proofErr w:type="gramEnd"/>
      <w:r w:rsidRPr="00AB6AFC">
        <w:rPr>
          <w:sz w:val="22"/>
          <w:szCs w:val="22"/>
        </w:rPr>
        <w:t xml:space="preserve"> In </w:t>
      </w:r>
      <w:r w:rsidRPr="00AB6AFC">
        <w:rPr>
          <w:i/>
          <w:sz w:val="22"/>
          <w:szCs w:val="22"/>
        </w:rPr>
        <w:t>Proceedings of the 2013 conference on Computer supported cooperative work</w:t>
      </w:r>
      <w:r w:rsidRPr="00AB6AFC">
        <w:rPr>
          <w:sz w:val="22"/>
          <w:szCs w:val="22"/>
        </w:rPr>
        <w:t>, pp. 459–470</w:t>
      </w:r>
      <w:r>
        <w:rPr>
          <w:sz w:val="22"/>
          <w:szCs w:val="22"/>
        </w:rPr>
        <w:t xml:space="preserve"> </w:t>
      </w:r>
      <w:r w:rsidRPr="008703AB">
        <w:rPr>
          <w:sz w:val="22"/>
          <w:szCs w:val="22"/>
        </w:rPr>
        <w:t>(2013).</w:t>
      </w:r>
    </w:p>
  </w:endnote>
  <w:endnote w:id="22">
    <w:p w14:paraId="092D1992" w14:textId="1B611628" w:rsidR="00C3097F" w:rsidRPr="004A5DD1" w:rsidRDefault="00C3097F">
      <w:pPr>
        <w:pStyle w:val="EndnoteText"/>
        <w:rPr>
          <w:sz w:val="22"/>
          <w:szCs w:val="22"/>
        </w:rPr>
      </w:pPr>
      <w:r w:rsidRPr="004A5DD1">
        <w:rPr>
          <w:rStyle w:val="EndnoteReference"/>
          <w:sz w:val="22"/>
          <w:szCs w:val="22"/>
        </w:rPr>
        <w:endnoteRef/>
      </w:r>
      <w:r w:rsidRPr="004A5DD1">
        <w:rPr>
          <w:sz w:val="22"/>
          <w:szCs w:val="22"/>
        </w:rPr>
        <w:t xml:space="preserve">  </w:t>
      </w:r>
      <w:proofErr w:type="spellStart"/>
      <w:proofErr w:type="gramStart"/>
      <w:r w:rsidRPr="004A5DD1">
        <w:rPr>
          <w:sz w:val="22"/>
          <w:szCs w:val="22"/>
        </w:rPr>
        <w:t>Wuchty</w:t>
      </w:r>
      <w:proofErr w:type="spellEnd"/>
      <w:r w:rsidRPr="004A5DD1">
        <w:rPr>
          <w:sz w:val="22"/>
          <w:szCs w:val="22"/>
        </w:rPr>
        <w:t xml:space="preserve">, S., Jones, B.F., </w:t>
      </w:r>
      <w:proofErr w:type="spellStart"/>
      <w:r w:rsidRPr="004A5DD1">
        <w:rPr>
          <w:sz w:val="22"/>
          <w:szCs w:val="22"/>
        </w:rPr>
        <w:t>Uzzi</w:t>
      </w:r>
      <w:proofErr w:type="spellEnd"/>
      <w:r w:rsidRPr="004A5DD1">
        <w:rPr>
          <w:sz w:val="22"/>
          <w:szCs w:val="22"/>
        </w:rPr>
        <w:t>, B.</w:t>
      </w:r>
      <w:proofErr w:type="gramEnd"/>
      <w:r w:rsidRPr="004A5DD1">
        <w:rPr>
          <w:sz w:val="22"/>
          <w:szCs w:val="22"/>
        </w:rPr>
        <w:t xml:space="preserve"> </w:t>
      </w:r>
      <w:proofErr w:type="gramStart"/>
      <w:r w:rsidRPr="004A5DD1">
        <w:rPr>
          <w:sz w:val="22"/>
          <w:szCs w:val="22"/>
        </w:rPr>
        <w:t>The Increasing Dominance of Teams in Production of Knowledge.</w:t>
      </w:r>
      <w:proofErr w:type="gramEnd"/>
      <w:r w:rsidRPr="004A5DD1">
        <w:rPr>
          <w:sz w:val="22"/>
          <w:szCs w:val="22"/>
        </w:rPr>
        <w:t xml:space="preserve"> </w:t>
      </w:r>
      <w:proofErr w:type="gramStart"/>
      <w:r w:rsidRPr="004A5DD1">
        <w:rPr>
          <w:i/>
          <w:sz w:val="22"/>
          <w:szCs w:val="22"/>
        </w:rPr>
        <w:t>Science 316(5827)</w:t>
      </w:r>
      <w:r w:rsidRPr="004A5DD1">
        <w:rPr>
          <w:sz w:val="22"/>
          <w:szCs w:val="22"/>
        </w:rPr>
        <w:t>.</w:t>
      </w:r>
      <w:proofErr w:type="gramEnd"/>
      <w:r w:rsidRPr="004A5DD1">
        <w:rPr>
          <w:sz w:val="22"/>
          <w:szCs w:val="22"/>
        </w:rPr>
        <w:t xml:space="preserve"> pp. 1036-1039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B6E11" w14:textId="77777777" w:rsidR="00C3097F" w:rsidRDefault="00C3097F" w:rsidP="00935EFA">
      <w:r>
        <w:separator/>
      </w:r>
    </w:p>
  </w:footnote>
  <w:footnote w:type="continuationSeparator" w:id="0">
    <w:p w14:paraId="220C1245" w14:textId="77777777" w:rsidR="00C3097F" w:rsidRDefault="00C3097F" w:rsidP="00935E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9174EC"/>
    <w:multiLevelType w:val="hybridMultilevel"/>
    <w:tmpl w:val="BAC0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7A4311"/>
    <w:multiLevelType w:val="hybridMultilevel"/>
    <w:tmpl w:val="3A60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B1331"/>
    <w:multiLevelType w:val="hybridMultilevel"/>
    <w:tmpl w:val="5112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790704"/>
    <w:multiLevelType w:val="hybridMultilevel"/>
    <w:tmpl w:val="83746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FA"/>
    <w:rsid w:val="0004463E"/>
    <w:rsid w:val="00064C72"/>
    <w:rsid w:val="00065985"/>
    <w:rsid w:val="00066D9D"/>
    <w:rsid w:val="000D70C6"/>
    <w:rsid w:val="001136D2"/>
    <w:rsid w:val="00114044"/>
    <w:rsid w:val="0011599C"/>
    <w:rsid w:val="0012710E"/>
    <w:rsid w:val="001432BE"/>
    <w:rsid w:val="001461BD"/>
    <w:rsid w:val="00155DF5"/>
    <w:rsid w:val="00156AC2"/>
    <w:rsid w:val="00172FC9"/>
    <w:rsid w:val="00173EC6"/>
    <w:rsid w:val="00181F0E"/>
    <w:rsid w:val="001A34C3"/>
    <w:rsid w:val="001A43DA"/>
    <w:rsid w:val="001F0B76"/>
    <w:rsid w:val="00202C66"/>
    <w:rsid w:val="00205444"/>
    <w:rsid w:val="00216DA6"/>
    <w:rsid w:val="00223D84"/>
    <w:rsid w:val="00245C73"/>
    <w:rsid w:val="0024636C"/>
    <w:rsid w:val="00267D53"/>
    <w:rsid w:val="002870C2"/>
    <w:rsid w:val="002956FE"/>
    <w:rsid w:val="002B1E32"/>
    <w:rsid w:val="002B3254"/>
    <w:rsid w:val="002B6076"/>
    <w:rsid w:val="002C115A"/>
    <w:rsid w:val="0030466D"/>
    <w:rsid w:val="00305FC0"/>
    <w:rsid w:val="003119EC"/>
    <w:rsid w:val="00340A02"/>
    <w:rsid w:val="003716F8"/>
    <w:rsid w:val="00373FB0"/>
    <w:rsid w:val="00375164"/>
    <w:rsid w:val="003823F0"/>
    <w:rsid w:val="00384615"/>
    <w:rsid w:val="0038684E"/>
    <w:rsid w:val="00394CD9"/>
    <w:rsid w:val="00395459"/>
    <w:rsid w:val="003B0086"/>
    <w:rsid w:val="003F1D38"/>
    <w:rsid w:val="003F3AD7"/>
    <w:rsid w:val="00414EF7"/>
    <w:rsid w:val="0043242A"/>
    <w:rsid w:val="00440C4B"/>
    <w:rsid w:val="00440E83"/>
    <w:rsid w:val="00445975"/>
    <w:rsid w:val="004748A3"/>
    <w:rsid w:val="0047519F"/>
    <w:rsid w:val="004A5DD1"/>
    <w:rsid w:val="004B3113"/>
    <w:rsid w:val="004D4C57"/>
    <w:rsid w:val="004E5B43"/>
    <w:rsid w:val="004E7331"/>
    <w:rsid w:val="004F0218"/>
    <w:rsid w:val="00510DF3"/>
    <w:rsid w:val="00521F5E"/>
    <w:rsid w:val="00542E31"/>
    <w:rsid w:val="005714DE"/>
    <w:rsid w:val="005A6777"/>
    <w:rsid w:val="005C3616"/>
    <w:rsid w:val="005C78AE"/>
    <w:rsid w:val="005D3885"/>
    <w:rsid w:val="005E0D9D"/>
    <w:rsid w:val="00623906"/>
    <w:rsid w:val="0062509A"/>
    <w:rsid w:val="006264FC"/>
    <w:rsid w:val="0068537B"/>
    <w:rsid w:val="00695D2C"/>
    <w:rsid w:val="006A00FE"/>
    <w:rsid w:val="006A6D67"/>
    <w:rsid w:val="006C16D8"/>
    <w:rsid w:val="006E071E"/>
    <w:rsid w:val="006F1DA0"/>
    <w:rsid w:val="006F5CF4"/>
    <w:rsid w:val="00736CEB"/>
    <w:rsid w:val="00736FB0"/>
    <w:rsid w:val="00761362"/>
    <w:rsid w:val="007A3A0A"/>
    <w:rsid w:val="007C27A1"/>
    <w:rsid w:val="007C35A5"/>
    <w:rsid w:val="007E2D37"/>
    <w:rsid w:val="00804D96"/>
    <w:rsid w:val="00807443"/>
    <w:rsid w:val="00833344"/>
    <w:rsid w:val="00852359"/>
    <w:rsid w:val="008537FE"/>
    <w:rsid w:val="008B1D58"/>
    <w:rsid w:val="008B4673"/>
    <w:rsid w:val="008D3627"/>
    <w:rsid w:val="009306A1"/>
    <w:rsid w:val="00935EFA"/>
    <w:rsid w:val="00970D77"/>
    <w:rsid w:val="00975500"/>
    <w:rsid w:val="0098421D"/>
    <w:rsid w:val="009842D6"/>
    <w:rsid w:val="00986AE6"/>
    <w:rsid w:val="009A7F86"/>
    <w:rsid w:val="009B0816"/>
    <w:rsid w:val="009B41DA"/>
    <w:rsid w:val="009F517D"/>
    <w:rsid w:val="00A46EE6"/>
    <w:rsid w:val="00A94DA5"/>
    <w:rsid w:val="00AA1CD9"/>
    <w:rsid w:val="00AA4060"/>
    <w:rsid w:val="00AB3473"/>
    <w:rsid w:val="00AB6AFC"/>
    <w:rsid w:val="00AE33FA"/>
    <w:rsid w:val="00AF0AEB"/>
    <w:rsid w:val="00B159A5"/>
    <w:rsid w:val="00B208AC"/>
    <w:rsid w:val="00B2735E"/>
    <w:rsid w:val="00B36FE4"/>
    <w:rsid w:val="00B40859"/>
    <w:rsid w:val="00B70311"/>
    <w:rsid w:val="00B82A5A"/>
    <w:rsid w:val="00B913DD"/>
    <w:rsid w:val="00BA36DF"/>
    <w:rsid w:val="00BB017D"/>
    <w:rsid w:val="00BC6C6E"/>
    <w:rsid w:val="00BF021E"/>
    <w:rsid w:val="00C3097F"/>
    <w:rsid w:val="00C45A33"/>
    <w:rsid w:val="00C57898"/>
    <w:rsid w:val="00C60681"/>
    <w:rsid w:val="00C65D9C"/>
    <w:rsid w:val="00C66D69"/>
    <w:rsid w:val="00C92C95"/>
    <w:rsid w:val="00CB76BA"/>
    <w:rsid w:val="00CE02EE"/>
    <w:rsid w:val="00D42261"/>
    <w:rsid w:val="00D65981"/>
    <w:rsid w:val="00D717C6"/>
    <w:rsid w:val="00D73A83"/>
    <w:rsid w:val="00D767E5"/>
    <w:rsid w:val="00DC0307"/>
    <w:rsid w:val="00DD23F9"/>
    <w:rsid w:val="00DE07CC"/>
    <w:rsid w:val="00E022ED"/>
    <w:rsid w:val="00E05164"/>
    <w:rsid w:val="00E26688"/>
    <w:rsid w:val="00E73958"/>
    <w:rsid w:val="00EA2774"/>
    <w:rsid w:val="00EC5B82"/>
    <w:rsid w:val="00EE34BC"/>
    <w:rsid w:val="00F2734E"/>
    <w:rsid w:val="00F3323C"/>
    <w:rsid w:val="00F50EE6"/>
    <w:rsid w:val="00F705FE"/>
    <w:rsid w:val="00F87DCE"/>
    <w:rsid w:val="00FA379E"/>
    <w:rsid w:val="00FB1299"/>
    <w:rsid w:val="00FB68E2"/>
    <w:rsid w:val="00FC4F2E"/>
    <w:rsid w:val="00FC7AB0"/>
    <w:rsid w:val="00FD2F9C"/>
    <w:rsid w:val="00FE3786"/>
    <w:rsid w:val="00FF75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C5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35EFA"/>
  </w:style>
  <w:style w:type="character" w:customStyle="1" w:styleId="EndnoteTextChar">
    <w:name w:val="Endnote Text Char"/>
    <w:basedOn w:val="DefaultParagraphFont"/>
    <w:link w:val="EndnoteText"/>
    <w:uiPriority w:val="99"/>
    <w:rsid w:val="00935EFA"/>
  </w:style>
  <w:style w:type="character" w:styleId="EndnoteReference">
    <w:name w:val="endnote reference"/>
    <w:basedOn w:val="DefaultParagraphFont"/>
    <w:uiPriority w:val="99"/>
    <w:unhideWhenUsed/>
    <w:rsid w:val="00935EFA"/>
    <w:rPr>
      <w:vertAlign w:val="superscript"/>
    </w:rPr>
  </w:style>
  <w:style w:type="character" w:styleId="CommentReference">
    <w:name w:val="annotation reference"/>
    <w:basedOn w:val="DefaultParagraphFont"/>
    <w:uiPriority w:val="99"/>
    <w:semiHidden/>
    <w:unhideWhenUsed/>
    <w:rsid w:val="002B3254"/>
    <w:rPr>
      <w:sz w:val="18"/>
      <w:szCs w:val="18"/>
    </w:rPr>
  </w:style>
  <w:style w:type="paragraph" w:styleId="CommentText">
    <w:name w:val="annotation text"/>
    <w:basedOn w:val="Normal"/>
    <w:link w:val="CommentTextChar"/>
    <w:uiPriority w:val="99"/>
    <w:semiHidden/>
    <w:unhideWhenUsed/>
    <w:rsid w:val="002B3254"/>
  </w:style>
  <w:style w:type="character" w:customStyle="1" w:styleId="CommentTextChar">
    <w:name w:val="Comment Text Char"/>
    <w:basedOn w:val="DefaultParagraphFont"/>
    <w:link w:val="CommentText"/>
    <w:uiPriority w:val="99"/>
    <w:semiHidden/>
    <w:rsid w:val="002B3254"/>
  </w:style>
  <w:style w:type="paragraph" w:styleId="CommentSubject">
    <w:name w:val="annotation subject"/>
    <w:basedOn w:val="CommentText"/>
    <w:next w:val="CommentText"/>
    <w:link w:val="CommentSubjectChar"/>
    <w:uiPriority w:val="99"/>
    <w:semiHidden/>
    <w:unhideWhenUsed/>
    <w:rsid w:val="002B3254"/>
    <w:rPr>
      <w:b/>
      <w:bCs/>
      <w:sz w:val="20"/>
      <w:szCs w:val="20"/>
    </w:rPr>
  </w:style>
  <w:style w:type="character" w:customStyle="1" w:styleId="CommentSubjectChar">
    <w:name w:val="Comment Subject Char"/>
    <w:basedOn w:val="CommentTextChar"/>
    <w:link w:val="CommentSubject"/>
    <w:uiPriority w:val="99"/>
    <w:semiHidden/>
    <w:rsid w:val="002B3254"/>
    <w:rPr>
      <w:b/>
      <w:bCs/>
      <w:sz w:val="20"/>
      <w:szCs w:val="20"/>
    </w:rPr>
  </w:style>
  <w:style w:type="paragraph" w:styleId="BalloonText">
    <w:name w:val="Balloon Text"/>
    <w:basedOn w:val="Normal"/>
    <w:link w:val="BalloonTextChar"/>
    <w:uiPriority w:val="99"/>
    <w:semiHidden/>
    <w:unhideWhenUsed/>
    <w:rsid w:val="002B32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254"/>
    <w:rPr>
      <w:rFonts w:ascii="Lucida Grande" w:hAnsi="Lucida Grande" w:cs="Lucida Grande"/>
      <w:sz w:val="18"/>
      <w:szCs w:val="18"/>
    </w:rPr>
  </w:style>
  <w:style w:type="character" w:styleId="Hyperlink">
    <w:name w:val="Hyperlink"/>
    <w:basedOn w:val="DefaultParagraphFont"/>
    <w:uiPriority w:val="99"/>
    <w:unhideWhenUsed/>
    <w:rsid w:val="002C115A"/>
    <w:rPr>
      <w:color w:val="0000FF" w:themeColor="hyperlink"/>
      <w:u w:val="single"/>
    </w:rPr>
  </w:style>
  <w:style w:type="paragraph" w:styleId="ListParagraph">
    <w:name w:val="List Paragraph"/>
    <w:basedOn w:val="Normal"/>
    <w:uiPriority w:val="34"/>
    <w:qFormat/>
    <w:rsid w:val="009A7F86"/>
    <w:pPr>
      <w:ind w:left="720"/>
      <w:contextualSpacing/>
    </w:pPr>
  </w:style>
  <w:style w:type="paragraph" w:styleId="FootnoteText">
    <w:name w:val="footnote text"/>
    <w:basedOn w:val="Normal"/>
    <w:link w:val="FootnoteTextChar"/>
    <w:uiPriority w:val="99"/>
    <w:unhideWhenUsed/>
    <w:rsid w:val="00B82A5A"/>
  </w:style>
  <w:style w:type="character" w:customStyle="1" w:styleId="FootnoteTextChar">
    <w:name w:val="Footnote Text Char"/>
    <w:basedOn w:val="DefaultParagraphFont"/>
    <w:link w:val="FootnoteText"/>
    <w:uiPriority w:val="99"/>
    <w:rsid w:val="00B82A5A"/>
  </w:style>
  <w:style w:type="character" w:styleId="FootnoteReference">
    <w:name w:val="footnote reference"/>
    <w:basedOn w:val="DefaultParagraphFont"/>
    <w:uiPriority w:val="99"/>
    <w:unhideWhenUsed/>
    <w:rsid w:val="00B82A5A"/>
    <w:rPr>
      <w:vertAlign w:val="superscript"/>
    </w:rPr>
  </w:style>
  <w:style w:type="paragraph" w:styleId="Revision">
    <w:name w:val="Revision"/>
    <w:hidden/>
    <w:uiPriority w:val="99"/>
    <w:semiHidden/>
    <w:rsid w:val="003F1D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35EFA"/>
  </w:style>
  <w:style w:type="character" w:customStyle="1" w:styleId="EndnoteTextChar">
    <w:name w:val="Endnote Text Char"/>
    <w:basedOn w:val="DefaultParagraphFont"/>
    <w:link w:val="EndnoteText"/>
    <w:uiPriority w:val="99"/>
    <w:rsid w:val="00935EFA"/>
  </w:style>
  <w:style w:type="character" w:styleId="EndnoteReference">
    <w:name w:val="endnote reference"/>
    <w:basedOn w:val="DefaultParagraphFont"/>
    <w:uiPriority w:val="99"/>
    <w:unhideWhenUsed/>
    <w:rsid w:val="00935EFA"/>
    <w:rPr>
      <w:vertAlign w:val="superscript"/>
    </w:rPr>
  </w:style>
  <w:style w:type="character" w:styleId="CommentReference">
    <w:name w:val="annotation reference"/>
    <w:basedOn w:val="DefaultParagraphFont"/>
    <w:uiPriority w:val="99"/>
    <w:semiHidden/>
    <w:unhideWhenUsed/>
    <w:rsid w:val="002B3254"/>
    <w:rPr>
      <w:sz w:val="18"/>
      <w:szCs w:val="18"/>
    </w:rPr>
  </w:style>
  <w:style w:type="paragraph" w:styleId="CommentText">
    <w:name w:val="annotation text"/>
    <w:basedOn w:val="Normal"/>
    <w:link w:val="CommentTextChar"/>
    <w:uiPriority w:val="99"/>
    <w:semiHidden/>
    <w:unhideWhenUsed/>
    <w:rsid w:val="002B3254"/>
  </w:style>
  <w:style w:type="character" w:customStyle="1" w:styleId="CommentTextChar">
    <w:name w:val="Comment Text Char"/>
    <w:basedOn w:val="DefaultParagraphFont"/>
    <w:link w:val="CommentText"/>
    <w:uiPriority w:val="99"/>
    <w:semiHidden/>
    <w:rsid w:val="002B3254"/>
  </w:style>
  <w:style w:type="paragraph" w:styleId="CommentSubject">
    <w:name w:val="annotation subject"/>
    <w:basedOn w:val="CommentText"/>
    <w:next w:val="CommentText"/>
    <w:link w:val="CommentSubjectChar"/>
    <w:uiPriority w:val="99"/>
    <w:semiHidden/>
    <w:unhideWhenUsed/>
    <w:rsid w:val="002B3254"/>
    <w:rPr>
      <w:b/>
      <w:bCs/>
      <w:sz w:val="20"/>
      <w:szCs w:val="20"/>
    </w:rPr>
  </w:style>
  <w:style w:type="character" w:customStyle="1" w:styleId="CommentSubjectChar">
    <w:name w:val="Comment Subject Char"/>
    <w:basedOn w:val="CommentTextChar"/>
    <w:link w:val="CommentSubject"/>
    <w:uiPriority w:val="99"/>
    <w:semiHidden/>
    <w:rsid w:val="002B3254"/>
    <w:rPr>
      <w:b/>
      <w:bCs/>
      <w:sz w:val="20"/>
      <w:szCs w:val="20"/>
    </w:rPr>
  </w:style>
  <w:style w:type="paragraph" w:styleId="BalloonText">
    <w:name w:val="Balloon Text"/>
    <w:basedOn w:val="Normal"/>
    <w:link w:val="BalloonTextChar"/>
    <w:uiPriority w:val="99"/>
    <w:semiHidden/>
    <w:unhideWhenUsed/>
    <w:rsid w:val="002B32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254"/>
    <w:rPr>
      <w:rFonts w:ascii="Lucida Grande" w:hAnsi="Lucida Grande" w:cs="Lucida Grande"/>
      <w:sz w:val="18"/>
      <w:szCs w:val="18"/>
    </w:rPr>
  </w:style>
  <w:style w:type="character" w:styleId="Hyperlink">
    <w:name w:val="Hyperlink"/>
    <w:basedOn w:val="DefaultParagraphFont"/>
    <w:uiPriority w:val="99"/>
    <w:unhideWhenUsed/>
    <w:rsid w:val="002C115A"/>
    <w:rPr>
      <w:color w:val="0000FF" w:themeColor="hyperlink"/>
      <w:u w:val="single"/>
    </w:rPr>
  </w:style>
  <w:style w:type="paragraph" w:styleId="ListParagraph">
    <w:name w:val="List Paragraph"/>
    <w:basedOn w:val="Normal"/>
    <w:uiPriority w:val="34"/>
    <w:qFormat/>
    <w:rsid w:val="009A7F86"/>
    <w:pPr>
      <w:ind w:left="720"/>
      <w:contextualSpacing/>
    </w:pPr>
  </w:style>
  <w:style w:type="paragraph" w:styleId="FootnoteText">
    <w:name w:val="footnote text"/>
    <w:basedOn w:val="Normal"/>
    <w:link w:val="FootnoteTextChar"/>
    <w:uiPriority w:val="99"/>
    <w:unhideWhenUsed/>
    <w:rsid w:val="00B82A5A"/>
  </w:style>
  <w:style w:type="character" w:customStyle="1" w:styleId="FootnoteTextChar">
    <w:name w:val="Footnote Text Char"/>
    <w:basedOn w:val="DefaultParagraphFont"/>
    <w:link w:val="FootnoteText"/>
    <w:uiPriority w:val="99"/>
    <w:rsid w:val="00B82A5A"/>
  </w:style>
  <w:style w:type="character" w:styleId="FootnoteReference">
    <w:name w:val="footnote reference"/>
    <w:basedOn w:val="DefaultParagraphFont"/>
    <w:uiPriority w:val="99"/>
    <w:unhideWhenUsed/>
    <w:rsid w:val="00B82A5A"/>
    <w:rPr>
      <w:vertAlign w:val="superscript"/>
    </w:rPr>
  </w:style>
  <w:style w:type="paragraph" w:styleId="Revision">
    <w:name w:val="Revision"/>
    <w:hidden/>
    <w:uiPriority w:val="99"/>
    <w:semiHidden/>
    <w:rsid w:val="003F1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1814</Words>
  <Characters>10346</Characters>
  <Application>Microsoft Macintosh Word</Application>
  <DocSecurity>0</DocSecurity>
  <Lines>86</Lines>
  <Paragraphs>24</Paragraphs>
  <ScaleCrop>false</ScaleCrop>
  <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 Katz</dc:creator>
  <cp:keywords/>
  <dc:description/>
  <cp:lastModifiedBy>Daniel S. Katz</cp:lastModifiedBy>
  <cp:revision>10</cp:revision>
  <cp:lastPrinted>2013-05-06T20:00:00Z</cp:lastPrinted>
  <dcterms:created xsi:type="dcterms:W3CDTF">2013-09-08T23:24:00Z</dcterms:created>
  <dcterms:modified xsi:type="dcterms:W3CDTF">2013-10-17T15:36:00Z</dcterms:modified>
</cp:coreProperties>
</file>