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D85FF1" w:rsidP="00926F8B">
      <w:pPr>
        <w:pStyle w:val="Heading3"/>
        <w:rPr>
          <w:rFonts w:asciiTheme="majorHAnsi" w:hAnsiTheme="majorHAnsi" w:cstheme="majorHAnsi"/>
          <w:spacing w:val="0"/>
          <w:sz w:val="28"/>
          <w:szCs w:val="28"/>
        </w:rPr>
      </w:pPr>
      <w:r w:rsidRPr="00BF045C">
        <w:rPr>
          <w:rFonts w:asciiTheme="majorHAnsi" w:hAnsiTheme="majorHAnsi" w:cstheme="majorHAnsi"/>
          <w:spacing w:val="0"/>
          <w:sz w:val="28"/>
          <w:szCs w:val="28"/>
        </w:rPr>
        <w:t>Data Story Foundations</w:t>
      </w:r>
      <w:r w:rsidR="00173663">
        <w:rPr>
          <w:rFonts w:asciiTheme="majorHAnsi" w:hAnsiTheme="majorHAnsi" w:cstheme="majorHAnsi"/>
          <w:spacing w:val="0"/>
          <w:sz w:val="28"/>
          <w:szCs w:val="28"/>
        </w:rPr>
        <w:t xml:space="preserve"> (Online)</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712C89">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712C89">
      <w:pPr>
        <w:spacing w:after="0" w:line="360"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consumer of data story (statistical)</w:t>
      </w:r>
      <w:r w:rsidR="000A5124">
        <w:rPr>
          <w:rFonts w:ascii="Calibri Light" w:hAnsi="Calibri Light" w:cs="Calibri Light"/>
        </w:rPr>
        <w:t xml:space="preserve">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83159C">
        <w:rPr>
          <w:rFonts w:ascii="Calibri Light" w:hAnsi="Calibri Light" w:cs="Calibri Light"/>
        </w:rPr>
        <w:t>2) a responsible data story producer</w:t>
      </w:r>
      <w:r w:rsidRPr="00803FDE">
        <w:rPr>
          <w:rFonts w:ascii="Calibri Light" w:hAnsi="Calibri Light" w:cs="Calibri Light"/>
        </w:rPr>
        <w:t>.</w:t>
      </w:r>
    </w:p>
    <w:p w:rsidR="00926F8B" w:rsidRPr="00803FDE" w:rsidRDefault="00926F8B" w:rsidP="00926F8B">
      <w:pPr>
        <w:spacing w:after="0" w:line="240" w:lineRule="auto"/>
        <w:rPr>
          <w:rFonts w:ascii="Calibri Light" w:hAnsi="Calibri Light" w:cs="Calibri Light"/>
        </w:rPr>
      </w:pP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A basic understanding of statistical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questions that interest you.  Being a good consumer and producer of statistical information are beneficial in every walk of life.</w:t>
      </w:r>
    </w:p>
    <w:p w:rsidR="00926F8B" w:rsidRPr="00803FDE" w:rsidRDefault="00926F8B" w:rsidP="00926F8B">
      <w:pPr>
        <w:spacing w:after="0" w:line="240" w:lineRule="auto"/>
        <w:rPr>
          <w:rFonts w:ascii="Calibri Light" w:hAnsi="Calibri Light" w:cs="Calibri Light"/>
        </w:rPr>
      </w:pPr>
    </w:p>
    <w:p w:rsidR="007C0EBD" w:rsidRDefault="007C0EBD">
      <w:pPr>
        <w:rPr>
          <w:rFonts w:ascii="Times New Roman" w:hAnsi="Times New Roman" w:cs="Times New Roman"/>
          <w:b/>
          <w:sz w:val="24"/>
          <w:szCs w:val="24"/>
        </w:rPr>
      </w:pPr>
      <w:r>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r>
        <w:rPr>
          <w:rFonts w:ascii="Calibri Light" w:hAnsi="Calibri Light" w:cs="Calibri Light"/>
          <w:color w:val="000000"/>
          <w:sz w:val="22"/>
          <w:szCs w:val="22"/>
        </w:rPr>
        <w:t>Specifically, students will be able to:</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Utilize R’s basic datatypes and type conversion functions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Import data from files in .csv and .txt formats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Create a dataframe and the add columns and/or rows to it</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Demonstrate proficiency with R operators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Explain how R handles missing or null values</w:t>
      </w:r>
    </w:p>
    <w:p w:rsidR="0031641C" w:rsidRPr="0031641C" w:rsidRDefault="0031641C" w:rsidP="0031641C">
      <w:pPr>
        <w:pStyle w:val="ListParagraph"/>
        <w:numPr>
          <w:ilvl w:val="0"/>
          <w:numId w:val="29"/>
        </w:numPr>
        <w:spacing w:after="0" w:line="240" w:lineRule="auto"/>
        <w:rPr>
          <w:rFonts w:ascii="Calibri Light" w:hAnsi="Calibri Light"/>
        </w:rPr>
      </w:pPr>
      <w:r>
        <w:rPr>
          <w:rFonts w:ascii="Calibri Light" w:hAnsi="Calibri Light"/>
        </w:rPr>
        <w:t>Demonstrate proficiency creating subsets from an existing dataframe</w:t>
      </w:r>
    </w:p>
    <w:p w:rsidR="00D354E9" w:rsidRDefault="00D354E9"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create basic graphs in R.                                                                                                          Specifically, students will be able to:</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Implement sound design principles in the creation of graphs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with R’s graphical parameters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Combine multiple plots into a single output</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creating bar plots, histograms, boxplots, and other graphs</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Specifically, students will be able to: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State the null and research hypotheses</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Compute degrees of freedom and define a critical region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w:t>
      </w:r>
      <w:r w:rsidR="00183305" w:rsidRPr="007739FB">
        <w:rPr>
          <w:rFonts w:ascii="Calibri Light" w:hAnsi="Calibri Light" w:cs="Calibri Light"/>
          <w:color w:val="000000"/>
          <w:sz w:val="22"/>
          <w:szCs w:val="22"/>
        </w:rPr>
        <w:t xml:space="preserve"> statistics using the R programming language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 an effect size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Summarize the results of a study</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4F772E" w:rsidRDefault="00DA445B" w:rsidP="004F772E">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2B233E" w:rsidRPr="00817EDE" w:rsidRDefault="002B233E" w:rsidP="00926F8B">
      <w:pPr>
        <w:spacing w:after="0" w:line="240" w:lineRule="auto"/>
        <w:rPr>
          <w:rFonts w:ascii="Calibri Light" w:hAnsi="Calibri Light" w:cs="Calibri Light"/>
          <w:b/>
          <w:sz w:val="24"/>
          <w:szCs w:val="24"/>
        </w:rPr>
      </w:pPr>
    </w:p>
    <w:p w:rsidR="00C810DA" w:rsidRDefault="00C810DA">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br w:type="page"/>
      </w: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7739FB">
      <w:pPr>
        <w:spacing w:after="0"/>
        <w:rPr>
          <w:rFonts w:ascii="Calibri Light" w:hAnsi="Calibri Light" w:cs="Calibri Light"/>
        </w:rPr>
      </w:pPr>
    </w:p>
    <w:p w:rsidR="00724F58" w:rsidRPr="002A7A5D" w:rsidRDefault="00724F58" w:rsidP="007739FB">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w:t>
      </w:r>
      <w:r>
        <w:rPr>
          <w:rFonts w:ascii="Calibri Light" w:hAnsi="Calibri Light" w:cs="Calibri Light"/>
        </w:rPr>
        <w:t xml:space="preserve"> points</w:t>
      </w:r>
      <w:r>
        <w:rPr>
          <w:rFonts w:ascii="Calibri Light" w:hAnsi="Calibri Light" w:cs="Calibri Light"/>
        </w:rPr>
        <w:t>, 20 points per assignment.</w:t>
      </w:r>
      <w:bookmarkStart w:id="0" w:name="_GoBack"/>
      <w:bookmarkEnd w:id="0"/>
    </w:p>
    <w:p w:rsidR="007739FB" w:rsidRDefault="007739FB" w:rsidP="00926F8B">
      <w:pPr>
        <w:spacing w:after="0" w:line="240" w:lineRule="auto"/>
        <w:rPr>
          <w:rFonts w:ascii="Times New Roman" w:hAnsi="Times New Roman" w:cs="Times New Roman"/>
        </w:rPr>
      </w:pPr>
    </w:p>
    <w:p w:rsidR="00926F8B" w:rsidRPr="006A30AE" w:rsidRDefault="00A2685E" w:rsidP="00F62765">
      <w:pPr>
        <w:suppressAutoHyphens/>
        <w:spacing w:after="0" w:line="276" w:lineRule="auto"/>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t xml:space="preserve">Student Evaluation </w:t>
      </w:r>
      <w:r w:rsidR="00926F8B" w:rsidRPr="006A30AE">
        <w:rPr>
          <w:rFonts w:ascii="Calibri Light" w:hAnsi="Calibri Light" w:cs="Calibri Light"/>
          <w:color w:val="2F5496" w:themeColor="accent5" w:themeShade="BF"/>
          <w:sz w:val="24"/>
          <w:szCs w:val="24"/>
        </w:rPr>
        <w:t>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A2685E">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A2685E">
        <w:rPr>
          <w:rFonts w:ascii="Calibri Light" w:hAnsi="Calibri Light" w:cs="Calibri Light"/>
        </w:rPr>
        <w:t>(25</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A2685E">
        <w:rPr>
          <w:rFonts w:ascii="Calibri Light" w:hAnsi="Calibri Light" w:cs="Calibri Light"/>
          <w:color w:val="2F5496" w:themeColor="accent5" w:themeShade="BF"/>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Pr="00FC18D7"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(propo</w:t>
      </w:r>
      <w:r w:rsidR="00793587" w:rsidRPr="00FC18D7">
        <w:rPr>
          <w:rFonts w:ascii="Calibri Light" w:hAnsi="Calibri Light" w:cs="Calibri Light"/>
        </w:rPr>
        <w:t>rtion correct on Final * 1</w:t>
      </w:r>
      <w:r w:rsidR="00A2685E">
        <w:rPr>
          <w:rFonts w:ascii="Calibri Light" w:hAnsi="Calibri Light" w:cs="Calibri Light"/>
        </w:rPr>
        <w:t>20))/10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p>
    <w:p w:rsidR="00926F8B" w:rsidRDefault="00926F8B" w:rsidP="00926F8B">
      <w:pPr>
        <w:suppressAutoHyphens/>
        <w:spacing w:after="0" w:line="240" w:lineRule="auto"/>
        <w:rPr>
          <w:rFonts w:ascii="Calibri Light" w:hAnsi="Calibri Light" w:cs="Calibri Light"/>
          <w:b/>
          <w:sz w:val="20"/>
          <w:szCs w:val="20"/>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4F772E" w:rsidRDefault="00D570B8" w:rsidP="00D570B8">
      <w:pPr>
        <w:suppressAutoHyphens/>
        <w:spacing w:after="0" w:line="276" w:lineRule="auto"/>
        <w:rPr>
          <w:rFonts w:ascii="Calibri Light" w:hAnsi="Calibri Light" w:cs="Calibri Light"/>
          <w:color w:val="2F5496" w:themeColor="accent5" w:themeShade="BF"/>
          <w:sz w:val="24"/>
          <w:szCs w:val="24"/>
        </w:rPr>
      </w:pPr>
      <w:r w:rsidRPr="004F772E">
        <w:rPr>
          <w:rFonts w:ascii="Calibri Light" w:hAnsi="Calibri Light"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D570B8" w:rsidP="00455608">
      <w:pPr>
        <w:suppressAutoHyphens/>
        <w:spacing w:after="0" w:line="240" w:lineRule="auto"/>
        <w:rPr>
          <w:rFonts w:ascii="Calibri Light" w:hAnsi="Calibri Light"/>
        </w:rPr>
      </w:pPr>
      <w:hyperlink r:id="rId6" w:history="1">
        <w:r w:rsidRPr="00BA2329">
          <w:rPr>
            <w:rStyle w:val="Hyperlink"/>
            <w:rFonts w:ascii="Calibri Light" w:hAnsi="Calibri Light"/>
            <w:color w:val="2F5496" w:themeColor="accent5" w:themeShade="BF"/>
          </w:rPr>
          <w:t>https://catalog.ufl.edu/ugrad/current/regulations/info/attendance.aspx</w:t>
        </w:r>
      </w:hyperlink>
      <w:r w:rsidRPr="00BA2329">
        <w:rPr>
          <w:rFonts w:ascii="Calibri Light" w:hAnsi="Calibri Light"/>
        </w:rPr>
        <w:t>.</w:t>
      </w:r>
    </w:p>
    <w:p w:rsidR="00BA2329" w:rsidRDefault="00BA2329">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br w:type="page"/>
      </w: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3A03BB" w:rsidTr="00EE74CC">
        <w:tc>
          <w:tcPr>
            <w:tcW w:w="985" w:type="dxa"/>
            <w:shd w:val="clear" w:color="auto" w:fill="D9E2F3" w:themeFill="accent5" w:themeFillTint="33"/>
          </w:tcPr>
          <w:p w:rsidR="0064107C" w:rsidRPr="003A03BB" w:rsidRDefault="0064107C" w:rsidP="00AB57F7">
            <w:pPr>
              <w:rPr>
                <w:rFonts w:asciiTheme="majorHAnsi" w:hAnsiTheme="majorHAnsi" w:cstheme="majorHAnsi"/>
                <w:b/>
                <w:sz w:val="20"/>
                <w:szCs w:val="20"/>
              </w:rPr>
            </w:pPr>
            <w:r w:rsidRPr="003A03BB">
              <w:rPr>
                <w:rFonts w:asciiTheme="majorHAnsi" w:hAnsiTheme="majorHAnsi" w:cstheme="majorHAnsi"/>
                <w:b/>
                <w:sz w:val="20"/>
                <w:szCs w:val="20"/>
              </w:rPr>
              <w:t>Date</w:t>
            </w:r>
          </w:p>
        </w:tc>
        <w:tc>
          <w:tcPr>
            <w:tcW w:w="4140" w:type="dxa"/>
            <w:shd w:val="clear" w:color="auto" w:fill="D9E2F3" w:themeFill="accent5" w:themeFillTint="33"/>
          </w:tcPr>
          <w:p w:rsidR="0064107C" w:rsidRPr="003A03BB" w:rsidRDefault="0064107C" w:rsidP="00C9298F">
            <w:pPr>
              <w:rPr>
                <w:rFonts w:asciiTheme="majorHAnsi" w:hAnsiTheme="majorHAnsi" w:cstheme="majorHAnsi"/>
                <w:b/>
                <w:sz w:val="20"/>
                <w:szCs w:val="20"/>
              </w:rPr>
            </w:pPr>
            <w:r>
              <w:rPr>
                <w:rFonts w:asciiTheme="majorHAnsi" w:hAnsiTheme="majorHAnsi" w:cstheme="majorHAnsi"/>
                <w:b/>
                <w:sz w:val="20"/>
                <w:szCs w:val="20"/>
              </w:rPr>
              <w:t>Reading Questions</w:t>
            </w:r>
          </w:p>
        </w:tc>
        <w:tc>
          <w:tcPr>
            <w:tcW w:w="3870" w:type="dxa"/>
            <w:shd w:val="clear" w:color="auto" w:fill="D9E2F3" w:themeFill="accent5" w:themeFillTint="33"/>
          </w:tcPr>
          <w:p w:rsidR="0064107C" w:rsidRPr="003A03BB" w:rsidRDefault="0064107C" w:rsidP="00912188">
            <w:pPr>
              <w:rPr>
                <w:rFonts w:asciiTheme="majorHAnsi" w:hAnsiTheme="majorHAnsi" w:cstheme="majorHAnsi"/>
                <w:b/>
                <w:sz w:val="20"/>
                <w:szCs w:val="20"/>
              </w:rPr>
            </w:pPr>
            <w:r>
              <w:rPr>
                <w:rFonts w:asciiTheme="majorHAnsi" w:hAnsiTheme="majorHAnsi" w:cstheme="majorHAnsi"/>
                <w:b/>
                <w:sz w:val="20"/>
                <w:szCs w:val="20"/>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r>
              <w:rPr>
                <w:rFonts w:asciiTheme="majorHAnsi" w:hAnsiTheme="majorHAnsi" w:cstheme="majorHAnsi"/>
                <w:sz w:val="20"/>
                <w:szCs w:val="20"/>
              </w:rPr>
              <w:t xml:space="preserve">Ch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r>
              <w:rPr>
                <w:rFonts w:asciiTheme="majorHAnsi" w:hAnsiTheme="majorHAnsi" w:cstheme="majorHAnsi"/>
                <w:sz w:val="20"/>
                <w:szCs w:val="20"/>
              </w:rPr>
              <w:t xml:space="preserve">Ch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r>
              <w:rPr>
                <w:rFonts w:asciiTheme="majorHAnsi" w:hAnsiTheme="majorHAnsi" w:cstheme="majorHAnsi"/>
                <w:sz w:val="20"/>
                <w:szCs w:val="20"/>
              </w:rPr>
              <w:t xml:space="preserve">Ch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lastRenderedPageBreak/>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B829B0" w:rsidP="002C4465">
      <w:pPr>
        <w:spacing w:after="0" w:line="276" w:lineRule="auto"/>
        <w:rPr>
          <w:rFonts w:ascii="Calibri Light" w:hAnsi="Calibri Light"/>
          <w:color w:val="1F3864" w:themeColor="accent5" w:themeShade="80"/>
          <w:sz w:val="24"/>
          <w:szCs w:val="24"/>
        </w:rPr>
      </w:pPr>
      <w:r w:rsidRPr="00C810DA">
        <w:rPr>
          <w:rFonts w:ascii="Calibri Light" w:hAnsi="Calibri Light"/>
          <w:color w:val="2F5496" w:themeColor="accent5" w:themeShade="BF"/>
          <w:sz w:val="24"/>
          <w:szCs w:val="24"/>
        </w:rPr>
        <w:t>Students with D</w:t>
      </w:r>
      <w:r w:rsidR="003A03BB" w:rsidRPr="00C810DA">
        <w:rPr>
          <w:rFonts w:ascii="Calibri Light" w:hAnsi="Calibri Light"/>
          <w:color w:val="2F5496" w:themeColor="accent5" w:themeShade="BF"/>
          <w:sz w:val="24"/>
          <w:szCs w:val="24"/>
        </w:rPr>
        <w:t>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C810DA" w:rsidRDefault="003A03BB" w:rsidP="002C4465">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6201E"/>
    <w:rsid w:val="00072661"/>
    <w:rsid w:val="0007793C"/>
    <w:rsid w:val="00082F82"/>
    <w:rsid w:val="000A5124"/>
    <w:rsid w:val="000A7158"/>
    <w:rsid w:val="000B28C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55608"/>
    <w:rsid w:val="00473EF7"/>
    <w:rsid w:val="00475513"/>
    <w:rsid w:val="00476CAF"/>
    <w:rsid w:val="00497B59"/>
    <w:rsid w:val="004A64C7"/>
    <w:rsid w:val="004C48A2"/>
    <w:rsid w:val="004C763E"/>
    <w:rsid w:val="004D5A3A"/>
    <w:rsid w:val="004F6854"/>
    <w:rsid w:val="004F772E"/>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12C89"/>
    <w:rsid w:val="00724F58"/>
    <w:rsid w:val="0075555E"/>
    <w:rsid w:val="00762399"/>
    <w:rsid w:val="007739FB"/>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12188"/>
    <w:rsid w:val="00914D0B"/>
    <w:rsid w:val="00926F8B"/>
    <w:rsid w:val="0092716D"/>
    <w:rsid w:val="00966BF0"/>
    <w:rsid w:val="009677D5"/>
    <w:rsid w:val="009760DA"/>
    <w:rsid w:val="009801B9"/>
    <w:rsid w:val="009A2801"/>
    <w:rsid w:val="009B1B43"/>
    <w:rsid w:val="009B4FB0"/>
    <w:rsid w:val="009B7E30"/>
    <w:rsid w:val="00A15B7B"/>
    <w:rsid w:val="00A20CA2"/>
    <w:rsid w:val="00A2685E"/>
    <w:rsid w:val="00A40F5A"/>
    <w:rsid w:val="00A711ED"/>
    <w:rsid w:val="00AB57F7"/>
    <w:rsid w:val="00AC59D2"/>
    <w:rsid w:val="00AF63BC"/>
    <w:rsid w:val="00B24536"/>
    <w:rsid w:val="00B26FE6"/>
    <w:rsid w:val="00B47E5E"/>
    <w:rsid w:val="00B53C02"/>
    <w:rsid w:val="00B64368"/>
    <w:rsid w:val="00B735E9"/>
    <w:rsid w:val="00B74763"/>
    <w:rsid w:val="00B7530F"/>
    <w:rsid w:val="00B805C5"/>
    <w:rsid w:val="00B829B0"/>
    <w:rsid w:val="00BA006C"/>
    <w:rsid w:val="00BA2329"/>
    <w:rsid w:val="00BF045C"/>
    <w:rsid w:val="00BF1786"/>
    <w:rsid w:val="00BF5DDB"/>
    <w:rsid w:val="00C10CDB"/>
    <w:rsid w:val="00C12339"/>
    <w:rsid w:val="00C20011"/>
    <w:rsid w:val="00C253C9"/>
    <w:rsid w:val="00C444C6"/>
    <w:rsid w:val="00C521E4"/>
    <w:rsid w:val="00C52273"/>
    <w:rsid w:val="00C5492D"/>
    <w:rsid w:val="00C810DA"/>
    <w:rsid w:val="00C82DDA"/>
    <w:rsid w:val="00C86241"/>
    <w:rsid w:val="00C90E88"/>
    <w:rsid w:val="00C9298F"/>
    <w:rsid w:val="00C975A9"/>
    <w:rsid w:val="00CA3D45"/>
    <w:rsid w:val="00CB02C7"/>
    <w:rsid w:val="00CC4040"/>
    <w:rsid w:val="00CE0330"/>
    <w:rsid w:val="00CE5276"/>
    <w:rsid w:val="00D22967"/>
    <w:rsid w:val="00D26DA5"/>
    <w:rsid w:val="00D354E9"/>
    <w:rsid w:val="00D4367F"/>
    <w:rsid w:val="00D570B8"/>
    <w:rsid w:val="00D66CD1"/>
    <w:rsid w:val="00D85FF1"/>
    <w:rsid w:val="00D93F95"/>
    <w:rsid w:val="00DA1463"/>
    <w:rsid w:val="00DA30E6"/>
    <w:rsid w:val="00DA445B"/>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7F937-884A-4B55-84A8-73E5AB82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75</cp:revision>
  <cp:lastPrinted>2016-01-04T20:25:00Z</cp:lastPrinted>
  <dcterms:created xsi:type="dcterms:W3CDTF">2017-05-15T19:01:00Z</dcterms:created>
  <dcterms:modified xsi:type="dcterms:W3CDTF">2018-02-05T19:12:00Z</dcterms:modified>
</cp:coreProperties>
</file>