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EB" w:rsidRPr="002F6CEB" w:rsidRDefault="002F6CEB" w:rsidP="002F6CEB">
      <w:pPr>
        <w:pStyle w:val="Title"/>
        <w:rPr>
          <w:rFonts w:asciiTheme="minorHAnsi" w:hAnsiTheme="minorHAnsi" w:cstheme="majorHAnsi"/>
          <w:spacing w:val="0"/>
          <w:sz w:val="28"/>
          <w:szCs w:val="28"/>
        </w:rPr>
      </w:pPr>
      <w:r w:rsidRPr="002F6CEB">
        <w:rPr>
          <w:rFonts w:cstheme="majorHAnsi"/>
          <w:spacing w:val="0"/>
          <w:sz w:val="32"/>
          <w:szCs w:val="32"/>
        </w:rPr>
        <w:t>DataStory</w:t>
      </w:r>
      <w:r w:rsidR="00BB3EDF">
        <w:rPr>
          <w:rFonts w:cstheme="majorHAnsi"/>
          <w:spacing w:val="0"/>
          <w:sz w:val="32"/>
          <w:szCs w:val="32"/>
        </w:rPr>
        <w:t xml:space="preserve"> Studio</w:t>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t xml:space="preserve">   </w:t>
      </w:r>
      <w:r w:rsidR="00E76903">
        <w:rPr>
          <w:rFonts w:cstheme="majorHAnsi"/>
          <w:spacing w:val="0"/>
          <w:sz w:val="28"/>
          <w:szCs w:val="28"/>
        </w:rPr>
        <w:t>Honors XXXX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711F86" w:rsidP="004F6854">
      <w:pPr>
        <w:suppressAutoHyphens/>
        <w:spacing w:after="0" w:line="240" w:lineRule="auto"/>
        <w:ind w:left="1440" w:hanging="1440"/>
        <w:rPr>
          <w:rFonts w:asciiTheme="majorHAnsi" w:hAnsiTheme="majorHAnsi" w:cstheme="majorHAnsi"/>
          <w:sz w:val="20"/>
          <w:szCs w:val="20"/>
        </w:rPr>
      </w:pPr>
      <w:r>
        <w:rPr>
          <w:rFonts w:asciiTheme="majorHAnsi" w:hAnsiTheme="majorHAnsi" w:cstheme="majorHAnsi"/>
          <w:color w:val="2F5496" w:themeColor="accent5" w:themeShade="BF"/>
        </w:rPr>
        <w:t>TBD</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6A0749" w:rsidRPr="00544A43" w:rsidRDefault="006A0749" w:rsidP="006A0749">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 xml:space="preserve">Course </w:t>
      </w:r>
      <w:r w:rsidR="00AE5AAA">
        <w:rPr>
          <w:rFonts w:asciiTheme="majorHAnsi" w:hAnsiTheme="majorHAnsi" w:cs="Calibri Light"/>
          <w:color w:val="2F5496" w:themeColor="accent5" w:themeShade="BF"/>
          <w:sz w:val="24"/>
          <w:szCs w:val="24"/>
        </w:rPr>
        <w:t>Description</w:t>
      </w:r>
    </w:p>
    <w:p w:rsidR="006A0749" w:rsidRPr="002F6CEB" w:rsidRDefault="006A0749" w:rsidP="006A0749">
      <w:pPr>
        <w:rPr>
          <w:rFonts w:ascii="Calibri Light" w:hAnsi="Calibri Light" w:cs="Helvetica"/>
          <w:szCs w:val="24"/>
        </w:rPr>
      </w:pPr>
      <w:r>
        <w:rPr>
          <w:rFonts w:ascii="Calibri Light" w:hAnsi="Calibri Light" w:cs="Helvetica"/>
          <w:szCs w:val="24"/>
        </w:rPr>
        <w:t xml:space="preserve">In this class, students will acquire basic data science skills to tell a compelling data story.  To that end, you </w:t>
      </w:r>
      <w:r w:rsidRPr="002F6CEB">
        <w:rPr>
          <w:rFonts w:ascii="Calibri Light" w:hAnsi="Calibri Light" w:cs="Helvetica"/>
          <w:szCs w:val="24"/>
        </w:rPr>
        <w:t xml:space="preserve">will first develop a working knowledge of descriptive statistics.  Second, you will acquire the </w:t>
      </w:r>
      <w:r>
        <w:rPr>
          <w:rFonts w:ascii="Calibri Light" w:hAnsi="Calibri Light" w:cs="Helvetica"/>
          <w:szCs w:val="24"/>
        </w:rPr>
        <w:t>ability</w:t>
      </w:r>
      <w:r w:rsidRPr="002F6CEB">
        <w:rPr>
          <w:rFonts w:ascii="Calibri Light" w:hAnsi="Calibri Light" w:cs="Helvetica"/>
          <w:szCs w:val="24"/>
        </w:rPr>
        <w:t xml:space="preserve"> to express that understanding in simple R programs.  And finally, you will put these newly acquired </w:t>
      </w:r>
      <w:r>
        <w:rPr>
          <w:rFonts w:ascii="Calibri Light" w:hAnsi="Calibri Light" w:cs="Helvetica"/>
          <w:szCs w:val="24"/>
        </w:rPr>
        <w:t>skills</w:t>
      </w:r>
      <w:r w:rsidRPr="002F6CEB">
        <w:rPr>
          <w:rFonts w:ascii="Calibri Light" w:hAnsi="Calibri Light" w:cs="Helvetica"/>
          <w:szCs w:val="24"/>
        </w:rPr>
        <w:t xml:space="preserve"> to use in the production of a </w:t>
      </w:r>
      <w:r w:rsidR="00E24337">
        <w:rPr>
          <w:rFonts w:ascii="Calibri Light" w:hAnsi="Calibri Light" w:cs="Helvetica"/>
          <w:szCs w:val="24"/>
        </w:rPr>
        <w:t>DataStory</w:t>
      </w:r>
      <w:r w:rsidR="00E76903">
        <w:rPr>
          <w:rFonts w:ascii="Calibri Light" w:hAnsi="Calibri Light" w:cs="Helvetica"/>
          <w:szCs w:val="24"/>
        </w:rPr>
        <w:t xml:space="preserve"> using RMarkdown</w:t>
      </w:r>
      <w:r w:rsidRPr="002F6CEB">
        <w:rPr>
          <w:rFonts w:ascii="Calibri Light" w:hAnsi="Calibri Light" w:cs="Helvetica"/>
          <w:szCs w:val="24"/>
        </w:rPr>
        <w:t xml:space="preserve">. </w:t>
      </w:r>
    </w:p>
    <w:p w:rsidR="006A0749" w:rsidRPr="002F6CEB" w:rsidRDefault="006A0749" w:rsidP="006A0749">
      <w:pPr>
        <w:rPr>
          <w:rFonts w:ascii="Calibri Light" w:hAnsi="Calibri Light" w:cs="Helvetica"/>
          <w:szCs w:val="24"/>
        </w:rPr>
      </w:pPr>
      <w:r w:rsidRPr="002F6CEB">
        <w:rPr>
          <w:rFonts w:ascii="Calibri Light" w:hAnsi="Calibri Light" w:cs="Helvetica"/>
          <w:szCs w:val="24"/>
        </w:rPr>
        <w:t>A key feature of this course is its focus on active learning.  You will learn by doing, with hands-on assignments and programming projects.  Although this class has no pre-re</w:t>
      </w:r>
      <w:r>
        <w:rPr>
          <w:rFonts w:ascii="Calibri Light" w:hAnsi="Calibri Light" w:cs="Helvetica"/>
          <w:szCs w:val="24"/>
        </w:rPr>
        <w:t>quisites, students shoul</w:t>
      </w:r>
      <w:r w:rsidR="00E24337">
        <w:rPr>
          <w:rFonts w:ascii="Calibri Light" w:hAnsi="Calibri Light" w:cs="Helvetica"/>
          <w:szCs w:val="24"/>
        </w:rPr>
        <w:t>d have a) a question they</w:t>
      </w:r>
      <w:r>
        <w:rPr>
          <w:rFonts w:ascii="Calibri Light" w:hAnsi="Calibri Light" w:cs="Helvetica"/>
          <w:szCs w:val="24"/>
        </w:rPr>
        <w:t xml:space="preserve">.  </w:t>
      </w:r>
      <w:r w:rsidRPr="002F6CEB">
        <w:rPr>
          <w:rFonts w:ascii="Calibri Light" w:hAnsi="Calibri Light" w:cs="Helvetica"/>
          <w:szCs w:val="24"/>
        </w:rPr>
        <w:t xml:space="preserve">An interest in and/or exposure to computer programming is also helpful, though the key determinant of success </w:t>
      </w:r>
      <w:r>
        <w:rPr>
          <w:rFonts w:ascii="Calibri Light" w:hAnsi="Calibri Light" w:cs="Helvetica"/>
          <w:szCs w:val="24"/>
        </w:rPr>
        <w:t>in this class</w:t>
      </w:r>
      <w:r w:rsidRPr="002F6CEB">
        <w:rPr>
          <w:rFonts w:ascii="Calibri Light" w:hAnsi="Calibri Light" w:cs="Helvetica"/>
          <w:szCs w:val="24"/>
        </w:rPr>
        <w:t xml:space="preserve">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p>
    <w:p w:rsidR="00FE6042" w:rsidRPr="00FE6042" w:rsidRDefault="00FE6042" w:rsidP="00FE6042">
      <w:pPr>
        <w:spacing w:after="0" w:line="240" w:lineRule="auto"/>
        <w:rPr>
          <w:rFonts w:asciiTheme="majorHAnsi" w:hAnsiTheme="majorHAnsi" w:cstheme="majorHAnsi"/>
          <w:color w:val="2F5496" w:themeColor="accent5" w:themeShade="BF"/>
        </w:rPr>
      </w:pPr>
    </w:p>
    <w:p w:rsidR="00926F8B" w:rsidRPr="00032143" w:rsidRDefault="00926F8B" w:rsidP="00AE5AAA">
      <w:pPr>
        <w:spacing w:after="12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A470BE" w:rsidRDefault="00A470BE" w:rsidP="00A470BE">
      <w:pPr>
        <w:spacing w:after="0" w:line="240" w:lineRule="auto"/>
        <w:rPr>
          <w:rFonts w:ascii="Calibri Light" w:hAnsi="Calibri Light" w:cs="Calibri Light"/>
          <w:i/>
        </w:rPr>
      </w:pPr>
      <w:r>
        <w:rPr>
          <w:rFonts w:ascii="Calibri Light" w:hAnsi="Calibri Light" w:cs="Calibri Light"/>
        </w:rPr>
        <w:t xml:space="preserve">Salkind, N. J., &amp; Shaw, L. A. (2019) </w:t>
      </w:r>
      <w:r>
        <w:rPr>
          <w:rFonts w:ascii="Calibri Light" w:hAnsi="Calibri Light" w:cs="Calibri Light"/>
          <w:i/>
        </w:rPr>
        <w:t>Statistics for people who (think they) hate statistics using R.  Thousand</w:t>
      </w:r>
    </w:p>
    <w:p w:rsidR="00A470BE" w:rsidRPr="00A470BE" w:rsidRDefault="00A470BE" w:rsidP="00A470BE">
      <w:pPr>
        <w:spacing w:after="0" w:line="240" w:lineRule="auto"/>
        <w:ind w:firstLine="720"/>
        <w:rPr>
          <w:rFonts w:ascii="Calibri Light" w:hAnsi="Calibri Light" w:cs="Calibri Light"/>
        </w:rPr>
      </w:pPr>
      <w:r>
        <w:rPr>
          <w:rFonts w:ascii="Calibri Light" w:hAnsi="Calibri Light" w:cs="Calibri Light"/>
          <w:i/>
        </w:rPr>
        <w:t xml:space="preserve">Oaks, </w:t>
      </w:r>
      <w:r>
        <w:rPr>
          <w:rFonts w:ascii="Calibri Light" w:hAnsi="Calibri Light" w:cs="Calibri Light"/>
        </w:rPr>
        <w:t xml:space="preserve">CA: Sage Publications. </w:t>
      </w:r>
      <w:r w:rsidRPr="00A470BE">
        <w:rPr>
          <w:rFonts w:asciiTheme="majorHAnsi" w:hAnsiTheme="majorHAnsi" w:cstheme="majorHAnsi"/>
        </w:rPr>
        <w:t xml:space="preserve">ISBN </w:t>
      </w:r>
      <w:r w:rsidRPr="00A470BE">
        <w:rPr>
          <w:rFonts w:asciiTheme="majorHAnsi" w:hAnsiTheme="majorHAnsi" w:cstheme="majorHAnsi"/>
          <w:color w:val="333333"/>
          <w:shd w:val="clear" w:color="auto" w:fill="FFFFFF"/>
        </w:rPr>
        <w:t>978-1544324579</w:t>
      </w:r>
    </w:p>
    <w:p w:rsidR="00712C89" w:rsidRDefault="00712C89" w:rsidP="00A30C96">
      <w:pPr>
        <w:spacing w:after="0" w:line="240" w:lineRule="auto"/>
        <w:rPr>
          <w:rFonts w:ascii="Calibri Light" w:hAnsi="Calibri Light" w:cs="Calibri Light"/>
          <w:color w:val="C00000"/>
          <w:sz w:val="24"/>
          <w:szCs w:val="24"/>
        </w:rPr>
      </w:pP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FE6042" w:rsidRDefault="00926F8B" w:rsidP="00A30C96">
      <w:pPr>
        <w:suppressAutoHyphens/>
        <w:spacing w:after="0" w:line="240" w:lineRule="auto"/>
        <w:rPr>
          <w:rFonts w:asciiTheme="majorHAnsi" w:hAnsiTheme="majorHAnsi" w:cstheme="majorHAnsi"/>
          <w:sz w:val="24"/>
          <w:szCs w:val="24"/>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7C4492" w:rsidRPr="006A0749"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A30C96">
      <w:pPr>
        <w:spacing w:after="0" w:line="240" w:lineRule="auto"/>
        <w:rPr>
          <w:rFonts w:ascii="Calibri Light" w:hAnsi="Calibri Light" w:cs="Calibri Light"/>
        </w:rPr>
      </w:pPr>
    </w:p>
    <w:p w:rsidR="007739FB" w:rsidRPr="006A30AE" w:rsidRDefault="00E65B15" w:rsidP="00A30C96">
      <w:pPr>
        <w:spacing w:after="0" w:line="276" w:lineRule="auto"/>
        <w:rPr>
          <w:rStyle w:val="Heading3Char"/>
          <w:rFonts w:asciiTheme="majorHAnsi" w:eastAsiaTheme="minorHAnsi" w:hAnsiTheme="majorHAnsi" w:cstheme="majorHAnsi"/>
          <w:b w:val="0"/>
          <w:color w:val="2F5496" w:themeColor="accent5" w:themeShade="BF"/>
          <w:sz w:val="24"/>
          <w:szCs w:val="24"/>
        </w:rPr>
      </w:pPr>
      <w:r>
        <w:rPr>
          <w:rStyle w:val="Heading3Char"/>
          <w:rFonts w:asciiTheme="majorHAnsi" w:eastAsiaTheme="minorHAnsi" w:hAnsiTheme="majorHAnsi" w:cstheme="majorHAnsi"/>
          <w:b w:val="0"/>
          <w:color w:val="2F5496" w:themeColor="accent5" w:themeShade="BF"/>
          <w:sz w:val="24"/>
          <w:szCs w:val="24"/>
        </w:rPr>
        <w:t>Coding Assignments</w:t>
      </w:r>
    </w:p>
    <w:p w:rsidR="007739FB" w:rsidRPr="00555A7D" w:rsidRDefault="007739FB" w:rsidP="00A30C96">
      <w:pPr>
        <w:spacing w:after="0"/>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A30C96">
      <w:pPr>
        <w:spacing w:after="0" w:line="240" w:lineRule="auto"/>
        <w:rPr>
          <w:rFonts w:ascii="Consolas" w:hAnsi="Consolas" w:cs="Consolas"/>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A30C96">
      <w:pPr>
        <w:spacing w:after="0" w:line="240" w:lineRule="auto"/>
        <w:rPr>
          <w:rFonts w:ascii="Consolas" w:hAnsi="Consolas" w:cs="Consolas"/>
          <w:color w:val="806000"/>
          <w:sz w:val="20"/>
        </w:rPr>
      </w:pPr>
    </w:p>
    <w:p w:rsidR="007739FB" w:rsidRPr="00EC2A58" w:rsidRDefault="007739FB" w:rsidP="00A30C96">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A30C96">
      <w:pPr>
        <w:spacing w:after="0" w:line="240" w:lineRule="auto"/>
        <w:rPr>
          <w:rFonts w:ascii="Consolas" w:hAnsi="Consolas" w:cs="Consolas"/>
          <w:color w:val="0070C0"/>
          <w:sz w:val="20"/>
        </w:rPr>
      </w:pPr>
    </w:p>
    <w:p w:rsidR="007739FB" w:rsidRPr="00657440" w:rsidRDefault="007739FB" w:rsidP="00A30C96">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Etc…</w:t>
      </w:r>
    </w:p>
    <w:p w:rsidR="007739FB" w:rsidRDefault="007739FB" w:rsidP="00A30C96">
      <w:pPr>
        <w:spacing w:after="0" w:line="240" w:lineRule="auto"/>
        <w:rPr>
          <w:rFonts w:ascii="Calibri Light" w:hAnsi="Calibri Light"/>
        </w:rPr>
      </w:pPr>
      <w:r>
        <w:rPr>
          <w:rFonts w:ascii="Calibri Light" w:hAnsi="Calibri Light"/>
        </w:rPr>
        <w:t xml:space="preserve"> </w:t>
      </w:r>
    </w:p>
    <w:p w:rsidR="007739FB" w:rsidRPr="002A7A5D" w:rsidRDefault="007739FB" w:rsidP="00A30C96">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A30C96">
      <w:pPr>
        <w:spacing w:after="0"/>
        <w:rPr>
          <w:rFonts w:ascii="Calibri Light" w:hAnsi="Calibri Light" w:cs="Calibri Light"/>
        </w:rPr>
      </w:pPr>
    </w:p>
    <w:p w:rsidR="007739FB" w:rsidRDefault="007739FB" w:rsidP="00A30C96">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A30C96">
      <w:pPr>
        <w:spacing w:after="0"/>
        <w:rPr>
          <w:rFonts w:ascii="Calibri Light" w:hAnsi="Calibri Light" w:cs="Calibri Light"/>
        </w:rPr>
      </w:pPr>
    </w:p>
    <w:p w:rsidR="00724F58" w:rsidRPr="002A7A5D" w:rsidRDefault="00724F58" w:rsidP="00A30C96">
      <w:pPr>
        <w:spacing w:after="0"/>
        <w:rPr>
          <w:rFonts w:ascii="Calibri Light" w:hAnsi="Calibri Light" w:cs="Calibri Light"/>
        </w:rPr>
      </w:pPr>
      <w:r w:rsidRPr="00DF70A7">
        <w:rPr>
          <w:rFonts w:ascii="Calibri Light" w:hAnsi="Calibri Light" w:cs="Calibri Light"/>
        </w:rPr>
        <w:lastRenderedPageBreak/>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A30C96">
      <w:pPr>
        <w:spacing w:after="0" w:line="240" w:lineRule="auto"/>
        <w:rPr>
          <w:rFonts w:ascii="Times New Roman" w:hAnsi="Times New Roman" w:cs="Times New Roman"/>
        </w:rPr>
      </w:pPr>
    </w:p>
    <w:p w:rsidR="00C76604" w:rsidRPr="00C76604" w:rsidRDefault="00C76604" w:rsidP="006D0A64">
      <w:pPr>
        <w:spacing w:after="120" w:line="240" w:lineRule="auto"/>
        <w:rPr>
          <w:rFonts w:asciiTheme="majorHAnsi" w:eastAsia="Calibri" w:hAnsiTheme="majorHAnsi" w:cs="Calibri"/>
          <w:b/>
          <w:i/>
          <w:color w:val="1F3864" w:themeColor="accent5" w:themeShade="80"/>
          <w:sz w:val="24"/>
          <w:szCs w:val="24"/>
        </w:rPr>
      </w:pPr>
      <w:r w:rsidRPr="00C76604">
        <w:rPr>
          <w:rStyle w:val="Heading3Char"/>
          <w:rFonts w:asciiTheme="majorHAnsi" w:eastAsiaTheme="majorEastAsia" w:hAnsiTheme="majorHAnsi"/>
          <w:b w:val="0"/>
          <w:color w:val="1F3864" w:themeColor="accent5" w:themeShade="80"/>
          <w:sz w:val="24"/>
          <w:szCs w:val="24"/>
        </w:rPr>
        <w:t>Data Story Presentation</w:t>
      </w:r>
    </w:p>
    <w:p w:rsidR="00C76604" w:rsidRDefault="00C76604" w:rsidP="006D0A64">
      <w:pPr>
        <w:spacing w:after="120" w:line="240" w:lineRule="auto"/>
        <w:rPr>
          <w:rFonts w:ascii="Calibri Light" w:hAnsi="Calibri Light"/>
        </w:rPr>
      </w:pPr>
      <w:r>
        <w:rPr>
          <w:rFonts w:ascii="Calibri Light" w:hAnsi="Calibri Light"/>
        </w:rPr>
        <w:t>The</w:t>
      </w:r>
      <w:r w:rsidRPr="00FC1E2F">
        <w:rPr>
          <w:rFonts w:ascii="Calibri Light" w:hAnsi="Calibri Light"/>
        </w:rPr>
        <w:t xml:space="preserve"> data story presentation is an important </w:t>
      </w:r>
      <w:r>
        <w:rPr>
          <w:rFonts w:ascii="Calibri Light" w:hAnsi="Calibri Light"/>
        </w:rPr>
        <w:t>assignment that accounts for almost a quarter</w:t>
      </w:r>
      <w:r w:rsidRPr="00FC1E2F">
        <w:rPr>
          <w:rFonts w:ascii="Calibri Light" w:hAnsi="Calibri Light"/>
        </w:rPr>
        <w:t xml:space="preserve"> of your final grade, or 100 points.  To accomplish this assignment, you </w:t>
      </w:r>
      <w:r>
        <w:rPr>
          <w:rFonts w:ascii="Calibri Light" w:hAnsi="Calibri Light"/>
        </w:rPr>
        <w:t>must create a short video of 4 to 6</w:t>
      </w:r>
      <w:r w:rsidRPr="00FC1E2F">
        <w:rPr>
          <w:rFonts w:ascii="Calibri Light" w:hAnsi="Calibri Light"/>
        </w:rPr>
        <w:t xml:space="preserve"> minutes where you present a data story.  It is important that you </w:t>
      </w:r>
      <w:r w:rsidRPr="00FC1E2F">
        <w:rPr>
          <w:rFonts w:ascii="Calibri Light" w:hAnsi="Calibri Light"/>
          <w:u w:val="single"/>
        </w:rPr>
        <w:t>carefully</w:t>
      </w:r>
      <w:r w:rsidRPr="00FC1E2F">
        <w:rPr>
          <w:rFonts w:ascii="Calibri Light" w:hAnsi="Calibri Light"/>
        </w:rPr>
        <w:t xml:space="preserve"> review the </w:t>
      </w:r>
      <w:r>
        <w:rPr>
          <w:rFonts w:ascii="Calibri Light" w:hAnsi="Calibri Light"/>
        </w:rPr>
        <w:t xml:space="preserve">mini-project </w:t>
      </w:r>
      <w:r w:rsidRPr="00FC1E2F">
        <w:rPr>
          <w:rFonts w:ascii="Calibri Light" w:hAnsi="Calibri Light"/>
        </w:rPr>
        <w:t>presentation rubric as your final grade on this assignment will be based on the criteria listed in that document.  The a</w:t>
      </w:r>
      <w:r>
        <w:rPr>
          <w:rFonts w:ascii="Calibri Light" w:hAnsi="Calibri Light"/>
        </w:rPr>
        <w:t xml:space="preserve">nalysis presented in this </w:t>
      </w:r>
      <w:r w:rsidRPr="00FC1E2F">
        <w:rPr>
          <w:rFonts w:ascii="Calibri Light" w:hAnsi="Calibri Light"/>
        </w:rPr>
        <w:t xml:space="preserve">video must be yours alone and not a derivative.  In other words, do not create a mashup of videos from the internet and submit that as your presentation.  </w:t>
      </w:r>
    </w:p>
    <w:p w:rsidR="00C76604" w:rsidRDefault="00C76604" w:rsidP="00C76604">
      <w:pPr>
        <w:rPr>
          <w:rFonts w:ascii="Calibri Light" w:hAnsi="Calibri Light"/>
        </w:rPr>
      </w:pPr>
      <w:r>
        <w:rPr>
          <w:rFonts w:ascii="Calibri Light" w:hAnsi="Calibri Light"/>
        </w:rPr>
        <w:t>B</w:t>
      </w:r>
      <w:r w:rsidRPr="00FC1E2F">
        <w:rPr>
          <w:rFonts w:ascii="Calibri Light" w:hAnsi="Calibri Light"/>
        </w:rPr>
        <w:t>e sure to reference and properly use the descriptive statistical concepts you learned from th</w:t>
      </w:r>
      <w:r>
        <w:rPr>
          <w:rFonts w:ascii="Calibri Light" w:hAnsi="Calibri Light"/>
        </w:rPr>
        <w:t>e assigned readings.  Y</w:t>
      </w:r>
      <w:r w:rsidRPr="00FC1E2F">
        <w:rPr>
          <w:rFonts w:ascii="Calibri Light" w:hAnsi="Calibri Light"/>
        </w:rPr>
        <w:t>ou do not need to use every concept, just those that are pertinent to your story’s narrative.  Above all else, keep it simple.  Keep it clear.</w:t>
      </w:r>
    </w:p>
    <w:p w:rsidR="00C76604" w:rsidRDefault="00C76604" w:rsidP="00C76604">
      <w:pPr>
        <w:rPr>
          <w:rFonts w:ascii="Calibri Light" w:hAnsi="Calibri Light"/>
        </w:rPr>
      </w:pPr>
      <w:r>
        <w:rPr>
          <w:rFonts w:ascii="Calibri Light" w:hAnsi="Calibri Light"/>
        </w:rPr>
        <w:t>In order to succeed on this assignment, you’ll need to find an interesting dataset to explore.  You might even decide to join two datasets.  The choice of data and the method of analysis is completely up to you.  However, I encourage you to identify an interesting dataset as soon as possible.  Do not wait to do this until the day before the assignment is due!  It is vital that you begin work on this assignment right away because you must submit all of your exploratory data analysis code at the time you submit your data story video.  I want to see the code you wrote to explore your dataset(s) and create the graphics in your video presentation.  Doing quality data analysis requires time – periods of exploration interspersed with moments of reflection – so you’ll want to budget adequate time for this assignment.</w:t>
      </w: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D10D06">
        <w:rPr>
          <w:rFonts w:ascii="Calibri Light" w:hAnsi="Calibri Light" w:cs="Calibri Light"/>
        </w:rPr>
        <w:t xml:space="preserve"> be based on a</w:t>
      </w:r>
      <w:r w:rsidR="003A4502">
        <w:rPr>
          <w:rFonts w:ascii="Calibri Light" w:hAnsi="Calibri Light" w:cs="Calibri Light"/>
        </w:rPr>
        <w:t>ctivities and chapter quizzes (1</w:t>
      </w:r>
      <w:r w:rsidR="00D10D06">
        <w:rPr>
          <w:rFonts w:ascii="Calibri Light" w:hAnsi="Calibri Light" w:cs="Calibri Light"/>
        </w:rPr>
        <w:t xml:space="preserve">00 points as a set),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3A4502">
        <w:rPr>
          <w:rFonts w:ascii="Calibri Light" w:hAnsi="Calibri Light" w:cs="Calibri Light"/>
        </w:rPr>
        <w:t>ssignments (10</w:t>
      </w:r>
      <w:r w:rsidR="00A2685E">
        <w:rPr>
          <w:rFonts w:ascii="Calibri Light" w:hAnsi="Calibri Light" w:cs="Calibri Light"/>
        </w:rPr>
        <w:t>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d</w:t>
      </w:r>
      <w:r w:rsidR="00D10D06">
        <w:rPr>
          <w:rFonts w:ascii="Calibri Light" w:hAnsi="Calibri Light" w:cs="Calibri Light"/>
        </w:rPr>
        <w:t>iscussion forum participation (70 points)</w:t>
      </w:r>
      <w:r w:rsidR="003A4502">
        <w:rPr>
          <w:rFonts w:ascii="Calibri Light" w:hAnsi="Calibri Light" w:cs="Calibri Light"/>
        </w:rPr>
        <w:t>, and final data story video (150) points.</w:t>
      </w:r>
      <w:r w:rsidR="0086201A" w:rsidRPr="00FC18D7">
        <w:rPr>
          <w:rFonts w:ascii="Calibri Light" w:hAnsi="Calibri Light" w:cs="Calibri Light"/>
        </w:rPr>
        <w:br/>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0C4507" w:rsidRPr="00FC18D7" w:rsidRDefault="000C4507" w:rsidP="00A30C96">
      <w:pPr>
        <w:suppressAutoHyphens/>
        <w:spacing w:after="0" w:line="240" w:lineRule="auto"/>
        <w:rPr>
          <w:rFonts w:ascii="Calibri Light" w:hAnsi="Calibri Light" w:cs="Calibri Light"/>
        </w:rPr>
      </w:pPr>
    </w:p>
    <w:p w:rsidR="002B1D93" w:rsidRDefault="002B1D93" w:rsidP="00A30C96">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p>
        </w:tc>
        <w:tc>
          <w:tcPr>
            <w:tcW w:w="1980" w:type="dxa"/>
          </w:tcPr>
          <w:p w:rsidR="002B1D93" w:rsidRDefault="002B1D93" w:rsidP="00926F8B">
            <w:pPr>
              <w:suppressAutoHyphens/>
              <w:rPr>
                <w:rFonts w:ascii="Calibri Light" w:hAnsi="Calibri Light" w:cs="Calibri Light"/>
              </w:rPr>
            </w:pPr>
          </w:p>
        </w:tc>
        <w:tc>
          <w:tcPr>
            <w:tcW w:w="1890" w:type="dxa"/>
          </w:tcPr>
          <w:p w:rsidR="002B1D93" w:rsidRDefault="002B1D93" w:rsidP="00926F8B">
            <w:pPr>
              <w:suppressAutoHyphens/>
              <w:rPr>
                <w:rFonts w:ascii="Calibri Light" w:hAnsi="Calibri Light" w:cs="Calibri Light"/>
              </w:rPr>
            </w:pPr>
          </w:p>
        </w:tc>
      </w:tr>
      <w:tr w:rsidR="00711F86" w:rsidTr="00067674">
        <w:tc>
          <w:tcPr>
            <w:tcW w:w="3150" w:type="dxa"/>
          </w:tcPr>
          <w:p w:rsidR="00711F86" w:rsidRDefault="00711F86" w:rsidP="00926F8B">
            <w:pPr>
              <w:suppressAutoHyphens/>
              <w:rPr>
                <w:rFonts w:ascii="Calibri Light" w:hAnsi="Calibri Light" w:cs="Calibri Light"/>
              </w:rPr>
            </w:pPr>
          </w:p>
        </w:tc>
        <w:tc>
          <w:tcPr>
            <w:tcW w:w="1980" w:type="dxa"/>
          </w:tcPr>
          <w:p w:rsidR="00711F86" w:rsidRDefault="00711F86" w:rsidP="00926F8B">
            <w:pPr>
              <w:suppressAutoHyphens/>
              <w:rPr>
                <w:rFonts w:ascii="Calibri Light" w:hAnsi="Calibri Light" w:cs="Calibri Light"/>
              </w:rPr>
            </w:pPr>
          </w:p>
        </w:tc>
        <w:tc>
          <w:tcPr>
            <w:tcW w:w="1890" w:type="dxa"/>
          </w:tcPr>
          <w:p w:rsidR="00711F86" w:rsidRDefault="00711F86" w:rsidP="00926F8B">
            <w:pPr>
              <w:suppressAutoHyphens/>
              <w:rPr>
                <w:rFonts w:ascii="Calibri Light" w:hAnsi="Calibri Light" w:cs="Calibri Light"/>
              </w:rPr>
            </w:pPr>
          </w:p>
        </w:tc>
      </w:tr>
      <w:tr w:rsidR="002B1D93" w:rsidTr="00067674">
        <w:tc>
          <w:tcPr>
            <w:tcW w:w="3150" w:type="dxa"/>
          </w:tcPr>
          <w:p w:rsidR="002B1D93" w:rsidRDefault="002B1D93" w:rsidP="00926F8B">
            <w:pPr>
              <w:suppressAutoHyphens/>
              <w:rPr>
                <w:rFonts w:ascii="Calibri Light" w:hAnsi="Calibri Light" w:cs="Calibri Light"/>
              </w:rPr>
            </w:pPr>
          </w:p>
        </w:tc>
        <w:tc>
          <w:tcPr>
            <w:tcW w:w="1980" w:type="dxa"/>
          </w:tcPr>
          <w:p w:rsidR="002B1D93" w:rsidRDefault="002B1D93" w:rsidP="00926F8B">
            <w:pPr>
              <w:suppressAutoHyphens/>
              <w:rPr>
                <w:rFonts w:ascii="Calibri Light" w:hAnsi="Calibri Light" w:cs="Calibri Light"/>
              </w:rPr>
            </w:pPr>
          </w:p>
        </w:tc>
        <w:tc>
          <w:tcPr>
            <w:tcW w:w="1890" w:type="dxa"/>
          </w:tcPr>
          <w:p w:rsidR="002B1D93" w:rsidRDefault="002B1D93" w:rsidP="00926F8B">
            <w:pPr>
              <w:suppressAutoHyphens/>
              <w:rPr>
                <w:rFonts w:ascii="Calibri Light" w:hAnsi="Calibri Light" w:cs="Calibri Light"/>
              </w:rPr>
            </w:pPr>
          </w:p>
        </w:tc>
      </w:tr>
      <w:tr w:rsidR="002B1D93" w:rsidTr="00067674">
        <w:tc>
          <w:tcPr>
            <w:tcW w:w="3150" w:type="dxa"/>
          </w:tcPr>
          <w:p w:rsidR="002B1D93" w:rsidRDefault="002B1D93" w:rsidP="00926F8B">
            <w:pPr>
              <w:suppressAutoHyphens/>
              <w:rPr>
                <w:rFonts w:ascii="Calibri Light" w:hAnsi="Calibri Light" w:cs="Calibri Light"/>
              </w:rPr>
            </w:pPr>
          </w:p>
        </w:tc>
        <w:tc>
          <w:tcPr>
            <w:tcW w:w="1980" w:type="dxa"/>
          </w:tcPr>
          <w:p w:rsidR="002B1D93" w:rsidRDefault="002B1D93" w:rsidP="00926F8B">
            <w:pPr>
              <w:suppressAutoHyphens/>
              <w:rPr>
                <w:rFonts w:ascii="Calibri Light" w:hAnsi="Calibri Light" w:cs="Calibri Light"/>
              </w:rPr>
            </w:pPr>
          </w:p>
        </w:tc>
        <w:tc>
          <w:tcPr>
            <w:tcW w:w="1890" w:type="dxa"/>
          </w:tcPr>
          <w:p w:rsidR="002B1D93" w:rsidRDefault="002B1D93" w:rsidP="00926F8B">
            <w:pPr>
              <w:suppressAutoHyphens/>
              <w:rPr>
                <w:rFonts w:ascii="Calibri Light" w:hAnsi="Calibri Light" w:cs="Calibri Light"/>
              </w:rPr>
            </w:pPr>
          </w:p>
        </w:tc>
      </w:tr>
      <w:tr w:rsidR="002B1D93" w:rsidTr="00067674">
        <w:tc>
          <w:tcPr>
            <w:tcW w:w="3150" w:type="dxa"/>
          </w:tcPr>
          <w:p w:rsidR="002B1D93" w:rsidRDefault="002B1D93" w:rsidP="00926F8B">
            <w:pPr>
              <w:suppressAutoHyphens/>
              <w:rPr>
                <w:rFonts w:ascii="Calibri Light" w:hAnsi="Calibri Light" w:cs="Calibri Light"/>
              </w:rPr>
            </w:pPr>
          </w:p>
        </w:tc>
        <w:tc>
          <w:tcPr>
            <w:tcW w:w="1980" w:type="dxa"/>
          </w:tcPr>
          <w:p w:rsidR="002B1D93" w:rsidRDefault="002B1D93" w:rsidP="00926F8B">
            <w:pPr>
              <w:suppressAutoHyphens/>
              <w:rPr>
                <w:rFonts w:ascii="Calibri Light" w:hAnsi="Calibri Light" w:cs="Calibri Light"/>
              </w:rPr>
            </w:pPr>
          </w:p>
        </w:tc>
        <w:tc>
          <w:tcPr>
            <w:tcW w:w="1890" w:type="dxa"/>
          </w:tcPr>
          <w:p w:rsidR="002B1D93" w:rsidRDefault="002B1D93" w:rsidP="00926F8B">
            <w:pPr>
              <w:suppressAutoHyphens/>
              <w:rPr>
                <w:rFonts w:ascii="Calibri Light" w:hAnsi="Calibri Light" w:cs="Calibri Light"/>
              </w:rPr>
            </w:pP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w:t>
      </w:r>
      <w:r w:rsidRPr="00FC18D7">
        <w:rPr>
          <w:rFonts w:ascii="Calibri Light" w:hAnsi="Calibri Light" w:cs="Calibri Light"/>
        </w:rPr>
        <w:lastRenderedPageBreak/>
        <w:t xml:space="preserve">“getting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785FD1"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80029" w:rsidP="00C9298F">
            <w:pPr>
              <w:rPr>
                <w:rFonts w:ascii="Calibri Light" w:hAnsi="Calibri Light" w:cstheme="majorHAnsi"/>
                <w:sz w:val="24"/>
                <w:szCs w:val="24"/>
              </w:rPr>
            </w:pPr>
            <w:r>
              <w:rPr>
                <w:rFonts w:ascii="Calibri Light" w:hAnsi="Calibri Light" w:cstheme="majorHAnsi"/>
                <w:sz w:val="24"/>
                <w:szCs w:val="24"/>
              </w:rPr>
              <w:t>Assignment</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bookmarkStart w:id="0" w:name="_GoBack"/>
            <w:bookmarkEnd w:id="0"/>
          </w:p>
        </w:tc>
      </w:tr>
      <w:tr w:rsidR="00BB3EDF" w:rsidRPr="002B1D93" w:rsidTr="00BB3EDF">
        <w:tc>
          <w:tcPr>
            <w:tcW w:w="985" w:type="dxa"/>
            <w:shd w:val="clear" w:color="auto" w:fill="FFFFFF" w:themeFill="background1"/>
          </w:tcPr>
          <w:p w:rsidR="00BB3EDF" w:rsidRPr="002B1D93" w:rsidRDefault="00BB3EDF" w:rsidP="00AB57F7">
            <w:pPr>
              <w:rPr>
                <w:rFonts w:ascii="Calibri Light" w:hAnsi="Calibri Light" w:cstheme="majorHAnsi"/>
                <w:sz w:val="24"/>
                <w:szCs w:val="24"/>
              </w:rPr>
            </w:pPr>
          </w:p>
        </w:tc>
        <w:tc>
          <w:tcPr>
            <w:tcW w:w="4140" w:type="dxa"/>
            <w:shd w:val="clear" w:color="auto" w:fill="FFFFFF" w:themeFill="background1"/>
          </w:tcPr>
          <w:p w:rsidR="00BB3EDF" w:rsidRPr="002B1D93" w:rsidRDefault="00BB3EDF" w:rsidP="00C9298F">
            <w:pPr>
              <w:rPr>
                <w:rFonts w:ascii="Calibri Light" w:hAnsi="Calibri Light" w:cstheme="majorHAnsi"/>
                <w:sz w:val="24"/>
                <w:szCs w:val="24"/>
              </w:rPr>
            </w:pPr>
          </w:p>
        </w:tc>
        <w:tc>
          <w:tcPr>
            <w:tcW w:w="3870" w:type="dxa"/>
            <w:shd w:val="clear" w:color="auto" w:fill="FFFFFF" w:themeFill="background1"/>
          </w:tcPr>
          <w:p w:rsidR="00BB3EDF" w:rsidRPr="002B1D93" w:rsidRDefault="00BB3EDF" w:rsidP="00912188">
            <w:pPr>
              <w:rPr>
                <w:rFonts w:ascii="Calibri Light" w:hAnsi="Calibri Light" w:cstheme="majorHAnsi"/>
                <w:sz w:val="24"/>
                <w:szCs w:val="24"/>
              </w:rPr>
            </w:pPr>
          </w:p>
        </w:tc>
      </w:tr>
    </w:tbl>
    <w:p w:rsidR="00BB3EDF" w:rsidRDefault="00BB3EDF" w:rsidP="00A30C96">
      <w:pPr>
        <w:spacing w:after="0" w:line="276" w:lineRule="auto"/>
        <w:rPr>
          <w:rFonts w:ascii="Calibri Light" w:hAnsi="Calibri Light"/>
          <w:color w:val="2F5496" w:themeColor="accent5" w:themeShade="BF"/>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032143" w:rsidRPr="00A30C96" w:rsidRDefault="00032143" w:rsidP="00A30C96">
      <w:pPr>
        <w:pStyle w:val="Heading1"/>
        <w:spacing w:beforeLines="60" w:before="144" w:line="240" w:lineRule="auto"/>
        <w:rPr>
          <w:rFonts w:cstheme="majorHAnsi"/>
          <w:color w:val="2F5496" w:themeColor="accent5" w:themeShade="BF"/>
          <w:sz w:val="22"/>
          <w:szCs w:val="22"/>
        </w:rPr>
      </w:pPr>
      <w:bookmarkStart w:id="1" w:name="_Toc347753161"/>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r w:rsidRPr="00032143">
        <w:rPr>
          <w:rFonts w:asciiTheme="majorHAnsi" w:hAnsiTheme="majorHAnsi" w:cstheme="majorHAnsi"/>
          <w:color w:val="0000FF"/>
          <w:sz w:val="22"/>
          <w:szCs w:val="22"/>
        </w:rPr>
        <w:t>www.dso.ufl.edu/drc/</w:t>
      </w:r>
      <w:r w:rsidRPr="00032143">
        <w:rPr>
          <w:rFonts w:asciiTheme="majorHAnsi" w:hAnsiTheme="majorHAnsi" w:cstheme="majorHAnsi"/>
          <w:sz w:val="22"/>
          <w:szCs w:val="22"/>
        </w:rPr>
        <w:t xml:space="preserve">) by providing appropriate documentation. Once registered, 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A30C96">
      <w:pPr>
        <w:pStyle w:val="Default"/>
        <w:spacing w:beforeLines="60" w:before="144"/>
        <w:rPr>
          <w:rFonts w:asciiTheme="majorHAnsi" w:hAnsiTheme="majorHAnsi" w:cstheme="majorHAnsi"/>
          <w:sz w:val="22"/>
          <w:szCs w:val="22"/>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Pr="00A30C96"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U Matter, We Care: If you or a friend is in distress, please contact </w:t>
      </w:r>
      <w:r w:rsidRPr="0043724A">
        <w:rPr>
          <w:rFonts w:asciiTheme="majorHAnsi" w:hAnsiTheme="majorHAnsi" w:cstheme="majorHAnsi"/>
          <w:color w:val="0000FF"/>
          <w:sz w:val="24"/>
          <w:szCs w:val="24"/>
        </w:rPr>
        <w:t xml:space="preserve">umatter@ufl.edu </w:t>
      </w:r>
      <w:r w:rsidRPr="0043724A">
        <w:rPr>
          <w:rFonts w:asciiTheme="majorHAnsi" w:hAnsiTheme="majorHAnsi" w:cstheme="majorHAnsi"/>
          <w:color w:val="000000"/>
          <w:sz w:val="24"/>
          <w:szCs w:val="24"/>
        </w:rPr>
        <w:t xml:space="preserve">or 352 392-1575 so that a team member can reach out to the student.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lastRenderedPageBreak/>
        <w:t xml:space="preserve">Counseling and Wellness Center: </w:t>
      </w:r>
      <w:r w:rsidRPr="0043724A">
        <w:rPr>
          <w:rFonts w:asciiTheme="majorHAnsi" w:hAnsiTheme="majorHAnsi" w:cstheme="majorHAnsi"/>
          <w:color w:val="0000FF"/>
          <w:sz w:val="24"/>
          <w:szCs w:val="24"/>
        </w:rPr>
        <w:t>http://www.counseling.ufl.edu/cwc/Default.aspx</w:t>
      </w:r>
      <w:r w:rsidRPr="0043724A">
        <w:rPr>
          <w:rFonts w:asciiTheme="majorHAnsi" w:hAnsiTheme="majorHAnsi" w:cstheme="majorHAnsi"/>
          <w:color w:val="000000"/>
          <w:sz w:val="24"/>
          <w:szCs w:val="24"/>
        </w:rPr>
        <w:t>, 392-1575;</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Sexual Assault Recovery Services (SARS) at the </w:t>
      </w:r>
      <w:r w:rsidRPr="0043724A">
        <w:rPr>
          <w:rFonts w:asciiTheme="majorHAnsi" w:hAnsiTheme="majorHAnsi" w:cstheme="majorHAnsi"/>
          <w:color w:val="000000"/>
          <w:sz w:val="24"/>
          <w:szCs w:val="24"/>
        </w:rPr>
        <w:t xml:space="preserve">Student Health Care Center, 392-1161.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For emergencies call: University Police Department, </w:t>
      </w:r>
      <w:r w:rsidRPr="0043724A">
        <w:rPr>
          <w:rFonts w:asciiTheme="majorHAnsi" w:hAnsiTheme="majorHAnsi" w:cstheme="majorHAnsi"/>
          <w:color w:val="000000"/>
          <w:sz w:val="24"/>
          <w:szCs w:val="24"/>
        </w:rPr>
        <w:t xml:space="preserve">392-1111 (or 9-1-1 for emergencies). http://www.police.ufl.edu/ </w:t>
      </w:r>
    </w:p>
    <w:p w:rsidR="003E2DEE" w:rsidRDefault="003E2DEE" w:rsidP="00A30C96">
      <w:pPr>
        <w:pStyle w:val="Heading2"/>
        <w:spacing w:beforeLines="60" w:before="144" w:line="240" w:lineRule="auto"/>
        <w:rPr>
          <w:rFonts w:cstheme="majorHAnsi"/>
          <w:color w:val="2F5496" w:themeColor="accent5" w:themeShade="BF"/>
          <w:sz w:val="24"/>
          <w:szCs w:val="24"/>
        </w:rPr>
      </w:pPr>
      <w:bookmarkStart w:id="4" w:name="_Toc347753164"/>
    </w:p>
    <w:p w:rsidR="00C27AD2" w:rsidRPr="00CF182D" w:rsidRDefault="00C27AD2" w:rsidP="00A30C96">
      <w:pPr>
        <w:pStyle w:val="Heading2"/>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Tigert Hall, </w:t>
      </w:r>
      <w:r w:rsidRPr="00032143">
        <w:rPr>
          <w:rFonts w:asciiTheme="majorHAnsi" w:hAnsiTheme="majorHAnsi" w:cstheme="majorHAnsi"/>
          <w:color w:val="000000"/>
        </w:rPr>
        <w:t>846-1138. Help brainstorming, formatting, and writing papers. http://writing.ufl.edu/writing-studio/</w:t>
      </w:r>
    </w:p>
    <w:p w:rsidR="00C27AD2" w:rsidRPr="00A30C96" w:rsidRDefault="00C27AD2" w:rsidP="00A30C96">
      <w:pPr>
        <w:pStyle w:val="Heading1"/>
        <w:spacing w:beforeLines="60" w:before="144" w:line="240" w:lineRule="auto"/>
        <w:rPr>
          <w:rFonts w:cstheme="majorHAnsi"/>
          <w:sz w:val="22"/>
          <w:szCs w:val="22"/>
        </w:rPr>
      </w:pPr>
      <w:bookmarkStart w:id="5" w:name="_Toc347753165"/>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6" w:name="_Toc347753168"/>
      <w:bookmarkEnd w:id="5"/>
      <w:r w:rsidRPr="00CF182D">
        <w:rPr>
          <w:rFonts w:cstheme="majorHAnsi"/>
          <w:color w:val="2F5496" w:themeColor="accent5" w:themeShade="BF"/>
          <w:sz w:val="24"/>
          <w:szCs w:val="24"/>
        </w:rPr>
        <w:t>University Honesty Policy</w:t>
      </w:r>
      <w:bookmarkEnd w:id="6"/>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032143">
        <w:rPr>
          <w:rFonts w:asciiTheme="majorHAnsi" w:hAnsiTheme="majorHAnsi" w:cstheme="majorHAnsi"/>
          <w:color w:val="0000FF"/>
          <w:sz w:val="22"/>
          <w:szCs w:val="22"/>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i/>
        </w:rPr>
      </w:pPr>
      <w:r w:rsidRPr="00032143">
        <w:rPr>
          <w:rFonts w:asciiTheme="majorHAnsi" w:hAnsiTheme="majorHAnsi" w:cstheme="majorHAnsi"/>
          <w:bCs/>
          <w:i/>
        </w:rPr>
        <w:t>Additional comments regarding academic integrity</w:t>
      </w:r>
      <w:r w:rsidRPr="00032143">
        <w:rPr>
          <w:rFonts w:asciiTheme="majorHAnsi" w:hAnsiTheme="majorHAnsi" w:cstheme="majorHAnsi"/>
          <w:i/>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are encouraged to discuss material with each other from the course, help each other understand concepts, study together, and even discuss assessment questions with each other once the quiz window is closed. However, the following is considered academic dishonesty, and I expect that no student will ever do any of the following: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Have another person complete a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Copy another student’s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Collaborate with anyone during a quiz in this course</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Discuss the questions and answers of a quiz with other students while the quiz window is still open</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Manipulate and/or distribute any materials provided in this course for any purpose (including course lecture slides).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Use any materials provided by a previous student in the course </w:t>
      </w:r>
    </w:p>
    <w:p w:rsidR="00C27AD2" w:rsidRPr="0043724A" w:rsidRDefault="00C27AD2" w:rsidP="00A30C96">
      <w:pPr>
        <w:spacing w:beforeLines="60" w:before="144" w:after="0" w:line="240" w:lineRule="auto"/>
        <w:rPr>
          <w:rFonts w:asciiTheme="majorHAnsi" w:hAnsiTheme="majorHAnsi" w:cstheme="majorHAnsi"/>
          <w:sz w:val="24"/>
          <w:szCs w:val="24"/>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7" w:name="_Toc347753170"/>
      <w:r w:rsidRPr="00CF182D">
        <w:rPr>
          <w:rFonts w:cstheme="majorHAnsi"/>
          <w:color w:val="2F5496" w:themeColor="accent5" w:themeShade="BF"/>
          <w:sz w:val="24"/>
          <w:szCs w:val="24"/>
        </w:rPr>
        <w:lastRenderedPageBreak/>
        <w:t>University of Florida Complaints Policy and Student Complaint Process</w:t>
      </w:r>
      <w:bookmarkEnd w:id="7"/>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Residential Course: </w:t>
      </w:r>
      <w:hyperlink r:id="rId8" w:history="1">
        <w:r w:rsidRPr="00032143">
          <w:rPr>
            <w:rFonts w:asciiTheme="majorHAnsi" w:hAnsiTheme="majorHAnsi" w:cstheme="majorHAnsi"/>
            <w:u w:val="single"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9" w:history="1">
        <w:r w:rsidRPr="00032143">
          <w:rPr>
            <w:rFonts w:asciiTheme="majorHAnsi" w:hAnsiTheme="majorHAnsi" w:cstheme="majorHAnsi"/>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0EE8"/>
    <w:rsid w:val="00032143"/>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C794A"/>
    <w:rsid w:val="001D09A4"/>
    <w:rsid w:val="001D4387"/>
    <w:rsid w:val="001D4F03"/>
    <w:rsid w:val="001D7724"/>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6CEB"/>
    <w:rsid w:val="002F7B54"/>
    <w:rsid w:val="003019DC"/>
    <w:rsid w:val="00313DB2"/>
    <w:rsid w:val="0031641C"/>
    <w:rsid w:val="00326CC6"/>
    <w:rsid w:val="00327905"/>
    <w:rsid w:val="00327ED1"/>
    <w:rsid w:val="00337F85"/>
    <w:rsid w:val="00350F7C"/>
    <w:rsid w:val="003538CA"/>
    <w:rsid w:val="0036278B"/>
    <w:rsid w:val="0036748E"/>
    <w:rsid w:val="00396941"/>
    <w:rsid w:val="003A03BB"/>
    <w:rsid w:val="003A4502"/>
    <w:rsid w:val="003B6C14"/>
    <w:rsid w:val="003C0F10"/>
    <w:rsid w:val="003D7FE2"/>
    <w:rsid w:val="003E2DEE"/>
    <w:rsid w:val="003E2ED6"/>
    <w:rsid w:val="003F25E9"/>
    <w:rsid w:val="0040069E"/>
    <w:rsid w:val="00400CF5"/>
    <w:rsid w:val="00402295"/>
    <w:rsid w:val="00410AEB"/>
    <w:rsid w:val="00411BFC"/>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44A43"/>
    <w:rsid w:val="00555A7D"/>
    <w:rsid w:val="00562A12"/>
    <w:rsid w:val="0057152D"/>
    <w:rsid w:val="0058723B"/>
    <w:rsid w:val="00592EB9"/>
    <w:rsid w:val="005B77B0"/>
    <w:rsid w:val="005D7013"/>
    <w:rsid w:val="005E5859"/>
    <w:rsid w:val="00612267"/>
    <w:rsid w:val="00624BE1"/>
    <w:rsid w:val="0063225F"/>
    <w:rsid w:val="0064107C"/>
    <w:rsid w:val="00680029"/>
    <w:rsid w:val="0068558C"/>
    <w:rsid w:val="006A0749"/>
    <w:rsid w:val="006A30AE"/>
    <w:rsid w:val="006B0153"/>
    <w:rsid w:val="006D0A64"/>
    <w:rsid w:val="006E5D37"/>
    <w:rsid w:val="006F47E0"/>
    <w:rsid w:val="006F4A72"/>
    <w:rsid w:val="00711F86"/>
    <w:rsid w:val="00712C89"/>
    <w:rsid w:val="00724F58"/>
    <w:rsid w:val="0075555E"/>
    <w:rsid w:val="00762399"/>
    <w:rsid w:val="007739FB"/>
    <w:rsid w:val="00776A4C"/>
    <w:rsid w:val="00785FD1"/>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63822"/>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30C96"/>
    <w:rsid w:val="00A40F5A"/>
    <w:rsid w:val="00A470BE"/>
    <w:rsid w:val="00A711ED"/>
    <w:rsid w:val="00A73F41"/>
    <w:rsid w:val="00AB57F7"/>
    <w:rsid w:val="00AC59D2"/>
    <w:rsid w:val="00AE327E"/>
    <w:rsid w:val="00AE5AAA"/>
    <w:rsid w:val="00AF63BC"/>
    <w:rsid w:val="00B24536"/>
    <w:rsid w:val="00B26FE6"/>
    <w:rsid w:val="00B47E5E"/>
    <w:rsid w:val="00B53C02"/>
    <w:rsid w:val="00B64368"/>
    <w:rsid w:val="00B735E9"/>
    <w:rsid w:val="00B74763"/>
    <w:rsid w:val="00B7530F"/>
    <w:rsid w:val="00B805C5"/>
    <w:rsid w:val="00B829B0"/>
    <w:rsid w:val="00B86FB6"/>
    <w:rsid w:val="00B94729"/>
    <w:rsid w:val="00BA006C"/>
    <w:rsid w:val="00BA2329"/>
    <w:rsid w:val="00BB3EDF"/>
    <w:rsid w:val="00BF045C"/>
    <w:rsid w:val="00BF1786"/>
    <w:rsid w:val="00BF5DDB"/>
    <w:rsid w:val="00C10CDB"/>
    <w:rsid w:val="00C12339"/>
    <w:rsid w:val="00C13BBC"/>
    <w:rsid w:val="00C20011"/>
    <w:rsid w:val="00C253C9"/>
    <w:rsid w:val="00C27AD2"/>
    <w:rsid w:val="00C444C6"/>
    <w:rsid w:val="00C521E4"/>
    <w:rsid w:val="00C52273"/>
    <w:rsid w:val="00C5492D"/>
    <w:rsid w:val="00C75DA7"/>
    <w:rsid w:val="00C76604"/>
    <w:rsid w:val="00C810DA"/>
    <w:rsid w:val="00C82DDA"/>
    <w:rsid w:val="00C86241"/>
    <w:rsid w:val="00C90E88"/>
    <w:rsid w:val="00C9298F"/>
    <w:rsid w:val="00C96673"/>
    <w:rsid w:val="00C975A9"/>
    <w:rsid w:val="00CA3D45"/>
    <w:rsid w:val="00CB02C7"/>
    <w:rsid w:val="00CB77DF"/>
    <w:rsid w:val="00CC4040"/>
    <w:rsid w:val="00CD0157"/>
    <w:rsid w:val="00CD769C"/>
    <w:rsid w:val="00CE0330"/>
    <w:rsid w:val="00CE5276"/>
    <w:rsid w:val="00CE7D8D"/>
    <w:rsid w:val="00CF182D"/>
    <w:rsid w:val="00D0394C"/>
    <w:rsid w:val="00D10D06"/>
    <w:rsid w:val="00D22967"/>
    <w:rsid w:val="00D26DA5"/>
    <w:rsid w:val="00D354E9"/>
    <w:rsid w:val="00D4367F"/>
    <w:rsid w:val="00D570B8"/>
    <w:rsid w:val="00D66CD1"/>
    <w:rsid w:val="00D719F0"/>
    <w:rsid w:val="00D85FF1"/>
    <w:rsid w:val="00D93F95"/>
    <w:rsid w:val="00DA1463"/>
    <w:rsid w:val="00DA30E6"/>
    <w:rsid w:val="00DA445B"/>
    <w:rsid w:val="00DB1506"/>
    <w:rsid w:val="00DB356D"/>
    <w:rsid w:val="00DE08A9"/>
    <w:rsid w:val="00DF70A7"/>
    <w:rsid w:val="00DF747B"/>
    <w:rsid w:val="00E12A58"/>
    <w:rsid w:val="00E24337"/>
    <w:rsid w:val="00E27C06"/>
    <w:rsid w:val="00E427DA"/>
    <w:rsid w:val="00E536FE"/>
    <w:rsid w:val="00E65B15"/>
    <w:rsid w:val="00E76903"/>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835A1"/>
    <w:rsid w:val="00FC0A65"/>
    <w:rsid w:val="00FC18D7"/>
    <w:rsid w:val="00FE1C93"/>
    <w:rsid w:val="00FE556F"/>
    <w:rsid w:val="00FE604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A962"/>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o.ufl.edu/documents/UF_Complaints_policy.pdf" TargetMode="Externa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tance.ufl.edu/student-complai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C661-992B-41A2-8E1F-73341235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23</cp:revision>
  <cp:lastPrinted>2016-01-04T20:25:00Z</cp:lastPrinted>
  <dcterms:created xsi:type="dcterms:W3CDTF">2018-04-27T18:15:00Z</dcterms:created>
  <dcterms:modified xsi:type="dcterms:W3CDTF">2019-11-14T20:04:00Z</dcterms:modified>
</cp:coreProperties>
</file>