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B2D5B"/>
          <w:sz w:val="34"/>
          <w:szCs w:val="34"/>
        </w:rPr>
        <w:t xml:space="preserve">HealthMatch</w:t>
      </w:r>
    </w:p>
    <w:p>
      <w:pPr>
        <w:pBdr>
          <w:bottom w:val="single" w:color="0B74D1" w:sz="10" w:space="4"/>
        </w:pBdr>
        <w:spacing w:after="120"/>
      </w:pPr>
      <w:r>
        <w:rPr>
          <w:rFonts w:ascii="Arial" w:cs="Arial" w:eastAsia="Arial" w:hAnsi="Arial"/>
          <w:color w:val="0B74D1"/>
          <w:sz w:val="22"/>
          <w:szCs w:val="22"/>
        </w:rPr>
        <w:t xml:space="preserve">Resumo executivo para a Diretoria da Coaph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 ·   Junho 2026   ·   Confidencial</w:t>
      </w:r>
    </w:p>
    <w:p>
      <w:pPr>
        <w:pBdr>
          <w:left w:val="single" w:color="1F6FB2" w:sz="18" w:space="8"/>
        </w:pBdr>
        <w:shd w:fill="EEF4FA" w:val="clear"/>
        <w:spacing w:after="100" w:before="40" w:line="248"/>
      </w:pPr>
      <w:r>
        <w:rPr>
          <w:rFonts w:ascii="Arial" w:cs="Arial" w:eastAsia="Arial" w:hAnsi="Arial"/>
          <w:b/>
          <w:bCs/>
          <w:color w:val="0B2D5B"/>
          <w:sz w:val="18"/>
          <w:szCs w:val="18"/>
        </w:rPr>
        <w:t xml:space="preserve">A decisão: </w:t>
      </w:r>
      <w:r>
        <w:rPr>
          <w:rFonts w:ascii="Arial" w:cs="Arial" w:eastAsia="Arial" w:hAnsi="Arial"/>
          <w:sz w:val="18"/>
          <w:szCs w:val="18"/>
        </w:rPr>
        <w:t xml:space="preserve">investir R$ 1,5 mi (trancheado) no HealthMatch como software de automação operacional — justificado pela redução do custo de prepostos da Coaph (~R$ 240 mil/mês), independentemente de escala externa. A expansão para outras cooperativas, hospitais e setor público é upside opcional.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0B2D5B"/>
          <w:sz w:val="19"/>
          <w:szCs w:val="19"/>
        </w:rPr>
        <w:t xml:space="preserve">O custo que atacamos</w:t>
      </w:r>
    </w:p>
    <w:p>
      <w:pPr>
        <w:spacing w:after="70" w:line="240"/>
      </w:pPr>
      <w:r>
        <w:rPr>
          <w:rFonts w:ascii="Arial" w:cs="Arial" w:eastAsia="Arial" w:hAnsi="Arial"/>
          <w:sz w:val="18"/>
          <w:szCs w:val="18"/>
        </w:rPr>
        <w:t xml:space="preserve">A Coaph gasta hoje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~R$ 240 mil/mês (R$ 2,88 mi/ano)</w:t>
      </w:r>
      <w:r>
        <w:rPr>
          <w:rFonts w:ascii="Arial" w:cs="Arial" w:eastAsia="Arial" w:hAnsi="Arial"/>
          <w:sz w:val="18"/>
          <w:szCs w:val="18"/>
        </w:rPr>
        <w:t xml:space="preserve"> com prepostos na gestão manual de plantões, escalas, contatos, confirmações e conciliação financeira. O HealthMatch automatiza esse fluxo: matching, abordagem por IA no WhatsApp, confirmações e financeiro — reduzindo horas manuais e, com redesenho do processo, o custo.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0B2D5B"/>
          <w:sz w:val="19"/>
          <w:szCs w:val="19"/>
        </w:rPr>
        <w:t xml:space="preserve">Tese defensiva — payback só com a economia interna</w:t>
      </w:r>
    </w:p>
    <w:tbl>
      <w:tblPr>
        <w:tblW w:type="dxa" w:w="8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1500"/>
        <w:gridCol w:w="1700"/>
        <w:gridCol w:w="16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Cenário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Economia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Economia/ano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Payback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ROI 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Conservador (base)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R$ 720 mil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~25 meses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Realista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R$ 1,44 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~12,5 meses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Otimista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R$ 2,16 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~8,3 meses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144%</w:t>
            </w:r>
          </w:p>
        </w:tc>
      </w:tr>
    </w:tbl>
    <w:p>
      <w:pPr>
        <w:spacing w:after="80" w:before="50" w:line="224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100% (R$ 2,88 mi/ano, payback ~6,3 m) é teto teórico — não é premissa. Base de defesa: 25% a 50%. Mesmo no conservador, o aporte se paga em ~2 anos sem nenhum cliente externo.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0B2D5B"/>
          <w:sz w:val="19"/>
          <w:szCs w:val="19"/>
        </w:rPr>
        <w:t xml:space="preserve">Duas teses, separadas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0B2D5B"/>
          <w:sz w:val="18"/>
          <w:szCs w:val="18"/>
        </w:rPr>
        <w:t xml:space="preserve">Defensiva (base da decisão): </w:t>
      </w:r>
      <w:r>
        <w:rPr>
          <w:rFonts w:ascii="Arial" w:cs="Arial" w:eastAsia="Arial" w:hAnsi="Arial"/>
          <w:sz w:val="18"/>
          <w:szCs w:val="18"/>
        </w:rPr>
        <w:t xml:space="preserve">reduzir o custo operacional da própria Coaph. </w:t>
      </w:r>
      <w:r>
        <w:rPr>
          <w:rFonts w:ascii="Arial" w:cs="Arial" w:eastAsia="Arial" w:hAnsi="Arial"/>
          <w:b/>
          <w:bCs/>
          <w:color w:val="0B2D5B"/>
          <w:sz w:val="18"/>
          <w:szCs w:val="18"/>
        </w:rPr>
        <w:t xml:space="preserve">Ofensiva (upside opcional): </w:t>
      </w:r>
      <w:r>
        <w:rPr>
          <w:rFonts w:ascii="Arial" w:cs="Arial" w:eastAsia="Arial" w:hAnsi="Arial"/>
          <w:sz w:val="18"/>
          <w:szCs w:val="18"/>
        </w:rPr>
        <w:t xml:space="preserve">virar plataforma escalável (outras cooperativas, hospitais, setor público) — receita recorrente + take-rate. Não é premissa da decisão.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0B2D5B"/>
          <w:sz w:val="19"/>
          <w:szCs w:val="19"/>
        </w:rPr>
        <w:t xml:space="preserve">Condições para investir (todas obrigatórias)</w:t>
      </w:r>
    </w:p>
    <w:p>
      <w:pPr>
        <w:pStyle w:val="ListParagraph"/>
        <w:numPr>
          <w:ilvl w:val="0"/>
          <w:numId w:val="1"/>
        </w:numPr>
        <w:spacing w:after="30" w:line="232"/>
      </w:pPr>
      <w:r>
        <w:rPr>
          <w:rFonts w:ascii="Arial" w:cs="Arial" w:eastAsia="Arial" w:hAnsi="Arial"/>
          <w:sz w:val="18"/>
          <w:szCs w:val="18"/>
        </w:rPr>
        <w:t xml:space="preserve">Coaph assina contrato como cliente-âncora, separado do instrumento de investimento.</w:t>
      </w:r>
    </w:p>
    <w:p>
      <w:pPr>
        <w:pStyle w:val="ListParagraph"/>
        <w:numPr>
          <w:ilvl w:val="0"/>
          <w:numId w:val="1"/>
        </w:numPr>
        <w:spacing w:after="30" w:line="232"/>
      </w:pPr>
      <w:r>
        <w:rPr>
          <w:rFonts w:ascii="Arial" w:cs="Arial" w:eastAsia="Arial" w:hAnsi="Arial"/>
          <w:sz w:val="18"/>
          <w:szCs w:val="18"/>
        </w:rPr>
        <w:t xml:space="preserve">Investimento trancheado — não desembolso único.</w:t>
      </w:r>
    </w:p>
    <w:p>
      <w:pPr>
        <w:pStyle w:val="ListParagraph"/>
        <w:numPr>
          <w:ilvl w:val="0"/>
          <w:numId w:val="1"/>
        </w:numPr>
        <w:spacing w:after="30" w:line="232"/>
      </w:pPr>
      <w:r>
        <w:rPr>
          <w:rFonts w:ascii="Arial" w:cs="Arial" w:eastAsia="Arial" w:hAnsi="Arial"/>
          <w:sz w:val="18"/>
          <w:szCs w:val="18"/>
        </w:rPr>
        <w:t xml:space="preserve">Cada tranche liberada contra metas reais de adoção e economia comprovada.</w:t>
      </w:r>
    </w:p>
    <w:p>
      <w:pPr>
        <w:pStyle w:val="ListParagraph"/>
        <w:numPr>
          <w:ilvl w:val="0"/>
          <w:numId w:val="1"/>
        </w:numPr>
        <w:spacing w:after="30" w:line="232"/>
      </w:pPr>
      <w:r>
        <w:rPr>
          <w:rFonts w:ascii="Arial" w:cs="Arial" w:eastAsia="Arial" w:hAnsi="Arial"/>
          <w:sz w:val="18"/>
          <w:szCs w:val="18"/>
        </w:rPr>
        <w:t xml:space="preserve">KPIs claros (custo de prepostos antes/depois, horas eliminadas, economia realizada) + comitê mensal Coaph + HealthMatch.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0B2D5B"/>
          <w:sz w:val="19"/>
          <w:szCs w:val="19"/>
        </w:rPr>
        <w:t xml:space="preserve">Tranches por resultado (total R$ 1,5 mi)</w:t>
      </w:r>
    </w:p>
    <w:tbl>
      <w:tblPr>
        <w:tblW w:type="dxa" w:w="8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600"/>
        <w:gridCol w:w="5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Tranche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Gatilho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Tranche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R$ 300–500 mil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Assinatura + início: piloto, implantação, hardening, LGPD, integrações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Tranche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~R$ 500 mil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Economia comprovada ≥ R$ 50 mil/mês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Tranche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~R$ 600 mil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24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Economia ≥ R$ 100 mil/mês (ou volume operacional equivalente)</w:t>
            </w:r>
          </w:p>
        </w:tc>
      </w:tr>
    </w:tbl>
    <w:p>
      <w:pPr>
        <w:shd w:fill="0B2D5B" w:val="clear"/>
        <w:spacing w:after="100" w:before="160" w:line="25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Recomendação: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investir SE as condições acima forem atendidas. Para um investidor financeiro puro, ainda é cedo; para a Coaph, é racional — porque há uma economia concreta e mensurável sendo atacada, com downside limitado e upside aberto.  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Coaph</dc:title>
  <dc:creator>HealthMatch</dc:creator>
  <cp:lastModifiedBy>Un-named</cp:lastModifiedBy>
  <cp:revision>1</cp:revision>
  <dcterms:created xsi:type="dcterms:W3CDTF">2026-06-23T05:17:30.909Z</dcterms:created>
  <dcterms:modified xsi:type="dcterms:W3CDTF">2026-06-23T05:17:30.917Z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