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700"/>
      </w:pPr>
      <w:r>
        <w:rPr>
          <w:rFonts w:ascii="Arial" w:cs="Arial" w:eastAsia="Arial" w:hAnsi="Arial"/>
          <w:b/>
          <w:bCs/>
          <w:color w:val="0B2D5B"/>
          <w:sz w:val="72"/>
          <w:szCs w:val="72"/>
        </w:rPr>
        <w:t xml:space="preserve">HealthMatch</w:t>
      </w:r>
    </w:p>
    <w:p>
      <w:pPr>
        <w:pBdr>
          <w:bottom w:val="single" w:color="0B74D1" w:sz="12" w:space="6"/>
        </w:pBdr>
        <w:spacing w:after="240"/>
      </w:pPr>
      <w:r>
        <w:rPr>
          <w:rFonts w:ascii="Arial" w:cs="Arial" w:eastAsia="Arial" w:hAnsi="Arial"/>
          <w:color w:val="0B74D1"/>
          <w:sz w:val="40"/>
          <w:szCs w:val="40"/>
        </w:rPr>
        <w:t xml:space="preserve">Business Plan</w:t>
      </w:r>
    </w:p>
    <w:p>
      <w:pPr>
        <w:spacing w:after="560" w:line="264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Camada de contingência para escalas de saúde — começando pela Coaph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Versão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Piloto + Pre-seed (revisão pós-reunião Coaph)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Junho /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Estágio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Pré-lançamento — produto funcionalmente pronto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Âncora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Coaph (Fortaleza / CE) — cliente-âncora + financiador do piloto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Produto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Gap-filling: cobre a exceção (descobertas/no-shows), não toda a escala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Ask atual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Piloto de R$ 300 mil (rodada plena de R$ 1,5 mi depois do piloto)</w:t>
            </w:r>
          </w:p>
        </w:tc>
      </w:tr>
    </w:tbl>
    <w:p>
      <w:pPr>
        <w:spacing w:after="360"/>
      </w:pPr>
    </w:p>
    <w:p>
      <w:pPr>
        <w:pBdr>
          <w:left w:val="single" w:color="1F6FB2" w:sz="18" w:space="8"/>
        </w:pBdr>
        <w:shd w:fill="EEF4FA" w:val="clear"/>
        <w:spacing w:after="160" w:before="80" w:line="252"/>
      </w:pPr>
      <w:r>
        <w:rPr>
          <w:rFonts w:ascii="Arial" w:cs="Arial" w:eastAsia="Arial" w:hAnsi="Arial"/>
          <w:i/>
          <w:iCs/>
          <w:color w:val="333333"/>
          <w:sz w:val="18"/>
          <w:szCs w:val="18"/>
        </w:rPr>
        <w:t xml:space="preserve">Documento confidencial. Empresa em pré-lançamento, sem receita realizada. A economia parte de números informados pela Coaph (prepostos ~R$ 240 mil/mês; plantão médico 12h = R$ 1.200) e de premissas conservadoras e editáveis sobre o gap (🔹). Sobrepreço emergencial e penalidade são as premissas de maior peso — o piloto existe para validá-las.</w:t>
      </w:r>
    </w:p>
    <w:p>
      <w:r>
        <w:br w:type="page"/>
      </w:r>
    </w:p>
    <w:p>
      <w:pPr>
        <w:spacing w:after="240"/>
      </w:pPr>
      <w:r>
        <w:rPr>
          <w:rFonts w:ascii="Arial" w:cs="Arial" w:eastAsia="Arial" w:hAnsi="Arial"/>
          <w:b/>
          <w:bCs/>
          <w:color w:val="0B2D5B"/>
          <w:sz w:val="32"/>
          <w:szCs w:val="32"/>
        </w:rPr>
        <w:t xml:space="preserve">Sumário</w:t>
      </w:r>
    </w:p>
    <w:p>
      <w:pPr>
        <w:tabs>
          <w:tab w:val="right" w:pos="9026" w:leader="dot"/>
        </w:tabs>
        <w:spacing w:after="90" w:line="264"/>
      </w:pPr>
      <w:r>
        <w:rPr>
          <w:rFonts w:ascii="Arial" w:cs="Arial" w:eastAsia="Arial" w:hAnsi="Arial"/>
          <w:color w:val="1A2B45"/>
          <w:sz w:val="22"/>
          <w:szCs w:val="22"/>
        </w:rPr>
        <w:t xml:space="preserve">1. Sumário executivo</w:t>
      </w:r>
      <w:r>
        <w:rPr>
          <w:rFonts w:ascii="Arial" w:cs="Arial" w:eastAsia="Arial" w:hAnsi="Arial"/>
          <w:b/>
          <w:bCs/>
          <w:color w:val="0B2D5B"/>
          <w:sz w:val="22"/>
          <w:szCs w:val="22"/>
        </w:rPr>
        <w:t xml:space="preserve">	3</w:t>
      </w:r>
    </w:p>
    <w:p>
      <w:pPr>
        <w:tabs>
          <w:tab w:val="right" w:pos="9026" w:leader="dot"/>
        </w:tabs>
        <w:spacing w:after="90" w:line="264"/>
      </w:pPr>
      <w:r>
        <w:rPr>
          <w:rFonts w:ascii="Arial" w:cs="Arial" w:eastAsia="Arial" w:hAnsi="Arial"/>
          <w:color w:val="1A2B45"/>
          <w:sz w:val="22"/>
          <w:szCs w:val="22"/>
        </w:rPr>
        <w:t xml:space="preserve">2. O problema: o gap, não a escala inteira</w:t>
      </w:r>
      <w:r>
        <w:rPr>
          <w:rFonts w:ascii="Arial" w:cs="Arial" w:eastAsia="Arial" w:hAnsi="Arial"/>
          <w:b/>
          <w:bCs/>
          <w:color w:val="0B2D5B"/>
          <w:sz w:val="22"/>
          <w:szCs w:val="22"/>
        </w:rPr>
        <w:t xml:space="preserve">	4</w:t>
      </w:r>
    </w:p>
    <w:p>
      <w:pPr>
        <w:tabs>
          <w:tab w:val="right" w:pos="9026" w:leader="dot"/>
        </w:tabs>
        <w:spacing w:after="90" w:line="264"/>
      </w:pPr>
      <w:r>
        <w:rPr>
          <w:rFonts w:ascii="Arial" w:cs="Arial" w:eastAsia="Arial" w:hAnsi="Arial"/>
          <w:color w:val="1A2B45"/>
          <w:sz w:val="22"/>
          <w:szCs w:val="22"/>
        </w:rPr>
        <w:t xml:space="preserve">3. A solução: uma camada de contingência</w:t>
      </w:r>
      <w:r>
        <w:rPr>
          <w:rFonts w:ascii="Arial" w:cs="Arial" w:eastAsia="Arial" w:hAnsi="Arial"/>
          <w:b/>
          <w:bCs/>
          <w:color w:val="0B2D5B"/>
          <w:sz w:val="22"/>
          <w:szCs w:val="22"/>
        </w:rPr>
        <w:t xml:space="preserve">	5</w:t>
      </w:r>
    </w:p>
    <w:p>
      <w:pPr>
        <w:tabs>
          <w:tab w:val="right" w:pos="9026" w:leader="dot"/>
        </w:tabs>
        <w:spacing w:after="90" w:line="264"/>
      </w:pPr>
      <w:r>
        <w:rPr>
          <w:rFonts w:ascii="Arial" w:cs="Arial" w:eastAsia="Arial" w:hAnsi="Arial"/>
          <w:color w:val="1A2B45"/>
          <w:sz w:val="22"/>
          <w:szCs w:val="22"/>
        </w:rPr>
        <w:t xml:space="preserve">4. A tese de investimento (defensiva + ofensiva)</w:t>
      </w:r>
      <w:r>
        <w:rPr>
          <w:rFonts w:ascii="Arial" w:cs="Arial" w:eastAsia="Arial" w:hAnsi="Arial"/>
          <w:b/>
          <w:bCs/>
          <w:color w:val="0B2D5B"/>
          <w:sz w:val="22"/>
          <w:szCs w:val="22"/>
        </w:rPr>
        <w:t xml:space="preserve">	6</w:t>
      </w:r>
    </w:p>
    <w:p>
      <w:pPr>
        <w:tabs>
          <w:tab w:val="right" w:pos="9026" w:leader="dot"/>
        </w:tabs>
        <w:spacing w:after="90" w:line="264"/>
      </w:pPr>
      <w:r>
        <w:rPr>
          <w:rFonts w:ascii="Arial" w:cs="Arial" w:eastAsia="Arial" w:hAnsi="Arial"/>
          <w:color w:val="1A2B45"/>
          <w:sz w:val="22"/>
          <w:szCs w:val="22"/>
        </w:rPr>
        <w:t xml:space="preserve">5. Business Case para a Coaph</w:t>
      </w:r>
      <w:r>
        <w:rPr>
          <w:rFonts w:ascii="Arial" w:cs="Arial" w:eastAsia="Arial" w:hAnsi="Arial"/>
          <w:b/>
          <w:bCs/>
          <w:color w:val="0B2D5B"/>
          <w:sz w:val="22"/>
          <w:szCs w:val="22"/>
        </w:rPr>
        <w:t xml:space="preserve">	7</w:t>
      </w:r>
    </w:p>
    <w:p>
      <w:pPr>
        <w:tabs>
          <w:tab w:val="right" w:pos="9026" w:leader="dot"/>
        </w:tabs>
        <w:spacing w:after="90" w:line="264"/>
      </w:pPr>
      <w:r>
        <w:rPr>
          <w:rFonts w:ascii="Arial" w:cs="Arial" w:eastAsia="Arial" w:hAnsi="Arial"/>
          <w:color w:val="1A2B45"/>
          <w:sz w:val="22"/>
          <w:szCs w:val="22"/>
        </w:rPr>
        <w:t xml:space="preserve">6. Modelo de receita</w:t>
      </w:r>
      <w:r>
        <w:rPr>
          <w:rFonts w:ascii="Arial" w:cs="Arial" w:eastAsia="Arial" w:hAnsi="Arial"/>
          <w:b/>
          <w:bCs/>
          <w:color w:val="0B2D5B"/>
          <w:sz w:val="22"/>
          <w:szCs w:val="22"/>
        </w:rPr>
        <w:t xml:space="preserve">	8</w:t>
      </w:r>
    </w:p>
    <w:p>
      <w:pPr>
        <w:tabs>
          <w:tab w:val="right" w:pos="9026" w:leader="dot"/>
        </w:tabs>
        <w:spacing w:after="90" w:line="264"/>
      </w:pPr>
      <w:r>
        <w:rPr>
          <w:rFonts w:ascii="Arial" w:cs="Arial" w:eastAsia="Arial" w:hAnsi="Arial"/>
          <w:color w:val="1A2B45"/>
          <w:sz w:val="22"/>
          <w:szCs w:val="22"/>
        </w:rPr>
        <w:t xml:space="preserve">7. Mercado (upside da escala)</w:t>
      </w:r>
      <w:r>
        <w:rPr>
          <w:rFonts w:ascii="Arial" w:cs="Arial" w:eastAsia="Arial" w:hAnsi="Arial"/>
          <w:b/>
          <w:bCs/>
          <w:color w:val="0B2D5B"/>
          <w:sz w:val="22"/>
          <w:szCs w:val="22"/>
        </w:rPr>
        <w:t xml:space="preserve">	9</w:t>
      </w:r>
    </w:p>
    <w:p>
      <w:pPr>
        <w:tabs>
          <w:tab w:val="right" w:pos="9026" w:leader="dot"/>
        </w:tabs>
        <w:spacing w:after="90" w:line="264"/>
      </w:pPr>
      <w:r>
        <w:rPr>
          <w:rFonts w:ascii="Arial" w:cs="Arial" w:eastAsia="Arial" w:hAnsi="Arial"/>
          <w:color w:val="1A2B45"/>
          <w:sz w:val="22"/>
          <w:szCs w:val="22"/>
        </w:rPr>
        <w:t xml:space="preserve">8. Estratégia de Go-to-Market</w:t>
      </w:r>
      <w:r>
        <w:rPr>
          <w:rFonts w:ascii="Arial" w:cs="Arial" w:eastAsia="Arial" w:hAnsi="Arial"/>
          <w:b/>
          <w:bCs/>
          <w:color w:val="0B2D5B"/>
          <w:sz w:val="22"/>
          <w:szCs w:val="22"/>
        </w:rPr>
        <w:t xml:space="preserve">	10</w:t>
      </w:r>
    </w:p>
    <w:p>
      <w:pPr>
        <w:tabs>
          <w:tab w:val="right" w:pos="9026" w:leader="dot"/>
        </w:tabs>
        <w:spacing w:after="90" w:line="264"/>
      </w:pPr>
      <w:r>
        <w:rPr>
          <w:rFonts w:ascii="Arial" w:cs="Arial" w:eastAsia="Arial" w:hAnsi="Arial"/>
          <w:color w:val="1A2B45"/>
          <w:sz w:val="22"/>
          <w:szCs w:val="22"/>
        </w:rPr>
        <w:t xml:space="preserve">9. Estrutura operacional e equipe</w:t>
      </w:r>
      <w:r>
        <w:rPr>
          <w:rFonts w:ascii="Arial" w:cs="Arial" w:eastAsia="Arial" w:hAnsi="Arial"/>
          <w:b/>
          <w:bCs/>
          <w:color w:val="0B2D5B"/>
          <w:sz w:val="22"/>
          <w:szCs w:val="22"/>
        </w:rPr>
        <w:t xml:space="preserve">	11</w:t>
      </w:r>
    </w:p>
    <w:p>
      <w:pPr>
        <w:tabs>
          <w:tab w:val="right" w:pos="9026" w:leader="dot"/>
        </w:tabs>
        <w:spacing w:after="90" w:line="264"/>
      </w:pPr>
      <w:r>
        <w:rPr>
          <w:rFonts w:ascii="Arial" w:cs="Arial" w:eastAsia="Arial" w:hAnsi="Arial"/>
          <w:color w:val="1A2B45"/>
          <w:sz w:val="22"/>
          <w:szCs w:val="22"/>
        </w:rPr>
        <w:t xml:space="preserve">10. Plano financeiro do HealthMatch (escala)</w:t>
      </w:r>
      <w:r>
        <w:rPr>
          <w:rFonts w:ascii="Arial" w:cs="Arial" w:eastAsia="Arial" w:hAnsi="Arial"/>
          <w:b/>
          <w:bCs/>
          <w:color w:val="0B2D5B"/>
          <w:sz w:val="22"/>
          <w:szCs w:val="22"/>
        </w:rPr>
        <w:t xml:space="preserve">	12</w:t>
      </w:r>
    </w:p>
    <w:p>
      <w:pPr>
        <w:tabs>
          <w:tab w:val="right" w:pos="9026" w:leader="dot"/>
        </w:tabs>
        <w:spacing w:after="90" w:line="264"/>
      </w:pPr>
      <w:r>
        <w:rPr>
          <w:rFonts w:ascii="Arial" w:cs="Arial" w:eastAsia="Arial" w:hAnsi="Arial"/>
          <w:color w:val="1A2B45"/>
          <w:sz w:val="22"/>
          <w:szCs w:val="22"/>
        </w:rPr>
        <w:t xml:space="preserve">11. KPIs do piloto Coaph</w:t>
      </w:r>
      <w:r>
        <w:rPr>
          <w:rFonts w:ascii="Arial" w:cs="Arial" w:eastAsia="Arial" w:hAnsi="Arial"/>
          <w:b/>
          <w:bCs/>
          <w:color w:val="0B2D5B"/>
          <w:sz w:val="22"/>
          <w:szCs w:val="22"/>
        </w:rPr>
        <w:t xml:space="preserve">	13</w:t>
      </w:r>
    </w:p>
    <w:p>
      <w:pPr>
        <w:tabs>
          <w:tab w:val="right" w:pos="9026" w:leader="dot"/>
        </w:tabs>
        <w:spacing w:after="90" w:line="264"/>
      </w:pPr>
      <w:r>
        <w:rPr>
          <w:rFonts w:ascii="Arial" w:cs="Arial" w:eastAsia="Arial" w:hAnsi="Arial"/>
          <w:color w:val="1A2B45"/>
          <w:sz w:val="22"/>
          <w:szCs w:val="22"/>
        </w:rPr>
        <w:t xml:space="preserve">12. Análise SWOT</w:t>
      </w:r>
      <w:r>
        <w:rPr>
          <w:rFonts w:ascii="Arial" w:cs="Arial" w:eastAsia="Arial" w:hAnsi="Arial"/>
          <w:b/>
          <w:bCs/>
          <w:color w:val="0B2D5B"/>
          <w:sz w:val="22"/>
          <w:szCs w:val="22"/>
        </w:rPr>
        <w:t xml:space="preserve">	14</w:t>
      </w:r>
    </w:p>
    <w:p>
      <w:pPr>
        <w:tabs>
          <w:tab w:val="right" w:pos="9026" w:leader="dot"/>
        </w:tabs>
        <w:spacing w:after="90" w:line="264"/>
      </w:pPr>
      <w:r>
        <w:rPr>
          <w:rFonts w:ascii="Arial" w:cs="Arial" w:eastAsia="Arial" w:hAnsi="Arial"/>
          <w:color w:val="1A2B45"/>
          <w:sz w:val="22"/>
          <w:szCs w:val="22"/>
        </w:rPr>
        <w:t xml:space="preserve">13. Riscos e plano de mitigação</w:t>
      </w:r>
      <w:r>
        <w:rPr>
          <w:rFonts w:ascii="Arial" w:cs="Arial" w:eastAsia="Arial" w:hAnsi="Arial"/>
          <w:b/>
          <w:bCs/>
          <w:color w:val="0B2D5B"/>
          <w:sz w:val="22"/>
          <w:szCs w:val="22"/>
        </w:rPr>
        <w:t xml:space="preserve">	15</w:t>
      </w:r>
    </w:p>
    <w:p>
      <w:pPr>
        <w:tabs>
          <w:tab w:val="right" w:pos="9026" w:leader="dot"/>
        </w:tabs>
        <w:spacing w:after="90" w:line="264"/>
      </w:pPr>
      <w:r>
        <w:rPr>
          <w:rFonts w:ascii="Arial" w:cs="Arial" w:eastAsia="Arial" w:hAnsi="Arial"/>
          <w:color w:val="1A2B45"/>
          <w:sz w:val="22"/>
          <w:szCs w:val="22"/>
        </w:rPr>
        <w:t xml:space="preserve">14. Recomendação de investimento</w:t>
      </w:r>
      <w:r>
        <w:rPr>
          <w:rFonts w:ascii="Arial" w:cs="Arial" w:eastAsia="Arial" w:hAnsi="Arial"/>
          <w:b/>
          <w:bCs/>
          <w:color w:val="0B2D5B"/>
          <w:sz w:val="22"/>
          <w:szCs w:val="22"/>
        </w:rPr>
        <w:t xml:space="preserve">	16</w:t>
      </w:r>
    </w:p>
    <w:p>
      <w:pPr>
        <w:tabs>
          <w:tab w:val="right" w:pos="9026" w:leader="dot"/>
        </w:tabs>
        <w:spacing w:after="90" w:line="264"/>
      </w:pPr>
      <w:r>
        <w:rPr>
          <w:rFonts w:ascii="Arial" w:cs="Arial" w:eastAsia="Arial" w:hAnsi="Arial"/>
          <w:color w:val="1A2B45"/>
          <w:sz w:val="22"/>
          <w:szCs w:val="22"/>
        </w:rPr>
        <w:t xml:space="preserve">15. Roadmap</w:t>
      </w:r>
      <w:r>
        <w:rPr>
          <w:rFonts w:ascii="Arial" w:cs="Arial" w:eastAsia="Arial" w:hAnsi="Arial"/>
          <w:b/>
          <w:bCs/>
          <w:color w:val="0B2D5B"/>
          <w:sz w:val="22"/>
          <w:szCs w:val="22"/>
        </w:rPr>
        <w:t xml:space="preserve">	17</w:t>
      </w:r>
    </w:p>
    <w:p>
      <w:pPr>
        <w:pStyle w:val="Heading1"/>
        <w:pageBreakBefore/>
      </w:pPr>
      <w:r>
        <w:t xml:space="preserve">1. Sumário executivo</w:t>
      </w:r>
    </w:p>
    <w:p>
      <w:pPr>
        <w:spacing w:after="120" w:line="264"/>
      </w:pPr>
      <w:r>
        <w:rPr>
          <w:rFonts w:ascii="Arial" w:cs="Arial" w:eastAsia="Arial" w:hAnsi="Arial"/>
          <w:b/>
          <w:bCs/>
          <w:color w:val="0B2D5B"/>
          <w:sz w:val="22"/>
          <w:szCs w:val="22"/>
        </w:rPr>
        <w:t xml:space="preserve">O HealthMatch é uma camada de contingência para escalas de saúde.</w:t>
      </w:r>
      <w:r>
        <w:rPr>
          <w:rFonts w:ascii="Arial" w:cs="Arial" w:eastAsia="Arial" w:hAnsi="Arial"/>
          <w:sz w:val="22"/>
          <w:szCs w:val="22"/>
        </w:rPr>
        <w:t xml:space="preserve"> Ele não gerencia toda a escala da cooperativa — resolve o gap: o plantão que não fecha, o no-show, a exceção de última hora. Usar a plataforma é a exceção, não a regra. É onde se concentram o maior custo, risco e dor.</w:t>
      </w:r>
    </w:p>
    <w:p>
      <w:pPr>
        <w:spacing w:after="120" w:line="264"/>
      </w:pPr>
      <w:r>
        <w:rPr>
          <w:rFonts w:ascii="Arial" w:cs="Arial" w:eastAsia="Arial" w:hAnsi="Arial"/>
          <w:b/>
          <w:bCs/>
          <w:color w:val="0B2D5B"/>
          <w:sz w:val="22"/>
          <w:szCs w:val="22"/>
        </w:rPr>
        <w:t xml:space="preserve">O cliente-âncora é a Coaph,</w:t>
      </w:r>
      <w:r>
        <w:rPr>
          <w:rFonts w:ascii="Arial" w:cs="Arial" w:eastAsia="Arial" w:hAnsi="Arial"/>
          <w:sz w:val="22"/>
          <w:szCs w:val="22"/>
        </w:rPr>
        <w:t xml:space="preserve"> que hoje sustenta uma operação manual de prepostos (~R$ 240 mil/mês) e arca com o custo do gap: telefonemas, sobrepreço de cobertura emergencial e penalidade/risco quando o plantão fica descoberto.</w:t>
      </w:r>
    </w:p>
    <w:p>
      <w:pPr>
        <w:pStyle w:val="Heading2"/>
      </w:pPr>
      <w:r>
        <w:t xml:space="preserve">Duas teses, separadas e honestas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700"/>
        <w:gridCol w:w="3663"/>
        <w:gridCol w:w="3663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D5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6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D5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Tese defensiva</w:t>
            </w:r>
          </w:p>
        </w:tc>
        <w:tc>
          <w:tcPr>
            <w:tcW w:type="dxa" w:w="36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D5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Tese ofensiva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Lógica</w:t>
            </w:r>
          </w:p>
        </w:tc>
        <w:tc>
          <w:tcPr>
            <w:tcW w:type="dxa" w:w="36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Cortar o custo do gap e capturar receita de vagas ociosas na Coaph</w:t>
            </w:r>
          </w:p>
        </w:tc>
        <w:tc>
          <w:tcPr>
            <w:tcW w:type="dxa" w:w="36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Escalar a contingência para outras cooperativas/hospitais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Métrica</w:t>
            </w:r>
          </w:p>
        </w:tc>
        <w:tc>
          <w:tcPr>
            <w:tcW w:type="dxa" w:w="36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Economia operacional + margem de vagas recuperadas</w:t>
            </w:r>
          </w:p>
        </w:tc>
        <w:tc>
          <w:tcPr>
            <w:tcW w:type="dxa" w:w="36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Receita recorrente (SaaS de prontidão + fee)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Papel</w:t>
            </w:r>
          </w:p>
        </w:tc>
        <w:tc>
          <w:tcPr>
            <w:tcW w:type="dxa" w:w="36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Justifica o PILOTO</w:t>
            </w:r>
          </w:p>
        </w:tc>
        <w:tc>
          <w:tcPr>
            <w:tcW w:type="dxa" w:w="36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Justifica a rodada plena (futura)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O que muda nesta revisão (após a reunião com a Coaph)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Cobre o gap, não a escala inteira → volume menor, foco maior.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Margem da cooperativa &lt; 5% → monetização híbrida: SaaS de prontidão + fee por gap capado em ≤ 2%. Take-rate gordo sobre GMV foi descartado.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Investimento redimensionado: o ask agora é um piloto de R$ 300 mil (payback ~2,6 meses, realista) que prova as premissas antes de qualquer rodada maior.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Nova alavanca — receita incremental: a Coaph executa só ~8.000 de 12.000 vagas contratadas (~1/3 ociosas). Preencher parte gera receita que hoje fica na mesa e protege a renovação dos contratos.</w:t>
      </w:r>
    </w:p>
    <w:p>
      <w:pPr>
        <w:spacing w:after="60"/>
      </w:pP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D5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D5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Resumo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Produto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Camada de contingência (gap-filling) com matching + IA no WhatsApp + financeiro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Cliente-âncora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Coaph — assina como cliente (ROI positivo desde o 1º mês)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Monetização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SaaS de prontidão (R$ 8 mil/mês) + fee por gap (≤ 2% do plantão)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Ask atual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Piloto de R$ 300 mil (payback ~2,6 meses)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Economia líquida (Coaph, realista)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~R$ 114,7 mil/mês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Receita incremental (vagas ociosas)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+~R$ 36 mil/mês · ~R$ 3,6 mi/mês de GMV na mesa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Benefício total Coaph (realista)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~R$ 169,5 mil/mês (economia + receita)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Rodada plena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R$ 1,5 mi depois do piloto, justificada pela escala (ofensiva)</w:t>
            </w:r>
          </w:p>
        </w:tc>
      </w:tr>
    </w:tbl>
    <w:p>
      <w:pPr>
        <w:spacing w:after="80"/>
      </w:pPr>
    </w:p>
    <w:p>
      <w:pPr>
        <w:pBdr>
          <w:left w:val="single" w:color="1F6FB2" w:sz="18" w:space="8"/>
        </w:pBdr>
        <w:shd w:fill="EEF4FA" w:val="clear"/>
        <w:spacing w:after="160" w:before="80" w:line="252"/>
      </w:pPr>
      <w:r>
        <w:rPr>
          <w:rFonts w:ascii="Arial" w:cs="Arial" w:eastAsia="Arial" w:hAnsi="Arial"/>
          <w:i/>
          <w:iCs/>
          <w:color w:val="333333"/>
          <w:sz w:val="18"/>
          <w:szCs w:val="18"/>
        </w:rPr>
        <w:t xml:space="preserve">Enquadramento honesto: como projeto de eficiência puro, a economia de prepostos sozinha não pagaria R$ 1,5 mi rápido (~40 meses). Por isso a decisão se divide: a Coaph assina como cliente (ganha já) e financia um piloto enxuto que valida o custo real do gap; a rodada de equity maior fica para depois, decidida com dados.</w:t>
      </w:r>
    </w:p>
    <w:p>
      <w:pPr>
        <w:pStyle w:val="Heading1"/>
        <w:pageBreakBefore/>
      </w:pPr>
      <w:r>
        <w:t xml:space="preserve">2. O problema: o gap, não a escala inteira</w:t>
      </w:r>
    </w:p>
    <w:p>
      <w:pPr>
        <w:spacing w:after="120" w:line="264"/>
      </w:pPr>
      <w:r>
        <w:t xml:space="preserve">A maior parte dos plantões a cooperativa preenche pelo seu processo regular. O problema caro é a exceção: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Plantão que não fecha → penalidade contratual + risco assistencial.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No-show → cobertura emergencial de última hora, quase sempre com sobrepreço.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Horas de preposto desproporcionais gastas nessas exceções (o 20% de casos que consome 80% do esforço).</w:t>
      </w:r>
    </w:p>
    <w:p>
      <w:pPr>
        <w:spacing w:after="40"/>
      </w:pPr>
    </w:p>
    <w:p>
      <w:pPr>
        <w:pBdr>
          <w:left w:val="single" w:color="1F6FB2" w:sz="18" w:space="8"/>
        </w:pBdr>
        <w:shd w:fill="EEF4FA" w:val="clear"/>
        <w:spacing w:after="160" w:before="80" w:line="252"/>
      </w:pPr>
      <w:r>
        <w:rPr>
          <w:rFonts w:ascii="Arial" w:cs="Arial" w:eastAsia="Arial" w:hAnsi="Arial"/>
          <w:i/>
          <w:iCs/>
          <w:color w:val="333333"/>
          <w:sz w:val="18"/>
          <w:szCs w:val="18"/>
        </w:rPr>
        <w:t xml:space="preserve">🔹 Na Coaph, estima-se que ~35% do custo de prepostos (R$ 240 mil/mês) esteja ligado a gaps/exceções, além do sobrepreço e das penalidades — valores que o piloto vai medir.</w:t>
      </w:r>
    </w:p>
    <w:p>
      <w:pPr>
        <w:pStyle w:val="Heading1"/>
        <w:pageBreakBefore/>
      </w:pPr>
      <w:r>
        <w:t xml:space="preserve">3. A solução: uma camada de contingência</w:t>
      </w:r>
    </w:p>
    <w:p>
      <w:pPr>
        <w:spacing w:after="120" w:line="264"/>
      </w:pPr>
      <w:r>
        <w:t xml:space="preserve">O HealthMatch entra só quando o processo normal falha. Mantém um pool de contingência pronto e usa: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Matching: cruza especialidade, CBO, credencial, no-show e conflito de agenda — e acha rápido quem pode cobrir.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IA no WhatsApp: aborda, negocia e confirma a cobertura 24/7, com handoff humano em ações críticas.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Financeiro: registra a cobertura e a margem com auditoria.</w:t>
      </w:r>
    </w:p>
    <w:p>
      <w:pPr>
        <w:spacing w:after="40"/>
      </w:pPr>
    </w:p>
    <w:p>
      <w:pPr>
        <w:spacing w:after="120" w:line="264"/>
      </w:pPr>
      <w:r>
        <w:rPr>
          <w:rFonts w:ascii="Arial" w:cs="Arial" w:eastAsia="Arial" w:hAnsi="Arial"/>
          <w:b/>
          <w:bCs/>
          <w:color w:val="0B2D5B"/>
          <w:sz w:val="22"/>
          <w:szCs w:val="22"/>
        </w:rPr>
        <w:t xml:space="preserve">Resultado: </w:t>
      </w:r>
      <w:r>
        <w:rPr>
          <w:rFonts w:ascii="Arial" w:cs="Arial" w:eastAsia="Arial" w:hAnsi="Arial"/>
          <w:sz w:val="22"/>
          <w:szCs w:val="22"/>
        </w:rPr>
        <w:t xml:space="preserve">o gap é coberto em minutos, de um pool pronto, sem o sobrepreço da urgência e sem horas de telefonema — reduzindo penalidade e risco.</w:t>
      </w:r>
    </w:p>
    <w:p>
      <w:pPr>
        <w:spacing w:after="120" w:line="264"/>
      </w:pPr>
      <w:r>
        <w:rPr>
          <w:rFonts w:ascii="Arial" w:cs="Arial" w:eastAsia="Arial" w:hAnsi="Arial"/>
          <w:b/>
          <w:bCs/>
          <w:color w:val="0B2D5B"/>
          <w:sz w:val="22"/>
          <w:szCs w:val="22"/>
        </w:rPr>
        <w:t xml:space="preserve">Produto: </w:t>
      </w:r>
      <w:r>
        <w:rPr>
          <w:rFonts w:ascii="Arial" w:cs="Arial" w:eastAsia="Arial" w:hAnsi="Arial"/>
          <w:sz w:val="22"/>
          <w:szCs w:val="22"/>
        </w:rPr>
        <w:t xml:space="preserve">funcionalmente completo e testado internamente (32/32 testes de API, 14/14 regras de negócio). Stack: NestJS + Prisma + PostgreSQL; Next.js; IA Anthropic; Twilio/WhatsApp; Docker. Lacunas para escala (roadmap): multi-tenancy, billing/split, observabilidade, ativação plena da IA.</w:t>
      </w:r>
    </w:p>
    <w:p>
      <w:pPr>
        <w:pStyle w:val="Heading1"/>
        <w:pageBreakBefore/>
      </w:pPr>
      <w:r>
        <w:t xml:space="preserve">4. A tese de investimento (defensiva + ofensiva)</w:t>
      </w:r>
    </w:p>
    <w:p>
      <w:pPr>
        <w:spacing w:after="120" w:line="264"/>
      </w:pPr>
      <w:r>
        <w:rPr>
          <w:rFonts w:ascii="Arial" w:cs="Arial" w:eastAsia="Arial" w:hAnsi="Arial"/>
          <w:b/>
          <w:bCs/>
          <w:color w:val="0B2D5B"/>
          <w:sz w:val="22"/>
          <w:szCs w:val="22"/>
        </w:rPr>
        <w:t xml:space="preserve">Defensiva (justifica o piloto): </w:t>
      </w:r>
      <w:r>
        <w:rPr>
          <w:rFonts w:ascii="Arial" w:cs="Arial" w:eastAsia="Arial" w:hAnsi="Arial"/>
          <w:sz w:val="22"/>
          <w:szCs w:val="22"/>
        </w:rPr>
        <w:t xml:space="preserve">reduzir o custo do gap na Coaph — tempo de preposto nas exceções + sobrepreço emergencial + penalidade por plantão descoberto. Mensurável e atacável já.</w:t>
      </w:r>
    </w:p>
    <w:p>
      <w:pPr>
        <w:spacing w:after="120" w:line="264"/>
      </w:pPr>
      <w:r>
        <w:rPr>
          <w:rFonts w:ascii="Arial" w:cs="Arial" w:eastAsia="Arial" w:hAnsi="Arial"/>
          <w:b/>
          <w:bCs/>
          <w:color w:val="0B2D5B"/>
          <w:sz w:val="22"/>
          <w:szCs w:val="22"/>
        </w:rPr>
        <w:t xml:space="preserve">Ofensiva (justifica a rodada plena, depois): </w:t>
      </w:r>
      <w:r>
        <w:rPr>
          <w:rFonts w:ascii="Arial" w:cs="Arial" w:eastAsia="Arial" w:hAnsi="Arial"/>
          <w:sz w:val="22"/>
          <w:szCs w:val="22"/>
        </w:rPr>
        <w:t xml:space="preserve">a mesma camada de contingência replicada para outras cooperativas e hospitais. É um SaaS de contingência — modesto e previsível (~R$ 226 mil/ano por cliente), não um marketplace de take-rate gordo.</w:t>
      </w:r>
    </w:p>
    <w:p>
      <w:pPr>
        <w:spacing w:after="120" w:line="264"/>
      </w:pPr>
      <w:r>
        <w:rPr>
          <w:rFonts w:ascii="Arial" w:cs="Arial" w:eastAsia="Arial" w:hAnsi="Arial"/>
          <w:b/>
          <w:bCs/>
          <w:color w:val="0B2D5B"/>
          <w:sz w:val="22"/>
          <w:szCs w:val="22"/>
        </w:rPr>
        <w:t xml:space="preserve">Regra de decisão: </w:t>
      </w:r>
      <w:r>
        <w:rPr>
          <w:rFonts w:ascii="Arial" w:cs="Arial" w:eastAsia="Arial" w:hAnsi="Arial"/>
          <w:sz w:val="22"/>
          <w:szCs w:val="22"/>
        </w:rPr>
        <w:t xml:space="preserve">a Coaph assina como cliente (ganha mensalmente) e financia o piloto (R$ 300 mil, payback ~2,6 meses). A rodada de equity de R$ 1,5 mi só entra depois que o piloto comprovar a economia — justificada pela escala, não pela operação interna.</w:t>
      </w:r>
    </w:p>
    <w:p>
      <w:pPr>
        <w:pStyle w:val="Heading1"/>
        <w:pageBreakBefore/>
      </w:pPr>
      <w:r>
        <w:t xml:space="preserve">5. Business Case para a Coaph</w:t>
      </w:r>
    </w:p>
    <w:p>
      <w:pPr>
        <w:pBdr>
          <w:left w:val="single" w:color="1F6FB2" w:sz="18" w:space="8"/>
        </w:pBdr>
        <w:shd w:fill="EEF4FA" w:val="clear"/>
        <w:spacing w:after="160" w:before="80" w:line="252"/>
      </w:pPr>
      <w:r>
        <w:rPr>
          <w:rFonts w:ascii="Arial" w:cs="Arial" w:eastAsia="Arial" w:hAnsi="Arial"/>
          <w:i/>
          <w:iCs/>
          <w:color w:val="333333"/>
          <w:sz w:val="18"/>
          <w:szCs w:val="18"/>
        </w:rPr>
        <w:t xml:space="preserve">Premissas (realista, 🔹 a validar): gap ~600/mês; ticket ponderado R$ 900 (médico R$ 1.200, demais classes menores); 35% dos gaps com sobrepreço (R$ 250/plantão); 6% ficariam descobertos (penalidade R$ 1.200).</w:t>
      </w:r>
    </w:p>
    <w:p>
      <w:pPr>
        <w:pStyle w:val="Heading2"/>
      </w:pPr>
      <w:r>
        <w:t xml:space="preserve">Economia mensal da Coaph (3 camadas)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3326"/>
        <w:gridCol w:w="1900"/>
        <w:gridCol w:w="1900"/>
        <w:gridCol w:w="1900"/>
      </w:tblGrid>
      <w:tr>
        <w:trPr>
          <w:tblHeader/>
        </w:trPr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D5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Camada de economia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D5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Conservador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D5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Realista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D5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Otimista</w:t>
            </w:r>
          </w:p>
        </w:tc>
      </w:tr>
      <w:tr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1) Tempo de preposto no gap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R$ 25,2 mil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R$ 37,8 mil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R$ 50,4 mil</w:t>
            </w:r>
          </w:p>
        </w:tc>
      </w:tr>
      <w:tr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2) Sobrepreço emergencial evitado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R$ 35,0 mil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R$ 52,5 mil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R$ 87,5 mil</w:t>
            </w:r>
          </w:p>
        </w:tc>
      </w:tr>
      <w:tr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3) Penalidade evitada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R$ 28,8 mil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R$ 43,2 mil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R$ 72,0 mil</w:t>
            </w:r>
          </w:p>
        </w:tc>
      </w:tr>
      <w:tr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Economia bruta/mês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R$ 89,0 mil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R$ 133,5 mil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R$ 209,9 mil</w:t>
            </w:r>
          </w:p>
        </w:tc>
      </w:tr>
      <w:tr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(–) Custo pago ao HealthMatch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(R$ 15,2 mil)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(R$ 18,8 mil)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(R$ 26,0 mil)</w:t>
            </w:r>
          </w:p>
        </w:tc>
      </w:tr>
      <w:tr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Economia líquida/mês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R$ 73,8 mil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R$ 114,7 mil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R$ 183,9 mil</w:t>
            </w:r>
          </w:p>
        </w:tc>
      </w:tr>
    </w:tbl>
    <w:p>
      <w:pPr>
        <w:pStyle w:val="Heading2"/>
      </w:pPr>
      <w:r>
        <w:t xml:space="preserve">Payback do investimento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3326"/>
        <w:gridCol w:w="1900"/>
        <w:gridCol w:w="1900"/>
        <w:gridCol w:w="1900"/>
      </w:tblGrid>
      <w:tr>
        <w:trPr>
          <w:tblHeader/>
        </w:trPr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D5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Investimento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D5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Conservador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D5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Realista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D5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Otimista</w:t>
            </w:r>
          </w:p>
        </w:tc>
      </w:tr>
      <w:tr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Piloto (R$ 300 mil) — ask atual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~4,1 meses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~2,6 meses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~1,6 meses</w:t>
            </w:r>
          </w:p>
        </w:tc>
      </w:tr>
      <w:tr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Rodada plena (R$ 1,5 mi) — futura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~20 meses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~13 meses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~8 meses</w:t>
            </w:r>
          </w:p>
        </w:tc>
      </w:tr>
      <w:tr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B00020"/>
                <w:sz w:val="18"/>
                <w:szCs w:val="18"/>
              </w:rPr>
              <w:t xml:space="preserve">Floor honesto: só prepostos paga R$ 1,5 mi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B00020"/>
                <w:sz w:val="18"/>
                <w:szCs w:val="18"/>
              </w:rPr>
              <w:t xml:space="preserve">~60 m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B00020"/>
                <w:sz w:val="18"/>
                <w:szCs w:val="18"/>
              </w:rPr>
              <w:t xml:space="preserve">~40 m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B00020"/>
                <w:sz w:val="18"/>
                <w:szCs w:val="18"/>
              </w:rPr>
              <w:t xml:space="preserve">~30 m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 economia depende sobretudo das camadas 2 e 3 (sobrepreço e penalidade) — as premissas mais incertas, que o piloto valida.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Mesmo no conservador, o piloto se paga em ~4 meses.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Como cliente, a Coaph é líquida-positiva todo mês (paga R$ 18,8 mil, economiza R$ 133,5 mil brutos) — assinar é um no-brainer operacional.</w:t>
      </w:r>
    </w:p>
    <w:p>
      <w:pPr>
        <w:pStyle w:val="Heading2"/>
      </w:pPr>
      <w:r>
        <w:t xml:space="preserve">Quarta dimensão — receita incremental (vagas ociosas)</w:t>
      </w:r>
    </w:p>
    <w:p>
      <w:pPr>
        <w:spacing w:after="120" w:line="264"/>
      </w:pPr>
      <w:r>
        <w:t xml:space="preserve">A Coaph tem 12.000 vagas contratadas e preenche ~8.000 — ~1/3 (4.000/mês) fica ociosa por falta de profissionais. Isso é ~R$ 3,6 mi/mês de GMV na mesa (4.000 × R$ 900). A plataforma ajuda a capturar parte: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3326"/>
        <w:gridCol w:w="1900"/>
        <w:gridCol w:w="1900"/>
        <w:gridCol w:w="1900"/>
      </w:tblGrid>
      <w:tr>
        <w:trPr>
          <w:tblHeader/>
        </w:trPr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D5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Captura das ociosas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D5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Cons. (15%)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D5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Real. (25%)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D5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Otim. (40%)</w:t>
            </w:r>
          </w:p>
        </w:tc>
      </w:tr>
      <w:tr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Vagas recuperadas/mês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600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1.000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1.600</w:t>
            </w:r>
          </w:p>
        </w:tc>
      </w:tr>
      <w:tr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Receita incremental Coaph (margem 4%)/mês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R$ 21,6 mil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R$ 36,0 mil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R$ 57,6 mil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Honesto: por ser cooperativa de margem fina (&lt;5%), o ganho próprio em R$ é modesto (~R$ 36 mil/mês realista). O maior valor é estratégico — a sub-execução crônica ameaça a renovação dos contratos; preencher protege a receita inteira, não só a margem.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Benefício total Coaph (realista): economia R$ 133,5 mil + receita R$ 36 mil = ~R$ 169,5 mil/mês, o que torna o piloto ainda mais barato de pagar. A defesa conservadora segue ancorada só na economia de custo.</w:t>
      </w:r>
    </w:p>
    <w:p>
      <w:pPr>
        <w:pStyle w:val="Heading1"/>
        <w:pageBreakBefore/>
      </w:pPr>
      <w:r>
        <w:t xml:space="preserve">6. Modelo de receita</w:t>
      </w:r>
    </w:p>
    <w:p>
      <w:pPr>
        <w:spacing w:after="120" w:line="264"/>
      </w:pPr>
      <w:r>
        <w:t xml:space="preserve">Dada a margem da cooperativa &lt; 5%, a receita do HealthMatch é híbrida e desacoplada do GMV:</w:t>
      </w:r>
    </w:p>
    <w:p>
      <w:pPr>
        <w:spacing w:after="120" w:line="264"/>
      </w:pPr>
      <w:r>
        <w:rPr>
          <w:rFonts w:ascii="Arial" w:cs="Arial" w:eastAsia="Arial" w:hAnsi="Arial"/>
          <w:b/>
          <w:bCs/>
          <w:color w:val="0B2D5B"/>
          <w:sz w:val="22"/>
          <w:szCs w:val="22"/>
        </w:rPr>
        <w:t xml:space="preserve">SaaS de prontidão: </w:t>
      </w:r>
      <w:r>
        <w:rPr>
          <w:rFonts w:ascii="Arial" w:cs="Arial" w:eastAsia="Arial" w:hAnsi="Arial"/>
          <w:sz w:val="22"/>
          <w:szCs w:val="22"/>
        </w:rPr>
        <w:t xml:space="preserve">mensalidade fixa pelo acesso ao pool de contingência (Coaph: 🔹 R$ 8 mil/mês). Previsível, não depende da margem fina.</w:t>
      </w:r>
    </w:p>
    <w:p>
      <w:pPr>
        <w:spacing w:after="120" w:line="264"/>
      </w:pPr>
      <w:r>
        <w:rPr>
          <w:rFonts w:ascii="Arial" w:cs="Arial" w:eastAsia="Arial" w:hAnsi="Arial"/>
          <w:b/>
          <w:bCs/>
          <w:color w:val="0B2D5B"/>
          <w:sz w:val="22"/>
          <w:szCs w:val="22"/>
        </w:rPr>
        <w:t xml:space="preserve">Fee por gap preenchido: </w:t>
      </w:r>
      <w:r>
        <w:rPr>
          <w:rFonts w:ascii="Arial" w:cs="Arial" w:eastAsia="Arial" w:hAnsi="Arial"/>
          <w:sz w:val="22"/>
          <w:szCs w:val="22"/>
        </w:rPr>
        <w:t xml:space="preserve">pequena taxa por cobertura, capada em ≤ 2% do plantão (≈ R$ 24 num plantão médico de R$ 1.200). Alinha receita ao valor entregue.</w:t>
      </w:r>
    </w:p>
    <w:p>
      <w:pPr>
        <w:spacing w:after="120" w:line="264"/>
      </w:pPr>
      <w:r>
        <w:t xml:space="preserve">Receita do HealthMatch vinda da Coaph: ~R$ 18,8 mil/mês (R$ 226 mil/ano) no realista. O take-rate gordo sobre GMV não se aplica neste mercado.</w:t>
      </w:r>
    </w:p>
    <w:p>
      <w:pPr>
        <w:pStyle w:val="Heading1"/>
        <w:pageBreakBefore/>
      </w:pPr>
      <w:r>
        <w:t xml:space="preserve">7. Mercado (upside da escala — tese ofensiva)</w:t>
      </w:r>
    </w:p>
    <w:p>
      <w:pPr>
        <w:pBdr>
          <w:left w:val="single" w:color="1F6FB2" w:sz="18" w:space="8"/>
        </w:pBdr>
        <w:shd w:fill="EEF4FA" w:val="clear"/>
        <w:spacing w:after="160" w:before="80" w:line="252"/>
      </w:pPr>
      <w:r>
        <w:rPr>
          <w:rFonts w:ascii="Arial" w:cs="Arial" w:eastAsia="Arial" w:hAnsi="Arial"/>
          <w:i/>
          <w:iCs/>
          <w:color w:val="333333"/>
          <w:sz w:val="18"/>
          <w:szCs w:val="18"/>
        </w:rPr>
        <w:t xml:space="preserve">Embasa a rodada plena (futura). A decisão do piloto não depende disto.</w:t>
      </w:r>
    </w:p>
    <w:p>
      <w:pPr>
        <w:spacing w:after="120" w:line="264"/>
      </w:pPr>
      <w:r>
        <w:t xml:space="preserve">~562 mil médicos ativos (CFM, 2024); milhares de cooperativas e unidades. O gap (descobertas + no-shows) é universal e hoje resolvido na base do telefonema. Comps internacionais de staffing/contingência de saúde (Nomad, Trusted, Medely, ShiftMed; Patchwork no Reino Unido) validam a categoria. O concorrente nº 1 segue sendo o processo manual.</w:t>
      </w:r>
    </w:p>
    <w:p>
      <w:pPr>
        <w:pStyle w:val="Heading1"/>
        <w:pageBreakBefore/>
      </w:pPr>
      <w:r>
        <w:t xml:space="preserve">8. Estratégia de Go-to-Market</w:t>
      </w:r>
    </w:p>
    <w:p>
      <w:pPr>
        <w:spacing w:after="120" w:line="264"/>
      </w:pPr>
      <w:r>
        <w:rPr>
          <w:rFonts w:ascii="Arial" w:cs="Arial" w:eastAsia="Arial" w:hAnsi="Arial"/>
          <w:b/>
          <w:bCs/>
          <w:color w:val="0B2D5B"/>
          <w:sz w:val="22"/>
          <w:szCs w:val="22"/>
        </w:rPr>
        <w:t xml:space="preserve">Fase 0 — Piloto Coaph (mês 0–6): </w:t>
      </w:r>
      <w:r>
        <w:rPr>
          <w:rFonts w:ascii="Arial" w:cs="Arial" w:eastAsia="Arial" w:hAnsi="Arial"/>
          <w:sz w:val="22"/>
          <w:szCs w:val="22"/>
        </w:rPr>
        <w:t xml:space="preserve">implantar a contingência em 1–2 unidades/especialidades; medir baseline e economia real do gap.</w:t>
      </w:r>
    </w:p>
    <w:p>
      <w:pPr>
        <w:spacing w:after="120" w:line="264"/>
      </w:pPr>
      <w:r>
        <w:rPr>
          <w:rFonts w:ascii="Arial" w:cs="Arial" w:eastAsia="Arial" w:hAnsi="Arial"/>
          <w:b/>
          <w:bCs/>
          <w:color w:val="0B2D5B"/>
          <w:sz w:val="22"/>
          <w:szCs w:val="22"/>
        </w:rPr>
        <w:t xml:space="preserve">Fase 1 — Coaph plena + 2ª cooperativa (mês 6–18): </w:t>
      </w:r>
      <w:r>
        <w:rPr>
          <w:rFonts w:ascii="Arial" w:cs="Arial" w:eastAsia="Arial" w:hAnsi="Arial"/>
          <w:sz w:val="22"/>
          <w:szCs w:val="22"/>
        </w:rPr>
        <w:t xml:space="preserve">expandir o uso e abrir a primeira cooperativa adjacente com o case.</w:t>
      </w:r>
    </w:p>
    <w:p>
      <w:pPr>
        <w:spacing w:after="120" w:line="264"/>
      </w:pPr>
      <w:r>
        <w:rPr>
          <w:rFonts w:ascii="Arial" w:cs="Arial" w:eastAsia="Arial" w:hAnsi="Arial"/>
          <w:b/>
          <w:bCs/>
          <w:color w:val="0B2D5B"/>
          <w:sz w:val="22"/>
          <w:szCs w:val="22"/>
        </w:rPr>
        <w:t xml:space="preserve">Fase 2 — Escala regional (mês 18–36): </w:t>
      </w:r>
      <w:r>
        <w:rPr>
          <w:rFonts w:ascii="Arial" w:cs="Arial" w:eastAsia="Arial" w:hAnsi="Arial"/>
          <w:sz w:val="22"/>
          <w:szCs w:val="22"/>
        </w:rPr>
        <w:t xml:space="preserve">mais cooperativas e hospitais do NE.</w:t>
      </w:r>
    </w:p>
    <w:p>
      <w:pPr>
        <w:spacing w:after="120" w:line="264"/>
      </w:pPr>
      <w:r>
        <w:t xml:space="preserve">Canal principal: indicação da Coaph e da rede cooperativista. A base de cooperados é vantagem de oferta uma vez operacionalizada — não liquidez automática.</w:t>
      </w:r>
    </w:p>
    <w:p>
      <w:pPr>
        <w:pStyle w:val="Heading1"/>
        <w:pageBreakBefore/>
      </w:pPr>
      <w:r>
        <w:t xml:space="preserve">9. Estrutura operacional e equipe</w:t>
      </w:r>
    </w:p>
    <w:p>
      <w:pPr>
        <w:spacing w:after="120" w:line="264"/>
      </w:pPr>
      <w:r>
        <w:t xml:space="preserve">Fundador solo (bootstrap), produto construído. O piloto (R$ 300 mil) financia: 1 engenheiro para hardening/integrações/LGPD, implantação na Coaph e a instrumentação dos KPIs (~6 meses). Contratações maiores (comercial/CS) ficam para a rodada plena.</w:t>
      </w:r>
    </w:p>
    <w:p>
      <w:pPr>
        <w:pStyle w:val="Heading1"/>
        <w:pageBreakBefore/>
      </w:pPr>
      <w:r>
        <w:t xml:space="preserve">10. Plano financeiro do HealthMatch (escala — ofensiva)</w:t>
      </w:r>
    </w:p>
    <w:p>
      <w:pPr>
        <w:pBdr>
          <w:left w:val="single" w:color="1F6FB2" w:sz="18" w:space="8"/>
        </w:pBdr>
        <w:shd w:fill="EEF4FA" w:val="clear"/>
        <w:spacing w:after="160" w:before="80" w:line="252"/>
      </w:pPr>
      <w:r>
        <w:rPr>
          <w:rFonts w:ascii="Arial" w:cs="Arial" w:eastAsia="Arial" w:hAnsi="Arial"/>
          <w:i/>
          <w:iCs/>
          <w:color w:val="333333"/>
          <w:sz w:val="18"/>
          <w:szCs w:val="18"/>
        </w:rPr>
        <w:t xml:space="preserve">Cenário de upside (HealthMatch como empresa). Modesto e previsível — coerente com a margem fina. Não é a base da decisão do piloto.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3326"/>
        <w:gridCol w:w="1900"/>
        <w:gridCol w:w="1900"/>
        <w:gridCol w:w="1900"/>
      </w:tblGrid>
      <w:tr>
        <w:trPr>
          <w:tblHeader/>
        </w:trPr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D5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Receita HM (escala)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D5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Ano 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D5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Ano 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D5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Ano 3</w:t>
            </w:r>
          </w:p>
        </w:tc>
      </w:tr>
      <w:tr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Cooperativas/clientes ativos (média)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</w:tr>
      <w:tr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Receita/cliente/ano (realista)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R$ 226 mil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R$ 226 mil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R$ 226 mil</w:t>
            </w:r>
          </w:p>
        </w:tc>
      </w:tr>
      <w:tr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Receita HM total/ano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R$ 226 mil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R$ 1,13 mi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R$ 3,38 mi</w:t>
            </w:r>
          </w:p>
        </w:tc>
      </w:tr>
    </w:tbl>
    <w:p>
      <w:pPr>
        <w:spacing w:after="60"/>
      </w:pPr>
    </w:p>
    <w:p>
      <w:pPr>
        <w:spacing w:after="120" w:line="264"/>
      </w:pPr>
      <w:r>
        <w:t xml:space="preserve">É um SaaS de nicho saudável, não um foguete de marketplace. A rodada plena de R$ 1,5 mi deve ser dimensionada a este plano — e só faz sentido após o piloto validar a economia e a adoção.</w:t>
      </w:r>
    </w:p>
    <w:p>
      <w:pPr>
        <w:pStyle w:val="Heading1"/>
        <w:pageBreakBefore/>
      </w:pPr>
      <w:r>
        <w:t xml:space="preserve">11. KPIs do piloto Coaph</w:t>
      </w:r>
    </w:p>
    <w:p>
      <w:pPr>
        <w:spacing w:after="120" w:line="264"/>
      </w:pPr>
      <w:r>
        <w:t xml:space="preserve">O piloto mede a economia real do gap (não só o uso). Baseline antes; medição depois: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5500"/>
        <w:gridCol w:w="3526"/>
      </w:tblGrid>
      <w:tr>
        <w:trPr>
          <w:tblHeader/>
        </w:trP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D5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KPI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D5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Meta no piloto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Custo de cobertura emergencial (sobrepreço)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↓ — validar a camada 2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Nº de plantões descobertos / penalidades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↓ — validar a camada 3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Horas de preposto nas exceções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↓ — validar a camada 1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Tempo médio de cobertura do gap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 horas para minutos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% de gaps cobertos sem intervenção humana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↑ a cada ciclo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Taxa de aceite via WhatsApp/IA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estabelecer e crescer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Nº de gaps processados e profissionais ativados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crescimento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NPS dos coordenadores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≥ alvo acordado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Economia operacional mensal (estimada × realizada)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gatilho da rodada plena</w:t>
            </w:r>
          </w:p>
        </w:tc>
      </w:tr>
    </w:tbl>
    <w:p>
      <w:pPr>
        <w:pStyle w:val="Heading1"/>
        <w:pageBreakBefore/>
      </w:pPr>
      <w:r>
        <w:t xml:space="preserve">12. Análise SWOT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A3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Forças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530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Fraquezas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3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Ataca o ponto de maior dor/custo (o gap)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Produto construído e testado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Coaph como cliente-âncora alinhado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Piloto barato com payback rápido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3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Economia depende de premissas a validar (sobrepreço/penalidade)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Fundador solo; sem tração externa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Dependência inicial da Coaph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Receita por cliente modesta (margem fina)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B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Oportunidades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B1C1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Ameaças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3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Replicar contingência para outras cooperativas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Hospitais e setor público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Categoria validada lá fora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3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Coaph optar por resolver in-house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Margem fina limitar disposição a pagar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Economia do gap não se confirmar no piloto</w:t>
            </w:r>
          </w:p>
        </w:tc>
      </w:tr>
    </w:tbl>
    <w:p>
      <w:pPr>
        <w:pStyle w:val="Heading1"/>
        <w:pageBreakBefore/>
      </w:pPr>
      <w:r>
        <w:t xml:space="preserve">13. Riscos e plano de mitigação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3200"/>
        <w:gridCol w:w="1500"/>
        <w:gridCol w:w="4326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D5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Risco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D5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Prob./Imp.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D5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Mitigação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Economia do gap não se materializar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Médio/Alto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Piloto barato (R$ 300k) existe para validar antes de qualquer cheque maior; premissas conservadoras e editáveis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Virar software sob medida, não produto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Médio/Alto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Multi-tenant desde já; contrato de cliente separado do investimento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Dependência excessiva da Coaph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Médio/Alto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Abrir 2ª cooperativa após o piloto; dados/portabilidade garantidos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Margem fina limitar o que pagam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Médio/Médio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SaaS de prontidão desacoplado do GMV; fee capado e indolor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Resistência interna (prepostos)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Médio/Médio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Gestão de mudança; posicionar como apoio à exceção, não substituição total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Regulatório/trabalhista, LGPD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Médio/Alto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Jurídico especializado; cooperativa detém o vínculo; compliance no piloto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Fundador solo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Médio/Médio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Piloto financia 1ª contratação de eng.; cláusulas de IP/continuidade</w:t>
            </w:r>
          </w:p>
        </w:tc>
      </w:tr>
    </w:tbl>
    <w:p>
      <w:pPr>
        <w:pStyle w:val="Heading1"/>
        <w:pageBreakBefore/>
      </w:pPr>
      <w:r>
        <w:t xml:space="preserve">14. Recomendação de investimento (piloto-first)</w:t>
      </w:r>
    </w:p>
    <w:p>
      <w:pPr>
        <w:spacing w:after="120" w:line="264"/>
      </w:pPr>
      <w:r>
        <w:rPr>
          <w:rFonts w:ascii="Arial" w:cs="Arial" w:eastAsia="Arial" w:hAnsi="Arial"/>
          <w:b/>
          <w:bCs/>
          <w:color w:val="0B2D5B"/>
          <w:sz w:val="22"/>
          <w:szCs w:val="22"/>
        </w:rPr>
        <w:t xml:space="preserve">Decisão em camadas, desacopladas: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t xml:space="preserve">A Coaph deve assinar como cliente — agora. Paga ~R$ 18,8 mil/mês e economiza ~R$ 133,5 mil/mês (bruto). Decisão operacional de baixo risco e ROI imediato.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t xml:space="preserve">A Coaph deve financiar o piloto de R$ 300 mil — agora. Payback ~2,6 meses (realista; ~4 no conservador). O piloto valida o custo real do gap (sobrepreço + penalidade) e gera o case.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t xml:space="preserve">A rodada plena de R$ 1,5 mi — depois. Só após o piloto comprovar a economia e a adoção, justificada pela tese ofensiva (escala). Decidida com dados, não com promessa.</w:t>
      </w:r>
    </w:p>
    <w:p>
      <w:pPr>
        <w:spacing w:after="40"/>
      </w:pPr>
    </w:p>
    <w:p>
      <w:pPr>
        <w:spacing w:after="120" w:line="264"/>
      </w:pPr>
      <w:r>
        <w:rPr>
          <w:rFonts w:ascii="Arial" w:cs="Arial" w:eastAsia="Arial" w:hAnsi="Arial"/>
          <w:b/>
          <w:bCs/>
          <w:color w:val="0B2D5B"/>
          <w:sz w:val="22"/>
          <w:szCs w:val="22"/>
        </w:rPr>
        <w:t xml:space="preserve">Uso do piloto (R$ 300 mil): </w:t>
      </w:r>
      <w:r>
        <w:rPr>
          <w:rFonts w:ascii="Arial" w:cs="Arial" w:eastAsia="Arial" w:hAnsi="Arial"/>
          <w:sz w:val="22"/>
          <w:szCs w:val="22"/>
        </w:rPr>
        <w:t xml:space="preserve">hardening + integrações + LGPD; implantação na Coaph; instrumentação dos KPIs; 1 engenheiro por ~6 meses; comitê mensal Coaph + HealthMatch de acompanhamento do ROI.</w:t>
      </w:r>
    </w:p>
    <w:p>
      <w:pPr>
        <w:spacing w:after="120" w:line="264"/>
      </w:pPr>
      <w:r>
        <w:rPr>
          <w:rFonts w:ascii="Arial" w:cs="Arial" w:eastAsia="Arial" w:hAnsi="Arial"/>
          <w:b/>
          <w:bCs/>
          <w:color w:val="0B2D5B"/>
          <w:sz w:val="22"/>
          <w:szCs w:val="22"/>
        </w:rPr>
        <w:t xml:space="preserve">Gatilho para a rodada plena: </w:t>
      </w:r>
      <w:r>
        <w:rPr>
          <w:rFonts w:ascii="Arial" w:cs="Arial" w:eastAsia="Arial" w:hAnsi="Arial"/>
          <w:sz w:val="22"/>
          <w:szCs w:val="22"/>
        </w:rPr>
        <w:t xml:space="preserve">economia operacional realizada ≥ R$ 100 mil/mês comprovada no piloto.</w:t>
      </w:r>
    </w:p>
    <w:p>
      <w:pPr>
        <w:pStyle w:val="Heading1"/>
        <w:pageBreakBefore/>
      </w:pPr>
      <w:r>
        <w:t xml:space="preserve">15. Roadmap</w:t>
      </w:r>
    </w:p>
    <w:p>
      <w:pPr>
        <w:spacing w:after="120" w:line="264"/>
      </w:pPr>
      <w:r>
        <w:rPr>
          <w:rFonts w:ascii="Arial" w:cs="Arial" w:eastAsia="Arial" w:hAnsi="Arial"/>
          <w:b/>
          <w:bCs/>
          <w:color w:val="0B2D5B"/>
          <w:sz w:val="22"/>
          <w:szCs w:val="22"/>
        </w:rPr>
        <w:t xml:space="preserve">0–6 meses — Piloto Coaph (R$ 300 mil): </w:t>
      </w:r>
      <w:r>
        <w:rPr>
          <w:rFonts w:ascii="Arial" w:cs="Arial" w:eastAsia="Arial" w:hAnsi="Arial"/>
          <w:sz w:val="22"/>
          <w:szCs w:val="22"/>
        </w:rPr>
        <w:t xml:space="preserve">hardening/LGPD; implantar contingência; medir baseline e economia; comitê mensal de ROI.</w:t>
      </w:r>
    </w:p>
    <w:p>
      <w:pPr>
        <w:spacing w:after="120" w:line="264"/>
      </w:pPr>
      <w:r>
        <w:rPr>
          <w:rFonts w:ascii="Arial" w:cs="Arial" w:eastAsia="Arial" w:hAnsi="Arial"/>
          <w:b/>
          <w:bCs/>
          <w:color w:val="0B2D5B"/>
          <w:sz w:val="22"/>
          <w:szCs w:val="22"/>
        </w:rPr>
        <w:t xml:space="preserve">6–18 meses — Coaph plena + 2ª cooperativa: </w:t>
      </w:r>
      <w:r>
        <w:rPr>
          <w:rFonts w:ascii="Arial" w:cs="Arial" w:eastAsia="Arial" w:hAnsi="Arial"/>
          <w:sz w:val="22"/>
          <w:szCs w:val="22"/>
        </w:rPr>
        <w:t xml:space="preserve">expandir uso; abrir 1 cooperativa adjacente; preparar a rodada plena com o case comprovado.</w:t>
      </w:r>
    </w:p>
    <w:p>
      <w:pPr>
        <w:spacing w:after="120" w:line="264"/>
      </w:pPr>
      <w:r>
        <w:rPr>
          <w:rFonts w:ascii="Arial" w:cs="Arial" w:eastAsia="Arial" w:hAnsi="Arial"/>
          <w:b/>
          <w:bCs/>
          <w:color w:val="0B2D5B"/>
          <w:sz w:val="22"/>
          <w:szCs w:val="22"/>
        </w:rPr>
        <w:t xml:space="preserve">18–36 meses — Escala (ofensiva): </w:t>
      </w:r>
      <w:r>
        <w:rPr>
          <w:rFonts w:ascii="Arial" w:cs="Arial" w:eastAsia="Arial" w:hAnsi="Arial"/>
          <w:sz w:val="22"/>
          <w:szCs w:val="22"/>
        </w:rPr>
        <w:t xml:space="preserve">mais cooperativas/hospitais; rodada seed/plena com tração real.</w:t>
      </w:r>
    </w:p>
    <w:p>
      <w:pPr>
        <w:spacing w:after="120"/>
      </w:pPr>
    </w:p>
    <w:p>
      <w:pPr>
        <w:pBdr>
          <w:left w:val="single" w:color="1F6FB2" w:sz="18" w:space="8"/>
        </w:pBdr>
        <w:shd w:fill="EEF4FA" w:val="clear"/>
        <w:spacing w:after="160" w:before="80" w:line="252"/>
      </w:pPr>
      <w:r>
        <w:rPr>
          <w:rFonts w:ascii="Arial" w:cs="Arial" w:eastAsia="Arial" w:hAnsi="Arial"/>
          <w:i/>
          <w:iCs/>
          <w:color w:val="333333"/>
          <w:sz w:val="18"/>
          <w:szCs w:val="18"/>
        </w:rPr>
        <w:t xml:space="preserve">Resumo da decisão: assine como cliente (ganha já) + financie um piloto enxuto (paga-se em meses) para provar o custo do gap. Adie a rodada grande até ter dados. Pior cenário aceitável: o piloto se paga e a Coaph fica com uma operação de contingência mais barata — sem ter arriscado R$ 1,5 mi.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Página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2"/>
      </w:pBd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HealthMatch — Business Plan</w:t>
    </w:r>
    <w:r>
      <w:rPr>
        <w:rFonts w:ascii="Arial" w:cs="Arial" w:eastAsia="Arial" w:hAnsi="Arial"/>
        <w:color w:val="888888"/>
        <w:sz w:val="16"/>
        <w:szCs w:val="16"/>
      </w:rPr>
      <w:t xml:space="preserve">	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B74D1" w:sz="8" w:space="4"/>
      </w:pBdr>
      <w:spacing w:after="160" w:before="320"/>
      <w:outlineLvl w:val="0"/>
    </w:pPr>
    <w:rPr>
      <w:rFonts w:ascii="Arial" w:cs="Arial" w:eastAsia="Arial" w:hAnsi="Arial"/>
      <w:b/>
      <w:bCs/>
      <w:color w:val="0B2D5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6FB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HealthMatch — Business Plan</dc:title>
  <dc:creator>HealthMatch</dc:creator>
  <cp:lastModifiedBy>Un-named</cp:lastModifiedBy>
  <cp:revision>1</cp:revision>
  <dcterms:created xsi:type="dcterms:W3CDTF">2026-06-27T00:02:30.696Z</dcterms:created>
  <dcterms:modified xsi:type="dcterms:W3CDTF">2026-06-27T00:02:30.697Z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