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B2D5B"/>
          <w:sz w:val="32"/>
          <w:szCs w:val="32"/>
        </w:rPr>
        <w:t xml:space="preserve">HealthMatch</w:t>
      </w:r>
    </w:p>
    <w:p>
      <w:pPr>
        <w:pBdr>
          <w:bottom w:val="single" w:color="0B74D1" w:sz="10" w:space="4"/>
        </w:pBdr>
        <w:spacing w:after="110"/>
      </w:pPr>
      <w:r>
        <w:rPr>
          <w:rFonts w:ascii="Arial" w:cs="Arial" w:eastAsia="Arial" w:hAnsi="Arial"/>
          <w:color w:val="0B74D1"/>
          <w:sz w:val="21"/>
          <w:szCs w:val="21"/>
        </w:rPr>
        <w:t xml:space="preserve">Resumo para a Diretoria da Coaph</w:t>
      </w:r>
      <w:r>
        <w:rPr>
          <w:rFonts w:ascii="Arial" w:cs="Arial" w:eastAsia="Arial" w:hAnsi="Arial"/>
          <w:color w:val="888888"/>
          <w:sz w:val="15"/>
          <w:szCs w:val="15"/>
        </w:rPr>
        <w:t xml:space="preserve">   ·   Junho 2026   ·   Confidencial</w:t>
      </w:r>
    </w:p>
    <w:p>
      <w:pPr>
        <w:pBdr>
          <w:left w:val="single" w:color="1F6FB2" w:sz="18" w:space="8"/>
        </w:pBdr>
        <w:shd w:fill="EEF4FA" w:val="clear"/>
        <w:spacing w:after="90" w:before="30" w:line="244"/>
      </w:pPr>
      <w:r>
        <w:rPr>
          <w:rFonts w:ascii="Arial" w:cs="Arial" w:eastAsia="Arial" w:hAnsi="Arial"/>
          <w:b/>
          <w:bCs/>
          <w:color w:val="0B2D5B"/>
          <w:sz w:val="17"/>
          <w:szCs w:val="17"/>
        </w:rPr>
        <w:t xml:space="preserve">A decisão: </w:t>
      </w:r>
      <w:r>
        <w:rPr>
          <w:rFonts w:ascii="Arial" w:cs="Arial" w:eastAsia="Arial" w:hAnsi="Arial"/>
          <w:sz w:val="17"/>
          <w:szCs w:val="17"/>
        </w:rPr>
        <w:t xml:space="preserve">(1) assinar o HealthMatch como cliente — ROI positivo desde o 1º mês; e (2) financiar um piloto de R$ 300 mil (paga-se em ~2,6 meses) para comprovar a economia. A rodada de equity maior (R$ 1,5 mi) fica para depois do piloto, decidida com dados.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0B2D5B"/>
          <w:sz w:val="18"/>
          <w:szCs w:val="18"/>
        </w:rPr>
        <w:t xml:space="preserve">O que o HealthMatch faz</w:t>
      </w:r>
    </w:p>
    <w:p>
      <w:pPr>
        <w:spacing w:after="60" w:line="232"/>
      </w:pPr>
      <w:r>
        <w:rPr>
          <w:rFonts w:ascii="Arial" w:cs="Arial" w:eastAsia="Arial" w:hAnsi="Arial"/>
          <w:sz w:val="17"/>
          <w:szCs w:val="17"/>
        </w:rPr>
        <w:t xml:space="preserve">É uma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camada de contingência</w:t>
      </w:r>
      <w:r>
        <w:rPr>
          <w:rFonts w:ascii="Arial" w:cs="Arial" w:eastAsia="Arial" w:hAnsi="Arial"/>
          <w:sz w:val="17"/>
          <w:szCs w:val="17"/>
        </w:rPr>
        <w:t xml:space="preserve">: cobre o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gap</w:t>
      </w:r>
      <w:r>
        <w:rPr>
          <w:rFonts w:ascii="Arial" w:cs="Arial" w:eastAsia="Arial" w:hAnsi="Arial"/>
          <w:sz w:val="17"/>
          <w:szCs w:val="17"/>
        </w:rPr>
        <w:t xml:space="preserve"> — plantão que não fecha, no-show, exceção de última hora. Não gerencia toda a escala; entra só quando o processo normal falha, cobrindo de um pool pronto, sem o sobrepreço da urgência e sem horas de telefonema.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0B2D5B"/>
          <w:sz w:val="18"/>
          <w:szCs w:val="18"/>
        </w:rPr>
        <w:t xml:space="preserve">Economia mensal da Coaph (realista)</w:t>
      </w:r>
    </w:p>
    <w:tbl>
      <w:tblPr>
        <w:tblW w:type="dxa" w:w="7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100"/>
        <w:gridCol w:w="1500"/>
        <w:gridCol w:w="1500"/>
        <w:gridCol w:w="150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Camada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Conserv.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Realista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Otim.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Tempo de preposto no 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R$ 25 mil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R$ 38 mil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R$ 50 mil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Sobrepreço emergencial evitado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R$ 35 mil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R$ 53 mil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R$ 88 mil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Penalidade evitada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R$ 29 mil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R$ 43 mil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R$ 72 mil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Economia bruta/mês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R$ 89 mil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R$ 134 mil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R$ 210 mil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(–) pago ao HealthMatch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(R$ 15 mil)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(R$ 19 mil)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(R$ 26 mil)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Economia líquida/mês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R$ 74 mil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R$ 115 mil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R$ 184 mil</w:t>
            </w:r>
          </w:p>
        </w:tc>
      </w:tr>
    </w:tbl>
    <w:p>
      <w:pPr>
        <w:spacing w:after="70" w:before="44" w:line="22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Sobrepreço e penalidade são as premissas de maior peso e mais incertas — o piloto existe para medi-las. Mesmo no conservador, o piloto se paga.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0B2D5B"/>
          <w:sz w:val="18"/>
          <w:szCs w:val="18"/>
        </w:rPr>
        <w:t xml:space="preserve">Payback do investimento</w:t>
      </w:r>
    </w:p>
    <w:tbl>
      <w:tblPr>
        <w:tblW w:type="dxa" w:w="7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100"/>
        <w:gridCol w:w="1500"/>
        <w:gridCol w:w="1500"/>
        <w:gridCol w:w="150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Investimento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Conserv.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Realista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Otim.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Piloto (R$ 300 mil) — agora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~4,1 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~2,6 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~1,6 m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Rodada plena (R$ 1,5 mi) — depois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~20 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~13 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~8 m</w:t>
            </w:r>
          </w:p>
        </w:tc>
      </w:tr>
    </w:tbl>
    <w:p>
      <w:pPr>
        <w:spacing w:after="50" w:before="130"/>
      </w:pPr>
      <w:r>
        <w:rPr>
          <w:rFonts w:ascii="Arial" w:cs="Arial" w:eastAsia="Arial" w:hAnsi="Arial"/>
          <w:b/>
          <w:bCs/>
          <w:color w:val="0B2D5B"/>
          <w:sz w:val="18"/>
          <w:szCs w:val="18"/>
        </w:rPr>
        <w:t xml:space="preserve">Receita incremental (vagas ociosas)</w:t>
      </w:r>
    </w:p>
    <w:p>
      <w:pPr>
        <w:spacing w:after="60" w:line="232"/>
      </w:pPr>
      <w:r>
        <w:rPr>
          <w:rFonts w:ascii="Arial" w:cs="Arial" w:eastAsia="Arial" w:hAnsi="Arial"/>
          <w:sz w:val="17"/>
          <w:szCs w:val="17"/>
        </w:rPr>
        <w:t xml:space="preserve">A Coaph executa ~8.000 de 12.000 vagas (~1/3 ociosas) →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~R$ 3,6 mi/mês de GMV na mesa</w:t>
      </w:r>
      <w:r>
        <w:rPr>
          <w:rFonts w:ascii="Arial" w:cs="Arial" w:eastAsia="Arial" w:hAnsi="Arial"/>
          <w:sz w:val="17"/>
          <w:szCs w:val="17"/>
        </w:rPr>
        <w:t xml:space="preserve">. Preencher parte traz ~R$ 36 mil/mês de margem (realista) e — o maior valor —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protege a renovação dos contratos</w:t>
      </w:r>
      <w:r>
        <w:rPr>
          <w:rFonts w:ascii="Arial" w:cs="Arial" w:eastAsia="Arial" w:hAnsi="Arial"/>
          <w:sz w:val="17"/>
          <w:szCs w:val="17"/>
        </w:rPr>
        <w:t xml:space="preserve">.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0B2D5B"/>
          <w:sz w:val="18"/>
          <w:szCs w:val="18"/>
        </w:rPr>
        <w:t xml:space="preserve">Monetização (margem da cooperativa &lt; 5%)</w:t>
      </w:r>
    </w:p>
    <w:p>
      <w:pPr>
        <w:spacing w:after="60" w:line="232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SaaS de prontidão R$ 8 mil/mês</w:t>
      </w:r>
      <w:r>
        <w:rPr>
          <w:rFonts w:ascii="Arial" w:cs="Arial" w:eastAsia="Arial" w:hAnsi="Arial"/>
          <w:sz w:val="17"/>
          <w:szCs w:val="17"/>
        </w:rPr>
        <w:t xml:space="preserve"> (acesso ao pool) +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fee por gap capado em ≤ 2%</w:t>
      </w:r>
      <w:r>
        <w:rPr>
          <w:rFonts w:ascii="Arial" w:cs="Arial" w:eastAsia="Arial" w:hAnsi="Arial"/>
          <w:sz w:val="17"/>
          <w:szCs w:val="17"/>
        </w:rPr>
        <w:t xml:space="preserve"> do plantão (≈ R$ 24 num plantão médico de R$ 1.200). Take-rate gordo sobre GMV não se aplica.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0B2D5B"/>
          <w:sz w:val="18"/>
          <w:szCs w:val="18"/>
        </w:rPr>
        <w:t xml:space="preserve">Por que piloto-first</w:t>
      </w:r>
    </w:p>
    <w:p>
      <w:pPr>
        <w:pStyle w:val="ListParagraph"/>
        <w:numPr>
          <w:ilvl w:val="0"/>
          <w:numId w:val="1"/>
        </w:numPr>
        <w:spacing w:after="26" w:line="226"/>
      </w:pPr>
      <w:r>
        <w:rPr>
          <w:rFonts w:ascii="Arial" w:cs="Arial" w:eastAsia="Arial" w:hAnsi="Arial"/>
          <w:sz w:val="17"/>
          <w:szCs w:val="17"/>
        </w:rPr>
        <w:t xml:space="preserve">Como projeto de eficiência puro, a economia de prepostos sozinha não pagaria R$ 1,5 mi rápido (~40 meses).</w:t>
      </w:r>
    </w:p>
    <w:p>
      <w:pPr>
        <w:pStyle w:val="ListParagraph"/>
        <w:numPr>
          <w:ilvl w:val="0"/>
          <w:numId w:val="1"/>
        </w:numPr>
        <w:spacing w:after="26" w:line="226"/>
      </w:pPr>
      <w:r>
        <w:rPr>
          <w:rFonts w:ascii="Arial" w:cs="Arial" w:eastAsia="Arial" w:hAnsi="Arial"/>
          <w:sz w:val="17"/>
          <w:szCs w:val="17"/>
        </w:rPr>
        <w:t xml:space="preserve">O piloto de R$ 300 mil valida o custo real do gap e se paga em meses — risco baixo, aprendizado alto.</w:t>
      </w:r>
    </w:p>
    <w:p>
      <w:pPr>
        <w:pStyle w:val="ListParagraph"/>
        <w:numPr>
          <w:ilvl w:val="0"/>
          <w:numId w:val="1"/>
        </w:numPr>
        <w:spacing w:after="26" w:line="226"/>
      </w:pPr>
      <w:r>
        <w:rPr>
          <w:rFonts w:ascii="Arial" w:cs="Arial" w:eastAsia="Arial" w:hAnsi="Arial"/>
          <w:sz w:val="17"/>
          <w:szCs w:val="17"/>
        </w:rPr>
        <w:t xml:space="preserve">A rodada de R$ 1,5 mi só se justifica pela escala (outras cooperativas) — decisão separada, com dados do piloto.</w:t>
      </w:r>
    </w:p>
    <w:p>
      <w:pPr>
        <w:shd w:fill="0B2D5B" w:val="clear"/>
        <w:spacing w:after="90" w:before="130" w:line="244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Recomendação: 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assinar como cliente e financiar o piloto de R$ 300 mil agora. Adiar a rodada de R$ 1,5 mi até o piloto comprovar economia ≥ R$ 100 mil/mês. Pior caso: o piloto se paga e a Coaph fica com uma contingência mais barata — sem arriscar R$ 1,5 mi.  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Coaph</dc:title>
  <dc:creator>HealthMatch</dc:creator>
  <cp:lastModifiedBy>Un-named</cp:lastModifiedBy>
  <cp:revision>1</cp:revision>
  <dcterms:created xsi:type="dcterms:W3CDTF">2026-06-27T00:02:30.902Z</dcterms:created>
  <dcterms:modified xsi:type="dcterms:W3CDTF">2026-06-27T00:02:30.903Z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