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  <w:r>
        <w:rPr>
          <w:rFonts w:ascii="Arial" w:cs="Arial" w:eastAsia="Arial" w:hAnsi="Arial"/>
          <w:b/>
          <w:bCs/>
          <w:color w:val="0B2D5B"/>
          <w:sz w:val="72"/>
          <w:szCs w:val="72"/>
        </w:rPr>
        <w:t xml:space="preserve">HealthMatch</w:t>
      </w:r>
    </w:p>
    <w:p>
      <w:pPr>
        <w:pBdr>
          <w:bottom w:val="single" w:color="0B74D1" w:sz="12" w:space="6"/>
        </w:pBdr>
        <w:spacing w:after="240"/>
      </w:pPr>
      <w:r>
        <w:rPr>
          <w:rFonts w:ascii="Arial" w:cs="Arial" w:eastAsia="Arial" w:hAnsi="Arial"/>
          <w:color w:val="0B74D1"/>
          <w:sz w:val="40"/>
          <w:szCs w:val="40"/>
        </w:rPr>
        <w:t xml:space="preserve">Business Plan</w:t>
      </w:r>
    </w:p>
    <w:p>
      <w:pPr>
        <w:spacing w:after="600" w:line="264"/>
      </w:pPr>
      <w:r>
        <w:rPr>
          <w:rFonts w:ascii="Arial" w:cs="Arial" w:eastAsia="Arial" w:hAnsi="Arial"/>
          <w:color w:val="333333"/>
          <w:sz w:val="26"/>
          <w:szCs w:val="26"/>
        </w:rPr>
        <w:t xml:space="preserve">Plataforma de gestão e alocação inteligente de força de trabalho em saúde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Versão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Captação Pre-seed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Junho / 2026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Estágio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Pré-lançamento — produto funcionalmente pronto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Beachhead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Fortaleza / Ceará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Híbrido: SaaS (MRR) + fee de intermediação (take-rate)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Captação-alvo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R$ 1,5 milhão (pre-seed)</w:t>
            </w:r>
          </w:p>
        </w:tc>
      </w:tr>
    </w:tbl>
    <w:p>
      <w:pPr>
        <w:spacing w:after="400"/>
      </w:pP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Documento confidencial. Em pré-lançamento, sem receita realizada: todas as projeções são premissas de mercado, sinalizadas com 🔹, baseadas em benchmarks de SaaS/marketplace no Brasil (2024–2025) e a validar no piloto com a cooperativa-âncora.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0B2D5B"/>
          <w:sz w:val="32"/>
          <w:szCs w:val="32"/>
        </w:rPr>
        <w:t xml:space="preserve">Sumário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1. Sumário executivo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3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2. Descrição da plataforma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4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3. Análise de mercado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5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4. Público-alvo e personas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7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5. Produto e funcionalidades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8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6. Estratégia de marketing e vendas (Go-to-Market)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9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7. Estrutura operacional e equipe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10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8. Plano financeiro SaaS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11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9. Análise SWOT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13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10. Riscos e plano de mitigação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14</w:t>
      </w:r>
    </w:p>
    <w:p>
      <w:pPr>
        <w:tabs>
          <w:tab w:val="right" w:pos="9026" w:leader="dot"/>
        </w:tabs>
        <w:spacing w:after="100" w:line="276"/>
      </w:pPr>
      <w:r>
        <w:rPr>
          <w:rFonts w:ascii="Arial" w:cs="Arial" w:eastAsia="Arial" w:hAnsi="Arial"/>
          <w:color w:val="1A2B45"/>
          <w:sz w:val="22"/>
          <w:szCs w:val="22"/>
        </w:rPr>
        <w:t xml:space="preserve">11. Roadmap e próximos passos (12–36 meses)</w:t>
      </w: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	15</w:t>
      </w:r>
    </w:p>
    <w:p>
      <w:pPr>
        <w:pStyle w:val="Heading1"/>
        <w:pageBreakBefore/>
      </w:pPr>
      <w:r>
        <w:t xml:space="preserve">1. Sumário executivo</w:t>
      </w:r>
    </w:p>
    <w:p>
      <w:pPr>
        <w:spacing w:after="120" w:line="264"/>
      </w:pPr>
      <w:r>
        <w:t xml:space="preserve">HealthMatch é uma plataforma B2B (SaaS + marketplace gerenciado) que resolve uma das dores mais caras e silenciosas da saúde brasileira: preencher plantões e vagas com o profissional certo, credenciado e disponível, no tempo certo — hoje feito à mão, por WhatsApp, planilhas e telefonemas.</w:t>
      </w:r>
    </w:p>
    <w:p>
      <w:pPr>
        <w:spacing w:after="120" w:line="264"/>
      </w:pPr>
      <w:r>
        <w:t xml:space="preserve">A plataforma combina um motor de matching (especialidade, CBO, situação de credenciamento, histórico de comparecimento e conflito de agenda), um agente de IA conversacional que aborda e negocia plantões via WhatsApp, e um back-office financeiro de intermediação (recebíveis do cliente, pagáveis ao profissional e margem da plataforma) — com trilha de auditoria e gestão de documentos.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Diferencial de entrada (wedge): </w:t>
      </w:r>
      <w:r>
        <w:rPr>
          <w:rFonts w:ascii="Arial" w:cs="Arial" w:eastAsia="Arial" w:hAnsi="Arial"/>
          <w:sz w:val="22"/>
          <w:szCs w:val="22"/>
        </w:rPr>
        <w:t xml:space="preserve">o investidor-âncora é uma grande cooperativa de saúde do Ceará com 55 mil cooperados, que será simultaneamente (a) investidor estratégico, (b) primeiro cliente-âncora e (c) base massiva de oferta de profissionais. Isso elimina o problema do “ovo e galinha” de marketplaces: o HealthMatch nasce com liquidez de oferta e demanda no dia 1, com CAC de profissionais próximo de zero.</w:t>
      </w:r>
    </w:p>
    <w:p>
      <w:pPr>
        <w:spacing w:after="80"/>
      </w:pP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Resumo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Modelo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Híbrido: assinatura SaaS (MRR) + fee de intermediação (take-rate sobre GMV de plantões)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Mercado (TAM Brasil)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~R$ 15–20 bi/ano em GMV de plantões/escalas de saúde (estimativa bottom-up)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Beachhead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Cooperativas de saúde do Ceará/Nordeste → hospitais privados → setor público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Status do produto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Funcionalmente completo e testado internamente; pronto para o primeiro piloto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Ask (pre-seed)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R$ 1,5 mi para ~20 meses de runway até o break-even operacional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Projeção realista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Receita líquida Ano 1 ~R$ 1,1 mi → Ano 3 ~R$ 16,5 mi; break-even ~mês 20–22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Time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Fundador solo (bootstrap); a rodada financia eng, CS/Ops e comercial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A tese: </w:t>
      </w:r>
      <w:r>
        <w:rPr>
          <w:rFonts w:ascii="Arial" w:cs="Arial" w:eastAsia="Arial" w:hAnsi="Arial"/>
          <w:sz w:val="22"/>
          <w:szCs w:val="22"/>
        </w:rPr>
        <w:t xml:space="preserve">o staffing de saúde tech-enabled está validado globalmente (Nomad Health, Trusted Health, Medely nos EUA; Patchwork e Locum’s Nest no Reino Unido captaram centenas de milhões de dólares). No Brasil, o setor é gigante e ainda artesanal. O HealthMatch ataca esse mercado com um canal de distribuição privilegiado (a rede de cooperativas de saúde) e um produto pronto.</w:t>
      </w:r>
    </w:p>
    <w:p>
      <w:pPr>
        <w:pStyle w:val="Heading1"/>
        <w:pageBreakBefore/>
      </w:pPr>
      <w:r>
        <w:t xml:space="preserve">2. Descrição da plataforma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Missão: </w:t>
      </w:r>
      <w:r>
        <w:rPr>
          <w:rFonts w:ascii="Arial" w:cs="Arial" w:eastAsia="Arial" w:hAnsi="Arial"/>
          <w:sz w:val="22"/>
          <w:szCs w:val="22"/>
        </w:rPr>
        <w:t xml:space="preserve">garantir que toda unidade de saúde tenha o profissional certo no plantão certo — com agilidade, conformidade e custo justo.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Visão: </w:t>
      </w:r>
      <w:r>
        <w:rPr>
          <w:rFonts w:ascii="Arial" w:cs="Arial" w:eastAsia="Arial" w:hAnsi="Arial"/>
          <w:sz w:val="22"/>
          <w:szCs w:val="22"/>
        </w:rPr>
        <w:t xml:space="preserve">ser a camada de inteligência operacional do trabalho em saúde no Brasil — o “sistema operacional” que conecta profissionais, unidades, cooperativas e o poder público.</w:t>
      </w:r>
    </w:p>
    <w:p>
      <w:pPr>
        <w:pStyle w:val="Heading2"/>
      </w:pPr>
      <w:r>
        <w:t xml:space="preserve">Proposta de valor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quem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Dor hoje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o HealthMatch entrega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Cooperativas / intermediadoras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Escala manual, WhatsApp, plantão descoberto, baixa visibilidade financeira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Preenchimento automatizado, IA que negocia plantões 24/7, painel de margem em tempo real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Hospitais / redes privadas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descobertos, dependência de poucos plantonistas, credenciamento manual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Banco de plantonistas qualificados, matching com checagem de credencial e conflito de agenda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Setor público (SUS / UPAs)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Dificuldade de cobertura, controle de presença, conformidade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de escala com auditoria, controle de comparecimento e rastreabilidade</w:t>
            </w:r>
          </w:p>
        </w:tc>
      </w:tr>
      <w:tr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Profissionais de saúde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via grupos informais, atrasos de pagamento, burocracia</w:t>
            </w:r>
          </w:p>
        </w:tc>
        <w:tc>
          <w:tcPr>
            <w:tcW w:type="dxa" w:w="33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Ofertas compatíveis com o perfil via WhatsApp e transparência de pagamento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Capacidades já existentes no produto: </w:t>
      </w:r>
      <w:r>
        <w:rPr>
          <w:rFonts w:ascii="Arial" w:cs="Arial" w:eastAsia="Arial" w:hAnsi="Arial"/>
          <w:sz w:val="22"/>
          <w:szCs w:val="22"/>
        </w:rPr>
        <w:t xml:space="preserve">cadastro regulatório-aware (conselhos CRM/COREN/CREFITO, CBO, RQE, especialidades); matching com detecção de conflito de agenda e no-show; pipeline de vagas; candidaturas → alocações → escala com controle de presença; mensageria omnichannel (WhatsApp/SMS/e-mail) com agente de IA e handoff humano; financeiro de intermediação com margem; auditoria completa; RBAC; e white-label.</w:t>
      </w:r>
    </w:p>
    <w:p>
      <w:pPr>
        <w:pStyle w:val="Heading1"/>
        <w:pageBreakBefore/>
      </w:pPr>
      <w:r>
        <w:t xml:space="preserve">3. Análise de mercado</w:t>
      </w:r>
    </w:p>
    <w:p>
      <w:pPr>
        <w:pStyle w:val="Heading2"/>
      </w:pPr>
      <w:r>
        <w:t xml:space="preserve">3.1 Contexto</w:t>
      </w:r>
    </w:p>
    <w:p>
      <w:pPr>
        <w:spacing w:after="120" w:line="264"/>
      </w:pPr>
      <w:r>
        <w:t xml:space="preserve">O Brasil tem ~562 mil médicos ativos (CFM, 2024) e mais de 2,5 milhões de profissionais de saúde no total. A demanda por plantões é estrutural e crescente: envelhecimento populacional, expansão de UPAs/UBS, judicialização da saúde e déficit crônico de cobertura fora dos grandes centros. O preenchimento de plantões é, hoje, majoritariamente manual — grupos de WhatsApp, planilhas, agências locais e cooperativas com pouca tecnologia.</w:t>
      </w:r>
    </w:p>
    <w:p>
      <w:pPr>
        <w:pStyle w:val="Heading2"/>
      </w:pPr>
      <w:r>
        <w:t xml:space="preserve">3.2 TAM / SAM / SOM (bottom-up)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Metodologia: GMV de plantões = nº de plantões/ano × ticket médio (assumido R$ 1.300/plantão de 12h; Nordeste tende a ser menor que SP). A receita endereçável é uma fração do GMV (take-rate + SaaS).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500"/>
        <w:gridCol w:w="3526"/>
        <w:gridCol w:w="200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Definição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GMV/ano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Receita endereçável (≈10%)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Todo o GMV de plantões/escalas de saúde no Brasil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R$ 15–20 bi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R$ 1,5–2,0 bi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Nordeste + cooperativas/hospitais privados/público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R$ 3–4 bi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R$ 300–450 mi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SOM (3–5 anos)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CE + cooperativas adjacentes do NE capturáveis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R$ 150–300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🔹 R$ 15–30 mi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t xml:space="preserve">O SOM converge com a projeção financeira (Ano 3 realista ~R$ 16,5 mi de receita líquida), mantendo o plano internamente consistente.</w:t>
      </w:r>
    </w:p>
    <w:p>
      <w:pPr>
        <w:pStyle w:val="Heading2"/>
      </w:pPr>
      <w:r>
        <w:t xml:space="preserve">3.3 Tendências favoráveis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Digitalização tardia da saúde operacional — a “última milha” (RH/escala) ainda é manual.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Maturação do WhatsApp Business + IA generativa: automação de recrutamento conversacional a custo marginal baixíssimo.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Pressão por eficiência e conformidade no setor público (controle de presença, prestação de contas).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Modelo validado lá fora: Nomad Health, Trusted Health, Medely, ShiftMed (EUA); Patchwork, Locum’s Nest (Reino Unido).</w:t>
      </w:r>
    </w:p>
    <w:p>
      <w:pPr>
        <w:pStyle w:val="Heading2"/>
      </w:pPr>
      <w:r>
        <w:t xml:space="preserve">3.4 Concorrência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400"/>
        <w:gridCol w:w="2400"/>
        <w:gridCol w:w="2113"/>
        <w:gridCol w:w="2113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Categoria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Quem é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Força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Fraqueza (oportunidade)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quo informal (concorrente #1)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WhatsApp, planilhas, telefonemas, “donos de escala”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 zero, já existe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escala, sem auditoria, sem matching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Agências/cooperativas tradicionais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Intermediadoras regionais, cooperativas médicas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Relacionamento, base de médicos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Pouca tecnologia, margens opacas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Software hospitalar (HIS)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Tasy/MV, Soul MV, ProDoctor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Implantados em hospitais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foco em matching, IA e plantão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Gestão de clínicas / agenda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iClinic, Feegow, Docplanner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Base instalada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Foco em agenda clínica, não em escala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Marketplaces de saúde adjacentes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Conexa, Docway (telemedicina)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Tração digital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atacam escala/plantão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Comps internacionais (validação)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Nomad, Trusted, Medely, Patchwork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Provam o modelo e o tamanho</w:t>
            </w:r>
          </w:p>
        </w:tc>
        <w:tc>
          <w:tcPr>
            <w:tcW w:type="dxa" w:w="21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operam no Brasil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Insight competitivo: </w:t>
      </w:r>
      <w:r>
        <w:rPr>
          <w:rFonts w:ascii="Arial" w:cs="Arial" w:eastAsia="Arial" w:hAnsi="Arial"/>
          <w:sz w:val="22"/>
          <w:szCs w:val="22"/>
        </w:rPr>
        <w:t xml:space="preserve">o concorrente a vencer não é outro software — é o processo manual + agências locais. O HealthMatch ganha por ser ~10x mais rápido e barato que a operação manual, com conformidade e dados que o status quo não oferece, entrando por um canal que ninguém mais tem (a rede de cooperativas).</w:t>
      </w:r>
    </w:p>
    <w:p>
      <w:pPr>
        <w:pStyle w:val="Heading1"/>
        <w:pageBreakBefore/>
      </w:pPr>
      <w:r>
        <w:t xml:space="preserve">4. Público-alvo e personas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ICP recomendado (beachhead): </w:t>
      </w:r>
      <w:r>
        <w:rPr>
          <w:rFonts w:ascii="Arial" w:cs="Arial" w:eastAsia="Arial" w:hAnsi="Arial"/>
          <w:sz w:val="22"/>
          <w:szCs w:val="22"/>
        </w:rPr>
        <w:t xml:space="preserve">começar dentro da cooperativa-âncora como design partner e primeiro cliente, usando seus 55 mil cooperados como oferta. Provar o modelo em Fortaleza, replicar para outras cooperativas do Nordeste, depois hospitais/redes privadas e, por fim, o setor público (UPAs/UBS).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Por que esse beachhead e não “hospitais” ou “público” direto: a cooperativa entrega liquidez dos dois lados no dia 1 (demanda + oferta) e um campeão interno com capital. Hospitais privados têm venda consultiva mais longa; o setor público exige licitação e ciclos longos — ambos são expansão, não entrada.</w:t>
      </w:r>
    </w:p>
    <w:p>
      <w:pPr>
        <w:pStyle w:val="Heading2"/>
      </w:pPr>
      <w:r>
        <w:t xml:space="preserve">Personas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Coordenador(a) de escala da cooperativa (comprador/usuário-chave): vive apagando incêndio de plantão descoberto. Ganha automação e previsibilidade.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Diretor(a) financeiro/operações (decisor econômico): quer visibilidade de margem, redução de custo operacional e conformidade.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Médico/profissional cooperado (oferta): quer ofertas relevantes, sem burocracia e com pagamento transparente, pelo WhatsApp.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Gestor público/OSS de saúde (expansão): precisa cobrir UPAs/UBS com rastreabilidade para prestação de contas.</w:t>
      </w:r>
    </w:p>
    <w:p>
      <w:pPr>
        <w:pStyle w:val="Heading1"/>
        <w:pageBreakBefore/>
      </w:pPr>
      <w:r>
        <w:t xml:space="preserve">5. Produto e funcionalidades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Stack técnica: </w:t>
      </w:r>
      <w:r>
        <w:rPr>
          <w:rFonts w:ascii="Arial" w:cs="Arial" w:eastAsia="Arial" w:hAnsi="Arial"/>
          <w:sz w:val="22"/>
          <w:szCs w:val="22"/>
        </w:rPr>
        <w:t xml:space="preserve">Backend NestJS + Prisma + PostgreSQL; Frontend Next.js (App Router) + Tailwind; IA via Anthropic (modelo Haiku para custo marginal baixo); mensageria via Twilio/WhatsApp/Meta/Zenvia; auth por cookie httpOnly; deploy em Docker. Arquitetura modular (~20 módulos) e API REST padronizada.</w:t>
      </w:r>
    </w:p>
    <w:p>
      <w:pPr>
        <w:pStyle w:val="Heading2"/>
      </w:pPr>
      <w:r>
        <w:t xml:space="preserve">Módulos funcionais (implementados e testados — 32/32 testes de API, 14/14 de regras de negócio)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Matching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Pontua profissional × vaga (LOW/MEDIUM/HIGH), detecta conflito de agenda e elegibilidade, lista razões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Vagas &amp; Contratos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Pipeline completo de plantão (avulso, recorrente, cobertura, mensal, pool de reserva)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Candidaturas → Alocações → Escala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Aprovação gera alocação; controle de presença/ausência/atraso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conversacional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Aborda e negocia plantões via WhatsApp, com tool calls e handoff humano para ações críticas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Financeiro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Recebíveis (cliente/órgão público), pagáveis (profissional), taxa de plataforma e margem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Credenciamento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Conselhos, CBO, RQE, especialidades, documentos com validade e revisão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Auditoria &amp; RBAC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Trilha de toda mutação; perfis Admin/Manager/Operator/Viewer</w:t>
            </w:r>
          </w:p>
        </w:tc>
      </w:tr>
      <w:tr>
        <w:tc>
          <w:tcPr>
            <w:tcW w:type="dxa" w:w="2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White-label</w:t>
            </w:r>
          </w:p>
        </w:tc>
        <w:tc>
          <w:tcPr>
            <w:tcW w:type="dxa" w:w="6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Branding por cliente (essencial para vender a cooperativas com marca própria)</w:t>
            </w:r>
          </w:p>
        </w:tc>
      </w:tr>
    </w:tbl>
    <w:p>
      <w:pPr>
        <w:spacing w:after="10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Maturidade: </w:t>
      </w:r>
      <w:r>
        <w:rPr>
          <w:rFonts w:ascii="Arial" w:cs="Arial" w:eastAsia="Arial" w:hAnsi="Arial"/>
          <w:sz w:val="22"/>
          <w:szCs w:val="22"/>
        </w:rPr>
        <w:t xml:space="preserve">MVP construído e testado internamente, pronto para o primeiro piloto. Lacunas para escala (no roadmap): multi-tenancy robusto, billing automatizado (gateway/split), observabilidade, testes de carga e ativação plena do agente de IA.</w:t>
      </w:r>
    </w:p>
    <w:p>
      <w:pPr>
        <w:pStyle w:val="Heading1"/>
        <w:pageBreakBefore/>
      </w:pPr>
      <w:r>
        <w:t xml:space="preserve">6. Estratégia de marketing e vendas (Go-to-Market)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0 — Âncora (mês 0–6): </w:t>
      </w:r>
      <w:r>
        <w:rPr>
          <w:rFonts w:ascii="Arial" w:cs="Arial" w:eastAsia="Arial" w:hAnsi="Arial"/>
          <w:sz w:val="22"/>
          <w:szCs w:val="22"/>
        </w:rPr>
        <w:t xml:space="preserve">fechar a cooperativa como investidor + cliente-âncora. Piloto em 1–2 unidades/especialidades, provando redução de tempo de preenchimento e de plantões descobertos. O case da âncora vira a principal peça de venda (co-marketing).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1 — Densidade regional (mês 6–18): </w:t>
      </w:r>
      <w:r>
        <w:rPr>
          <w:rFonts w:ascii="Arial" w:cs="Arial" w:eastAsia="Arial" w:hAnsi="Arial"/>
          <w:sz w:val="22"/>
          <w:szCs w:val="22"/>
        </w:rPr>
        <w:t xml:space="preserve">expandir dentro da âncora e abordar outras cooperativas de saúde do Nordeste. Canal: venda direta consultiva (founder-led → 1º comercial), indicação da âncora e eventos do setor cooperativista.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Fase 2 — Novos segmentos (mês 18–36): </w:t>
      </w:r>
      <w:r>
        <w:rPr>
          <w:rFonts w:ascii="Arial" w:cs="Arial" w:eastAsia="Arial" w:hAnsi="Arial"/>
          <w:sz w:val="22"/>
          <w:szCs w:val="22"/>
        </w:rPr>
        <w:t xml:space="preserve">hospitais e redes privadas do NE; piloto no setor público (UPAs/UBS via OSS); início de motor de inbound (conteúdo, SEO, indicações).</w:t>
      </w:r>
    </w:p>
    <w:p>
      <w:pPr>
        <w:pStyle w:val="Heading2"/>
      </w:pPr>
      <w:r>
        <w:t xml:space="preserve">Canais de aquisição e CAC esperado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Indicação/rede de cooperativas (CAC mais baixo) — principal motor.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Venda direta consultiva (founder-led → SDR/closer).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Marketing de conteúdo + eventos setoriais (médio prazo).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🔹 Aquisição de profissionais (oferta): CAC ≈ R$ 0 na âncora (55 mil cooperados pré-existentes) — vantagem competitiva central.</w:t>
      </w:r>
    </w:p>
    <w:p>
      <w:pPr>
        <w:pStyle w:val="Heading1"/>
        <w:pageBreakBefore/>
      </w:pPr>
      <w:r>
        <w:t xml:space="preserve">7. Estrutura operacional e equipe</w:t>
      </w:r>
    </w:p>
    <w:p>
      <w:pPr>
        <w:spacing w:after="120" w:line="264"/>
      </w:pPr>
      <w:r>
        <w:t xml:space="preserve">Hoje: fundador solo (bootstrap), produto construído. A rodada financia o time mínimo viável para operar e escalar.</w:t>
      </w:r>
    </w:p>
    <w:p>
      <w:pPr>
        <w:pStyle w:val="Heading2"/>
      </w:pPr>
      <w:r>
        <w:t xml:space="preserve">Plano de contratação (uso da rodada)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100"/>
        <w:gridCol w:w="3463"/>
        <w:gridCol w:w="3463"/>
      </w:tblGrid>
      <w:tr>
        <w:trPr>
          <w:tblHeader/>
        </w:trP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Racional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Imediato (mês 0–3)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 Eng. full-stack sênior · 1 Customer Success/Ops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Hardening (multi-tenancy, billing) + onboarding da âncora e liquidez do marketplace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Mês 3–9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 Eng. · 1 Comercial (founder-led → closer)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Sustentar a âncora e abrir novas cooperativas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Mês 9–18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 Eng./Dados · +1 CS · suporte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Escala de IA/matching e múltiplos clientes</w:t>
            </w:r>
          </w:p>
        </w:tc>
      </w:tr>
      <w:tr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Contínuo (PJ/fracionado)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Design, Financeiro/Contábil, Jurídico/Compliance</w:t>
            </w:r>
          </w:p>
        </w:tc>
        <w:tc>
          <w:tcPr>
            <w:tcW w:type="dxa" w:w="3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 variável até justificar CLT</w:t>
            </w:r>
          </w:p>
        </w:tc>
      </w:tr>
    </w:tbl>
    <w:p>
      <w:pPr>
        <w:spacing w:after="80"/>
      </w:pPr>
    </w:p>
    <w:p>
      <w:pPr>
        <w:spacing w:after="120" w:line="264"/>
      </w:pPr>
      <w:r>
        <w:t xml:space="preserve">Estrutura jurídica/operacional: PJ enxuta, contabilidade terceirizada, jurídico/LGPD e compliance regulatório (dados de saúde) como prioridade desde o início. O founder acumula CEO + Produto na fase pre-seed.</w:t>
      </w:r>
    </w:p>
    <w:p>
      <w:pPr>
        <w:pStyle w:val="Heading1"/>
        <w:pageBreakBefore/>
      </w:pPr>
      <w:r>
        <w:t xml:space="preserve">8. Plano financeiro SaaS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Premissas-base (a validar no piloto): ticket médio por plantão R$ 1.300; take-rate 5% (cons.) / 7% (real.) / 8% (otim.); ARPA SaaS ~R$ 4.000/conta/mês; margem bruta blended 62%/68%/72% (líquida de meios de pagamento ~1,8% do GMV, WhatsApp ~R$0,30/conversa e infra/IA); encargos trabalhistas ≈ 1,75× salário bruto.</w:t>
      </w:r>
    </w:p>
    <w:p>
      <w:pPr>
        <w:pStyle w:val="Heading2"/>
      </w:pPr>
      <w:r>
        <w:t xml:space="preserve">8.1 Drivers de volume (cenário realista)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Driver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 intermediados (média/mês)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12.000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Plantões/ano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9.600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54.000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144.000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GMV/ano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R$ 12,5 mi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R$ 70,2 mi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R$ 187,2 mi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Contas SaaS pagantes (saída do ano)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~25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~55</w:t>
            </w:r>
          </w:p>
        </w:tc>
      </w:tr>
      <w:tr>
        <w:tc>
          <w:tcPr>
            <w:tcW w:type="dxa" w:w="3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MRR (saída do ano)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R$ 35 mil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R$ 150 mil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R$ 420 mil</w:t>
            </w:r>
          </w:p>
        </w:tc>
      </w:tr>
    </w:tbl>
    <w:p>
      <w:pPr>
        <w:pStyle w:val="Heading2"/>
      </w:pPr>
      <w:r>
        <w:t xml:space="preserve">8.2 Receita — 3 cenários (receita líquida = take-rate + SaaS)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Cenário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R$ 0,43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R$ 2,26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R$ 6,38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Realista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R$ 1,09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R$ 5,99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R$ 16,5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Otimista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R$ 1,98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R$ 11,9 mi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R$ 33,3 mi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GMV (Ano 3)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R$ 187,2 mi</w:t>
            </w:r>
          </w:p>
        </w:tc>
      </w:tr>
    </w:tbl>
    <w:p>
      <w:pPr>
        <w:pStyle w:val="Heading2"/>
      </w:pPr>
      <w:r>
        <w:t xml:space="preserve">8.3 DRE resumida (cenário realista, R$ mil)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26"/>
        <w:gridCol w:w="2000"/>
        <w:gridCol w:w="2000"/>
        <w:gridCol w:w="2000"/>
      </w:tblGrid>
      <w:tr>
        <w:trPr>
          <w:tblHeader/>
        </w:trP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Linha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 3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Receita líquida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5.990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16.500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(–) COGS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(1.917)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(5.280)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Lucro bruto (≈68%)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740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4.073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11.220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Pessoal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(1.100)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(2.400)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(4.800)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Marketing &amp; Vendas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(600)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(1.800)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 / ferramentas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(120)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(700)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G&amp;A / jurídico / contábil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(120)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(300)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(700)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Opex total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(1.490)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(3.600)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(8.000)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EBITDA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(750)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+473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+3.220</w:t>
            </w:r>
          </w:p>
        </w:tc>
      </w:tr>
      <w:tr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Margem EBITDA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–69%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+8%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+20%</w:t>
            </w:r>
          </w:p>
        </w:tc>
      </w:tr>
    </w:tbl>
    <w:p>
      <w:pPr>
        <w:spacing w:after="60"/>
      </w:pP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Break-even operacional (realista): ~mês 20–22 </w:t>
      </w:r>
      <w:r>
        <w:rPr>
          <w:rFonts w:ascii="Arial" w:cs="Arial" w:eastAsia="Arial" w:hAnsi="Arial"/>
          <w:sz w:val="22"/>
          <w:szCs w:val="22"/>
        </w:rPr>
        <w:t xml:space="preserve">(durante o Ano 2). Conservador: ~mês 30+ (pode exigir ponte). Otimista: ~mês 14–16.</w:t>
      </w:r>
    </w:p>
    <w:p>
      <w:pPr>
        <w:pStyle w:val="Heading2"/>
      </w:pPr>
      <w:r>
        <w:t xml:space="preserve">8.4 Métricas-chave SaaS (visão SaaS-only, conservadora)</w:t>
      </w: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🔹 Reporto a visão SaaS-only para ser defensável em pré-lançamento. A economia blended (SaaS + take-rate por cliente) é materialmente superior, mas limitada por liquidez, não por CAC.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2926"/>
        <w:gridCol w:w="2200"/>
        <w:gridCol w:w="1900"/>
        <w:gridCol w:w="2000"/>
      </w:tblGrid>
      <w:tr>
        <w:trPr>
          <w:tblHeader/>
        </w:trP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Benchmark BR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R$ 4.000/mês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Mix institucional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(conta institucional)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R$ 15.000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Venda consultiva B2B saúde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Churn anual (logo)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12%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10–15% bom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 switching cost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LTV (36m capado)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~R$ 115 mil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Conservador (sem take)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LTV / CAC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~7,7×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&gt;3 saudável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Forte; sobe no blended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Payback de CAC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~4,7 meses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&lt;12m saudável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Excelente</w:t>
            </w:r>
          </w:p>
        </w:tc>
      </w:tr>
      <w:tr>
        <w:tc>
          <w:tcPr>
            <w:tcW w:type="dxa" w:w="2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de profissionais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≈ R$ 0 na âncora</w:t>
            </w:r>
          </w:p>
        </w:tc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Vantagem estrutural</w:t>
            </w:r>
          </w:p>
        </w:tc>
      </w:tr>
    </w:tbl>
    <w:p>
      <w:pPr>
        <w:pStyle w:val="Heading2"/>
      </w:pPr>
      <w:r>
        <w:t xml:space="preserve">8.5 Necessidade de investimento (o “ask”)</w:t>
      </w:r>
    </w:p>
    <w:p>
      <w:pPr>
        <w:spacing w:after="120" w:line="264"/>
      </w:pPr>
      <w:r>
        <w:rPr>
          <w:rFonts w:ascii="Arial" w:cs="Arial" w:eastAsia="Arial" w:hAnsi="Arial"/>
          <w:b/>
          <w:bCs/>
          <w:color w:val="0B2D5B"/>
          <w:sz w:val="22"/>
          <w:szCs w:val="22"/>
        </w:rPr>
        <w:t xml:space="preserve">Captação pre-seed: R$ 1,5 milhão </w:t>
      </w:r>
      <w:r>
        <w:rPr>
          <w:rFonts w:ascii="Arial" w:cs="Arial" w:eastAsia="Arial" w:hAnsi="Arial"/>
          <w:sz w:val="22"/>
          <w:szCs w:val="22"/>
        </w:rPr>
        <w:t xml:space="preserve">para ~20 meses de runway, cruzando o vale de burn do Ano 1 (~R$ 750 mil) com folga até o break-even.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563"/>
        <w:gridCol w:w="1200"/>
        <w:gridCol w:w="1800"/>
        <w:gridCol w:w="2463"/>
      </w:tblGrid>
      <w:tr>
        <w:trPr>
          <w:tblHeader/>
        </w:trP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Destino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Valor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Para quê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Produto &amp; Engenharia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R$ 825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Eng, multi-tenancy, billing/split, IA em produção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GTM (Vendas &amp; Marketing)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R$ 270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CS/Ops, comercial, co-marketing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 &amp; COGS iniciais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R$ 150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Cloud, WhatsApp, meios de pagamento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Jurídico/Compliance/LGPD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R$ 135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Dados de saúde, contratos, IP</w:t>
            </w:r>
          </w:p>
        </w:tc>
      </w:tr>
      <w:tr>
        <w:tc>
          <w:tcPr>
            <w:tcW w:type="dxa" w:w="35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Reserva/contingência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R$ 120 mil</w:t>
            </w:r>
          </w:p>
        </w:tc>
        <w:tc>
          <w:tcPr>
            <w:tcW w:type="dxa" w:w="24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Buffer</w:t>
            </w:r>
          </w:p>
        </w:tc>
      </w:tr>
    </w:tbl>
    <w:p>
      <w:pPr>
        <w:spacing w:after="80"/>
      </w:pPr>
    </w:p>
    <w:p>
      <w:pPr>
        <w:pBdr>
          <w:left w:val="single" w:color="1F6FB2" w:sz="18" w:space="8"/>
        </w:pBdr>
        <w:shd w:fill="EEF4FA" w:val="clear"/>
        <w:spacing w:after="160" w:before="80" w:line="252"/>
      </w:pPr>
      <w:r>
        <w:rPr>
          <w:rFonts w:ascii="Arial" w:cs="Arial" w:eastAsia="Arial" w:hAnsi="Arial"/>
          <w:i/>
          <w:iCs/>
          <w:color w:val="333333"/>
          <w:sz w:val="18"/>
          <w:szCs w:val="18"/>
        </w:rPr>
        <w:t xml:space="preserve">Recomendação estratégica: estruturar a rodada com a cooperativa-âncora como investidora estratégica (“smart money”) — capital + primeiro contrato + oferta de 55 mil profissionais + porta para outras cooperativas. Idealmente um SAFE / nota conversível com teto (sugiro discutir a faixa de R$ 6–10 mi) e desconto, evitando travar valuation cedo.</w:t>
      </w:r>
    </w:p>
    <w:p>
      <w:pPr>
        <w:pStyle w:val="Heading1"/>
        <w:pageBreakBefore/>
      </w:pPr>
      <w:r>
        <w:t xml:space="preserve">9. Análise SWOT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A3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Forças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4530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Fraquezas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Produto construído e testado, pronto para piloto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Canal de distribuição único (rede de cooperativas)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Liquidez de oferta no dia 1 (55k cooperados)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+ matching + financeiro num só lugar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CAC de oferta ≈ 0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Fundador solo; sem time formado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Sem receita/tração comercial ainda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Dependência inicial de um único cliente-âncora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Multi-tenancy/billing ainda a construir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Produto ainda sem validação com clientes reais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6FB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Oportunidades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9B1C1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Ameaças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Mercado enorme e manual (R$ bi em GMV)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Expansão para o setor público (SUS/UPAs)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Sistema cooperativista nacional como esteira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reduz custo operacional drasticamente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Cooperativa/cliente decidir construir in-house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Mudança regulatória (CLT × PJ, LGPD)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Players internacionais entrarem no Brasil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3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Concentração: perder a âncora seria crítico</w:t>
            </w:r>
          </w:p>
        </w:tc>
      </w:tr>
    </w:tbl>
    <w:p>
      <w:pPr>
        <w:pStyle w:val="Heading1"/>
        <w:pageBreakBefore/>
      </w:pPr>
      <w:r>
        <w:t xml:space="preserve">10. Riscos e plano de mitigação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Prob./Impacto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B2D5B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Concentração na âncora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Usar o piloto para abrir 2–3 cooperativas no Ano 1; contrato plurianual com a âncora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Product-market fit ainda não comprovado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Piloto rápido com a âncora, com métricas de sucesso definidas (tempo de preenchimento, % de plantões descobertos)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Regulatório/trabalhista (PJ × CLT)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Jurídico especializado; posicionar como ferramenta de gestão da cooperativa, que detém o vínculo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LGPD / dados sensíveis de saúde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Médio/Alto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Compliance desde o início; criptografia, RBAC, DPO terceirizado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Meios de pagamento erodirem o take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Negociar split/escrow; opção “track-only” reduz COGS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Execução com time pequeno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Médio/Médio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Contratações-chave logo na rodada; founder foca em produto + âncora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Adoção pelos profissionais (oferta)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Baixo/Médio</w:t>
            </w:r>
          </w:p>
        </w:tc>
        <w:tc>
          <w:tcPr>
            <w:tcW w:type="dxa" w:w="4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IA via WhatsApp reduz fricção; âncora já tem relacionamento com cooperados</w:t>
            </w:r>
          </w:p>
        </w:tc>
      </w:tr>
    </w:tbl>
    <w:p>
      <w:pPr>
        <w:pStyle w:val="Heading1"/>
        <w:pageBreakBefore/>
      </w:pPr>
      <w:r>
        <w:t xml:space="preserve">11. Roadmap e próximos passos (12–36 meses)</w:t>
      </w:r>
    </w:p>
    <w:p>
      <w:pPr>
        <w:pStyle w:val="Heading2"/>
      </w:pPr>
      <w:r>
        <w:t xml:space="preserve">0–6 meses — Fundação &amp; Âncora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Fechar rodada pre-seed (com a cooperativa como investidora estratégica).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Contratar Eng. sênior + CS/Ops. Blindar IP/LGPD.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Hardening: multi-tenancy + billing/split + IA em produção.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Piloto na âncora → métricas: tempo de preenchimento, % plantões descobertos, NPS do coordenador.</w:t>
      </w:r>
    </w:p>
    <w:p>
      <w:pPr>
        <w:pStyle w:val="Heading2"/>
      </w:pPr>
      <w:r>
        <w:t xml:space="preserve">6–18 meses — Densidade regional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Expandir dentro da âncora; abrir 2–3 cooperativas do 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1º comercial; co-marketing do case.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Meta: MRR ~R$ 150 mil e GMV ~R$ 70 mi/ano (realista) → break-even ~mês 20–22.</w:t>
      </w:r>
    </w:p>
    <w:p>
      <w:pPr>
        <w:pStyle w:val="Heading2"/>
      </w:pPr>
      <w:r>
        <w:t xml:space="preserve">18–36 meses — Expansão de segmento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Hospitais/redes privadas do NE; piloto no setor público (UPAs/UBS).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Motor de inbound (conteúdo/SEO) e indicações.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Preparar rodada seed (com tração) para expansão nacional via sistema cooperativista.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Meta: receita líquida ~R$ 16,5 mi e EBITDA positivo (~20%).</w:t>
      </w:r>
    </w:p>
    <w:p>
      <w:pPr>
        <w:spacing w:after="160"/>
      </w:pPr>
    </w:p>
    <w:p>
      <w:pPr>
        <w:pStyle w:val="Heading2"/>
      </w:pPr>
      <w:r>
        <w:t xml:space="preserve">Premissas críticas a validar no piloto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Ticket médio do plantão e take-rate aceito pela cooperativa (🔹 R$ 1.300 / 7%).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Volume real de plantões que migram para a plataforma.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Disposição da âncora a pagar SaaS e fee (modelo híbrido) — ou se concentra em um.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Custo efetivo de meios de pagamento (define operar o fluxo financeiro ou só “track-only”).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Churn e expansão reais entre cooperativas.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HealthMatch — Business Plan</w:t>
    </w:r>
    <w:r>
      <w:rPr>
        <w:rFonts w:ascii="Arial" w:cs="Arial" w:eastAsia="Arial" w:hAnsi="Arial"/>
        <w:color w:val="888888"/>
        <w:sz w:val="16"/>
        <w:szCs w:val="16"/>
      </w:rPr>
      <w:t xml:space="preserve">	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74D1" w:sz="8" w:space="4"/>
      </w:pBdr>
      <w:spacing w:after="160" w:before="320"/>
      <w:outlineLvl w:val="0"/>
    </w:pPr>
    <w:rPr>
      <w:rFonts w:ascii="Arial" w:cs="Arial" w:eastAsia="Arial" w:hAnsi="Arial"/>
      <w:b/>
      <w:bCs/>
      <w:color w:val="0B2D5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6FB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HealthMatch — Business Plan</dc:title>
  <dc:creator>HealthMatch</dc:creator>
  <cp:lastModifiedBy>Un-named</cp:lastModifiedBy>
  <cp:revision>1</cp:revision>
  <dcterms:created xsi:type="dcterms:W3CDTF">2026-06-23T02:36:45.421Z</dcterms:created>
  <dcterms:modified xsi:type="dcterms:W3CDTF">2026-06-23T02:36:45.421Z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