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</w:pPr>
      <w:r>
        <w:rPr>
          <w:rFonts w:ascii="Arial" w:cs="Arial" w:eastAsia="Arial" w:hAnsi="Arial"/>
          <w:b/>
          <w:bCs/>
          <w:color w:val="0B2D5B"/>
          <w:sz w:val="72"/>
          <w:szCs w:val="72"/>
        </w:rPr>
        <w:t xml:space="preserve">HealthMatch</w:t>
      </w:r>
    </w:p>
    <w:p>
      <w:pPr>
        <w:pBdr>
          <w:bottom w:val="single" w:color="0B74D1" w:sz="12" w:space="6"/>
        </w:pBdr>
        <w:spacing w:after="240"/>
      </w:pPr>
      <w:r>
        <w:rPr>
          <w:rFonts w:ascii="Arial" w:cs="Arial" w:eastAsia="Arial" w:hAnsi="Arial"/>
          <w:color w:val="0B74D1"/>
          <w:sz w:val="40"/>
          <w:szCs w:val="40"/>
        </w:rPr>
        <w:t xml:space="preserve">Business Plan</w:t>
      </w:r>
    </w:p>
    <w:p>
      <w:pPr>
        <w:spacing w:after="560" w:line="264"/>
      </w:pPr>
      <w:r>
        <w:rPr>
          <w:rFonts w:ascii="Arial" w:cs="Arial" w:eastAsia="Arial" w:hAnsi="Arial"/>
          <w:color w:val="333333"/>
          <w:sz w:val="24"/>
          <w:szCs w:val="24"/>
        </w:rPr>
        <w:t xml:space="preserve">Software estratégico de automação operacional para a Coaph — com opção de virar plataforma escalável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Versão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Captação Pre-seed (revisão corporate venture)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Junho / 2026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Estágio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Pré-lançamento — produto funcionalmente pronto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Âncora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(Fortaleza / Ceará) — investidor-cliente âncora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Defensiva (economia operacional da Coaph) + ofensiva (escala) — opcional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R$ 1,5 milhão — trancheado por resultado</w:t>
            </w:r>
          </w:p>
        </w:tc>
      </w:tr>
    </w:tbl>
    <w:p>
      <w:pPr>
        <w:spacing w:after="36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Documento confidencial. Empresa em pré-lançamento, sem receita realizada. As projeções de receita do HealthMatch (tese ofensiva) são premissas de mercado (🔹). A economia operacional da Coaph (tese defensiva) parte de um custo atual informado (~R$ 240 mil/mês) e de percentuais a validar no piloto. As duas lentes são separadas e não se somam.</w:t>
      </w:r>
    </w:p>
    <w:p>
      <w:r>
        <w:br w:type="page"/>
      </w:r>
    </w:p>
    <w:p>
      <w:pPr>
        <w:spacing w:after="240"/>
      </w:pPr>
      <w:r>
        <w:rPr>
          <w:rFonts w:ascii="Arial" w:cs="Arial" w:eastAsia="Arial" w:hAnsi="Arial"/>
          <w:b/>
          <w:bCs/>
          <w:color w:val="0B2D5B"/>
          <w:sz w:val="32"/>
          <w:szCs w:val="32"/>
        </w:rPr>
        <w:t xml:space="preserve">Sumário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1. Sumário executivo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3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2. A tese de investimento (defensiva + ofensiva)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4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3. Business Case para a Coaph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5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4. Descrição da plataforma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6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5. Análise de mercado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7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6. Público-alvo e personas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8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7. Produto e funcionalidades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9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8. Estratégia de marketing e vendas (Go-to-Market)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10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9. Estrutura operacional e equipe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11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10. Plano financeiro do HealthMatch (tese ofensiva)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12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11. KPIs do piloto Coaph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13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12. Análise SWOT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14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13. Riscos e plano de mitigação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15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14. Recomendação de investimento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16</w:t>
      </w:r>
    </w:p>
    <w:p>
      <w:pPr>
        <w:tabs>
          <w:tab w:val="right" w:pos="9026" w:leader="dot"/>
        </w:tabs>
        <w:spacing w:after="90" w:line="264"/>
      </w:pPr>
      <w:r>
        <w:rPr>
          <w:rFonts w:ascii="Arial" w:cs="Arial" w:eastAsia="Arial" w:hAnsi="Arial"/>
          <w:color w:val="1A2B45"/>
          <w:sz w:val="22"/>
          <w:szCs w:val="22"/>
        </w:rPr>
        <w:t xml:space="preserve">15. Roadmap e próximos passos</w:t>
      </w: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	17</w:t>
      </w:r>
    </w:p>
    <w:p>
      <w:pPr>
        <w:pStyle w:val="Heading1"/>
        <w:pageBreakBefore/>
      </w:pPr>
      <w:r>
        <w:t xml:space="preserve">1. Sumário executivo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HealthMatch é, antes de tudo, um software estratégico de automação operacional para a Coaph</w:t>
      </w:r>
      <w:r>
        <w:rPr>
          <w:rFonts w:ascii="Arial" w:cs="Arial" w:eastAsia="Arial" w:hAnsi="Arial"/>
          <w:sz w:val="22"/>
          <w:szCs w:val="22"/>
        </w:rPr>
        <w:t xml:space="preserve"> — que automatiza a gestão de plantões, escalas, contatos, confirmações e o back-office financeiro hoje feitos à mão. Em segundo plano, é uma plataforma com potencial de escalar para outras cooperativas, hospitais e o setor público.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Hoje a Coaph gasta ~R$ 240 mil/mês (R$ 2,88 mi/ano) com prepostos</w:t>
      </w:r>
      <w:r>
        <w:rPr>
          <w:rFonts w:ascii="Arial" w:cs="Arial" w:eastAsia="Arial" w:hAnsi="Arial"/>
          <w:sz w:val="22"/>
          <w:szCs w:val="22"/>
        </w:rPr>
        <w:t xml:space="preserve"> dedicados à gestão manual de plantões. O HealthMatch ataca diretamente esse custo. É isso que sustenta o investimento — não a promessa de escala nacional.</w:t>
      </w:r>
    </w:p>
    <w:p>
      <w:pPr>
        <w:pStyle w:val="Heading2"/>
      </w:pPr>
      <w:r>
        <w:t xml:space="preserve">Duas teses, deliberadamente separadas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3663"/>
        <w:gridCol w:w="3663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Tese defensiva (base da decisão)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Tese ofensiva (upside opcional)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Lógica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Reduzir o custo operacional da própria Coaph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Virar plataforma para outras cooperativas, hospitais e setor público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Métrica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mensal sobre os R$ 240 mil/mês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recorrente (SaaS) + take-rate (GMV)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Quem ganha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(como cliente)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HealthMatch (como empresa) e investidores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Papel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 o aporte sozinha</w:t>
            </w:r>
          </w:p>
        </w:tc>
        <w:tc>
          <w:tcPr>
            <w:tcW w:type="dxa" w:w="36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Multiplica o retorno se acontecer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O pior cenário aceitável: </w:t>
      </w:r>
      <w:r>
        <w:rPr>
          <w:rFonts w:ascii="Arial" w:cs="Arial" w:eastAsia="Arial" w:hAnsi="Arial"/>
          <w:sz w:val="22"/>
          <w:szCs w:val="22"/>
        </w:rPr>
        <w:t xml:space="preserve">o HealthMatch gerar, dentro da Coaph, economia operacional suficiente para pagar o investimento. A 50% de substituição (realista), a economia é de R$ 120 mil/mês → payback de R$ 1,5 mi em ~12,5 meses, sem depender de um único cliente externo.</w:t>
      </w:r>
    </w:p>
    <w:p>
      <w:pPr>
        <w:spacing w:after="40"/>
      </w:pP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Resumo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Posicionamento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Automação operacional para a Coaph (defensivo) + opção de plataforma escalável (ofensivo)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 atacado (Coaph)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~R$ 240 mil/mês · R$ 2,88 mi/ano com prepostos/operação manual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Ask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R$ 1,5 milhão, trancheado e condicionado a metas de adoção e economia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Payback (defensivo, realista 50%)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~12,5 meses só com a economia da Coaph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Relação com a Coaph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Investidor-cliente âncora (aporta capital e assina contrato como cliente)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Status do produto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Funcionalmente completo e testado internamente; pronto para o piloto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Upside (ofensivo)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líquida Ano 3 ~R$ 16,5 mi (realista) se a escala externa acontecer</w:t>
            </w:r>
          </w:p>
        </w:tc>
      </w:tr>
    </w:tbl>
    <w:p>
      <w:pPr>
        <w:spacing w:after="8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Enquadramento honesto: para um investidor financeiro puro, o HealthMatch ainda é cedo (pré-receita, fundador solo, sem tração externa). Para a Coaph, o investimento pode ser racional mesmo sem escala externa, porque existe uma economia operacional concreta e mensurável de até R$ 240 mil/mês sendo atacada. A escala externa é upside, não premissa.</w:t>
      </w:r>
    </w:p>
    <w:p>
      <w:pPr>
        <w:pStyle w:val="Heading1"/>
        <w:pageBreakBefore/>
      </w:pPr>
      <w:r>
        <w:t xml:space="preserve">2. A tese de investimento (defensiva + ofensiva)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Tese defensiva — eficiência operacional da Coaph (a base). </w:t>
      </w:r>
      <w:r>
        <w:rPr>
          <w:rFonts w:ascii="Arial" w:cs="Arial" w:eastAsia="Arial" w:hAnsi="Arial"/>
          <w:sz w:val="22"/>
          <w:szCs w:val="22"/>
        </w:rPr>
        <w:t xml:space="preserve">A Coaph mantém prepostos que, manualmente, montam escalas, contatam profissionais, negociam plantões, confirmam presença e conciliam pagamentos — custo de ~R$ 240 mil/mês. O HealthMatch automatiza grande parte desse fluxo (matching + IA no WhatsApp + confirmações + financeiro). Mesmo que o produto nunca seja vendido a terceiros, ele se justifica se reduzir esse custo o suficiente para pagar o aporte. A defesa do investimento é uma conta de redução de custo, não de receita futura.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Tese ofensiva — plataforma escalável (o upside). </w:t>
      </w:r>
      <w:r>
        <w:rPr>
          <w:rFonts w:ascii="Arial" w:cs="Arial" w:eastAsia="Arial" w:hAnsi="Arial"/>
          <w:sz w:val="22"/>
          <w:szCs w:val="22"/>
        </w:rPr>
        <w:t xml:space="preserve">A mesma plataforma pode ser oferecida a outras cooperativas, hospitais/redes privadas e ao setor público. Aí o HealthMatch vira uma empresa de SaaS + marketplace, com receita recorrente e take-rate sobre o GMV. Esse cenário transforma o aporte da Coaph em participação numa empresa de tecnologia — mas é opcional para a decisão.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Regra de decisão: </w:t>
      </w:r>
      <w:r>
        <w:rPr>
          <w:rFonts w:ascii="Arial" w:cs="Arial" w:eastAsia="Arial" w:hAnsi="Arial"/>
          <w:sz w:val="22"/>
          <w:szCs w:val="22"/>
        </w:rPr>
        <w:t xml:space="preserve">a Coaph investe pela tese defensiva e trata a ofensiva como bônus. Se a escala não vier, o capital já terá sido justificado pela economia interna. Se vier, o retorno se multiplica.</w:t>
      </w:r>
    </w:p>
    <w:p>
      <w:pPr>
        <w:pStyle w:val="Heading1"/>
        <w:pageBreakBefore/>
      </w:pPr>
      <w:r>
        <w:t xml:space="preserve">3. Business Case para a Coaph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Premissas: custo atual R$ 240 mil/mês com prepostos; investimento R$ 1,5 mi. Esta análise é a economia da Coaph — não é receita do HealthMatch (ver §10) e as duas não se somam.</w:t>
      </w:r>
    </w:p>
    <w:p>
      <w:pPr>
        <w:pStyle w:val="Heading2"/>
      </w:pPr>
      <w:r>
        <w:t xml:space="preserve">Payback da economia operacional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126"/>
        <w:gridCol w:w="17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Cenário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Substituição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Econ./mês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Econ./ano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Payback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ROI anual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Conservador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R$ 60 mil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R$ 720 mil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~25 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48%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Realista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R$ 120 mil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R$ 1,44 mi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~12,5 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96%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Otimista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R$ 180 mil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R$ 2,16 mi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~8,3 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144%</w:t>
            </w:r>
          </w:p>
        </w:tc>
      </w:tr>
      <w:tr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Teto teórico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100%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R$ 240 mil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R$ 2,88 mi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~6,3 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192%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25% é a base conservadora de defesa; 50% a realista; 75% a otimista.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100% não deve ser premissa — exigiria eliminar toda a operação manual e redesenhar processos, o que raramente ocorre.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Mesmo no conservador (25%), o investimento se paga em ~2 anos apenas com a economia interna, antes de qualquer real de receita externa.</w:t>
      </w:r>
    </w:p>
    <w:p>
      <w:pPr>
        <w:spacing w:after="4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Condição para a economia se materializar: </w:t>
      </w:r>
      <w:r>
        <w:rPr>
          <w:rFonts w:ascii="Arial" w:cs="Arial" w:eastAsia="Arial" w:hAnsi="Arial"/>
          <w:sz w:val="22"/>
          <w:szCs w:val="22"/>
        </w:rPr>
        <w:t xml:space="preserve">automatizar tarefas não basta — é preciso redesenhar o processo (realocar/reduzir prepostos, eliminar retrabalho). Por isso o piloto tem metas de redução de horas/custo, não só de uso do sistema (ver §11 e §13).</w:t>
      </w:r>
    </w:p>
    <w:p>
      <w:pPr>
        <w:pStyle w:val="Heading1"/>
        <w:pageBreakBefore/>
      </w:pPr>
      <w:r>
        <w:t xml:space="preserve">4. Descrição da plataforma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Missão: </w:t>
      </w:r>
      <w:r>
        <w:rPr>
          <w:rFonts w:ascii="Arial" w:cs="Arial" w:eastAsia="Arial" w:hAnsi="Arial"/>
          <w:sz w:val="22"/>
          <w:szCs w:val="22"/>
        </w:rPr>
        <w:t xml:space="preserve">garantir que toda unidade de saúde tenha o profissional certo no plantão certo — com agilidade, conformidade e custo justo.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Visão: </w:t>
      </w:r>
      <w:r>
        <w:rPr>
          <w:rFonts w:ascii="Arial" w:cs="Arial" w:eastAsia="Arial" w:hAnsi="Arial"/>
          <w:sz w:val="22"/>
          <w:szCs w:val="22"/>
        </w:rPr>
        <w:t xml:space="preserve">ser a camada de inteligência operacional do trabalho em saúde no Brasil.</w:t>
      </w:r>
    </w:p>
    <w:p>
      <w:pPr>
        <w:pStyle w:val="Heading2"/>
      </w:pPr>
      <w:r>
        <w:t xml:space="preserve">Proposta de valor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300"/>
        <w:gridCol w:w="3363"/>
        <w:gridCol w:w="3363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 quem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Dor hoje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o HealthMatch entrega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Coaph (âncora)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~R$ 240 mil/mês em prepostos; escala manual; retrabalho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Automação do fluxo de plantões → redução de custo operacional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Outras cooperativas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Mesmo problema, sem tecnologia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Plataforma pronta, white-label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Hospitais / redes privadas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Plantões descobertos, credenciamento manual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Banco de plantonistas, matching com checagem e conflito de agenda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Setor público (SUS/UPAs)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Cobertura difícil, controle de presença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 com auditoria e rastreabilidade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Profissionais de saúde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Grupos informais, burocracia</w:t>
            </w:r>
          </w:p>
        </w:tc>
        <w:tc>
          <w:tcPr>
            <w:tcW w:type="dxa" w:w="33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Ofertas compatíveis via WhatsApp, transparência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Capacidades já existentes: </w:t>
      </w:r>
      <w:r>
        <w:rPr>
          <w:rFonts w:ascii="Arial" w:cs="Arial" w:eastAsia="Arial" w:hAnsi="Arial"/>
          <w:sz w:val="22"/>
          <w:szCs w:val="22"/>
        </w:rPr>
        <w:t xml:space="preserve">matching (especialidade, CBO, credencial, no-show, conflito de agenda); pipeline de vagas; candidaturas → alocações → escala com presença; mensageria omnichannel com agente de IA e handoff humano; financeiro de intermediação com margem; auditoria; RBAC; white-label.</w:t>
      </w:r>
    </w:p>
    <w:p>
      <w:pPr>
        <w:pStyle w:val="Heading1"/>
        <w:pageBreakBefore/>
      </w:pPr>
      <w:r>
        <w:t xml:space="preserve">5. Análise de mercado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A análise de mercado embasa a tese ofensiva (upside). A decisão de investimento da Coaph não depende dela.</w:t>
      </w:r>
    </w:p>
    <w:p>
      <w:pPr>
        <w:spacing w:after="120" w:line="264"/>
      </w:pPr>
      <w:r>
        <w:t xml:space="preserve">O Brasil tem ~562 mil médicos ativos (CFM, 2024) e 2,5+ milhões de profissionais de saúde. O preenchimento de plantões é majoritariamente manual (WhatsApp, planilhas, agências, cooperativas com pouca tecnologia).</w:t>
      </w:r>
    </w:p>
    <w:p>
      <w:pPr>
        <w:pStyle w:val="Heading2"/>
      </w:pPr>
      <w:r>
        <w:t xml:space="preserve">TAM / SAM / SOM (bottom-up)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🔹 GMV de plantões = nº de plantões/ano × ticket médio (R$ 1.300). Receita endereçável ≈ 10% do GMV.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3526"/>
        <w:gridCol w:w="2000"/>
        <w:gridCol w:w="20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GMV/ano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Receita endereçável (≈10%)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GMV de plantões/escalas de saúde no Brasil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🔹 R$ 15–20 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🔹 R$ 1,5–2,0 bi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Nordeste + cooperativas/hospitais/público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🔹 R$ 3–4 bi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🔹 R$ 300–450 mi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SOM (3–5 anos)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+ cooperativas adjacentes do 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🔹 R$ 150–300 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🔹 R$ 15–30 mi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Concorrência: </w:t>
      </w:r>
      <w:r>
        <w:rPr>
          <w:rFonts w:ascii="Arial" w:cs="Arial" w:eastAsia="Arial" w:hAnsi="Arial"/>
          <w:sz w:val="22"/>
          <w:szCs w:val="22"/>
        </w:rPr>
        <w:t xml:space="preserve">o concorrente nº 1 é o processo manual (WhatsApp + planilhas + prepostos) — exatamente o que a tese defensiva ataca. Software hospitalar (Tasy/MV) e gestão de clínicas (iClinic/Feegow) não fazem matching+IA+marketplace de plantão. Comps internacionais (Nomad, Trusted, Medely, Patchwork) validam o modelo, mas não operam no Brasil.</w:t>
      </w:r>
    </w:p>
    <w:p>
      <w:pPr>
        <w:pStyle w:val="Heading1"/>
        <w:pageBreakBefore/>
      </w:pPr>
      <w:r>
        <w:t xml:space="preserve">6. Público-alvo e personas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ICP de entrada: </w:t>
      </w:r>
      <w:r>
        <w:rPr>
          <w:rFonts w:ascii="Arial" w:cs="Arial" w:eastAsia="Arial" w:hAnsi="Arial"/>
          <w:sz w:val="22"/>
          <w:szCs w:val="22"/>
        </w:rPr>
        <w:t xml:space="preserve">a Coaph, como design partner, investidor e primeiro cliente. Expansão (upside): outras cooperativas do NE → hospitais/redes privadas → setor público.</w:t>
      </w:r>
    </w:p>
    <w:p>
      <w:pPr>
        <w:pStyle w:val="Heading2"/>
      </w:pPr>
      <w:r>
        <w:t xml:space="preserve">Personas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Diretoria da Coaph (decisor econômico): quer reduzir o custo de R$ 240 mil/mês e ganhar controle/conformidade.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Coordenador(a) de escala (usuário-chave): vive apagando incêndio de plantão descoberto.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Preposto/operador (parte impactada): tarefas automatizadas — exige gestão de mudança (ver §13).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Médico/profissional cooperado (oferta): quer ofertas relevantes via WhatsApp, sem burocracia.</w:t>
      </w:r>
    </w:p>
    <w:p>
      <w:pPr>
        <w:pStyle w:val="Heading1"/>
        <w:pageBreakBefore/>
      </w:pPr>
      <w:r>
        <w:t xml:space="preserve">7. Produto e funcionalidades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Stack técnica: </w:t>
      </w:r>
      <w:r>
        <w:rPr>
          <w:rFonts w:ascii="Arial" w:cs="Arial" w:eastAsia="Arial" w:hAnsi="Arial"/>
          <w:sz w:val="22"/>
          <w:szCs w:val="22"/>
        </w:rPr>
        <w:t xml:space="preserve">NestJS + Prisma + PostgreSQL; Next.js + Tailwind; IA via Anthropic (Haiku); mensageria Twilio/WhatsApp/Meta/Zenvia; Docker. ~20 módulos, API REST padronizada.</w:t>
      </w:r>
    </w:p>
    <w:p>
      <w:pPr>
        <w:pStyle w:val="Heading2"/>
      </w:pPr>
      <w:r>
        <w:t xml:space="preserve">Módulos funcionais (testados — 32/32 testes de API, 14/14 regras de negócio)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700"/>
        <w:gridCol w:w="6326"/>
      </w:tblGrid>
      <w:tr>
        <w:trPr>
          <w:tblHeader/>
        </w:trP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Matching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Pontua profissional × vaga, detecta conflito de agenda e elegibilidade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Vagas &amp; Contratos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de plantão (avulso, recorrente, cobertura, pool)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Candidaturas → Alocações → Escala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Aprovação gera alocação; controle de presença/no-show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 conversacional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Aborda e negocia plantões via WhatsApp; handoff humano em ações críticas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Financeiro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Recebíveis, pagáveis, taxa de plataforma e margem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Credenciamento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Conselhos, CBO, RQE, documentos com validade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Auditoria &amp; RBAC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Trilha de mutações; perfis de acesso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White-label</w:t>
            </w:r>
          </w:p>
        </w:tc>
        <w:tc>
          <w:tcPr>
            <w:tcW w:type="dxa" w:w="6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Branding por cliente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Maturidade: </w:t>
      </w:r>
      <w:r>
        <w:rPr>
          <w:rFonts w:ascii="Arial" w:cs="Arial" w:eastAsia="Arial" w:hAnsi="Arial"/>
          <w:sz w:val="22"/>
          <w:szCs w:val="22"/>
        </w:rPr>
        <w:t xml:space="preserve">MVP construído e testado internamente, pronto para o piloto. Lacunas para escala (roadmap): multi-tenancy robusto, billing/split automatizado, observabilidade, testes de carga, ativação plena da IA.</w:t>
      </w:r>
    </w:p>
    <w:p>
      <w:pPr>
        <w:pStyle w:val="Heading1"/>
        <w:pageBreakBefore/>
      </w:pPr>
      <w:r>
        <w:t xml:space="preserve">8. Estratégia de marketing e vendas (Go-to-Market)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Fase 0 — Coaph (mês 0–6): </w:t>
      </w:r>
      <w:r>
        <w:rPr>
          <w:rFonts w:ascii="Arial" w:cs="Arial" w:eastAsia="Arial" w:hAnsi="Arial"/>
          <w:sz w:val="22"/>
          <w:szCs w:val="22"/>
        </w:rPr>
        <w:t xml:space="preserve">implantar na Coaph como cliente-âncora; piloto com metas de redução de custo operacional (não só de uso). O case vira a principal peça de venda.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Fase 1 — Densidade regional (mês 6–18): </w:t>
      </w:r>
      <w:r>
        <w:rPr>
          <w:rFonts w:ascii="Arial" w:cs="Arial" w:eastAsia="Arial" w:hAnsi="Arial"/>
          <w:sz w:val="22"/>
          <w:szCs w:val="22"/>
        </w:rPr>
        <w:t xml:space="preserve">outras cooperativas de saúde do NE, via indicação da âncora e eventos do setor cooperativista.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Fase 2 — Novos segmentos (mês 18–36): </w:t>
      </w:r>
      <w:r>
        <w:rPr>
          <w:rFonts w:ascii="Arial" w:cs="Arial" w:eastAsia="Arial" w:hAnsi="Arial"/>
          <w:sz w:val="22"/>
          <w:szCs w:val="22"/>
        </w:rPr>
        <w:t xml:space="preserve">hospitais/redes privadas do NE; piloto no setor público.</w:t>
      </w:r>
    </w:p>
    <w:p>
      <w:pPr>
        <w:spacing w:after="4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Sobre a base de 55 mil cooperados: </w:t>
      </w:r>
      <w:r>
        <w:rPr>
          <w:rFonts w:ascii="Arial" w:cs="Arial" w:eastAsia="Arial" w:hAnsi="Arial"/>
          <w:sz w:val="22"/>
          <w:szCs w:val="22"/>
        </w:rPr>
        <w:t xml:space="preserve">é uma vantagem de oferta uma vez operacionalizada — não liquidez automática. A adoção pelos profissionais e o redesenho do processo são pré-condições.</w:t>
      </w:r>
    </w:p>
    <w:p>
      <w:pPr>
        <w:pStyle w:val="Heading1"/>
        <w:pageBreakBefore/>
      </w:pPr>
      <w:r>
        <w:t xml:space="preserve">9. Estrutura operacional e equipe</w:t>
      </w:r>
    </w:p>
    <w:p>
      <w:pPr>
        <w:spacing w:after="120" w:line="264"/>
      </w:pPr>
      <w:r>
        <w:t xml:space="preserve">Hoje: fundador solo (bootstrap), produto construído. A rodada (trancheada) financia o time mínimo: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100"/>
        <w:gridCol w:w="3463"/>
        <w:gridCol w:w="3463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Contratações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Racional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Imediato (mês 0–3)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Eng. sênior · 1 CS/Ops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Hardening + implantação na Coaph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Mês 3–9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 Eng. · 1 Comercial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Sustentar a Coaph e abrir cooperativas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Mês 9–18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 Eng./Dados · +1 CS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 de IA/matching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Contínuo (PJ)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Design, Contábil, Jurídico/LGPD</w:t>
            </w:r>
          </w:p>
        </w:tc>
        <w:tc>
          <w:tcPr>
            <w:tcW w:type="dxa" w:w="34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 variável</w:t>
            </w:r>
          </w:p>
        </w:tc>
      </w:tr>
    </w:tbl>
    <w:p>
      <w:pPr>
        <w:pStyle w:val="Heading1"/>
        <w:pageBreakBefore/>
      </w:pPr>
      <w:r>
        <w:t xml:space="preserve">10. Plano financeiro do HealthMatch (tese ofensiva)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⚠️ Esta seção é o cenário de upside (HealthMatch como empresa). A defesa do investimento pela Coaph não depende destes números — ela se sustenta no §3. Não somar a economia da Coaph (§3) à receita aqui.</w:t>
      </w:r>
    </w:p>
    <w:p>
      <w:pPr>
        <w:spacing w:after="120" w:line="264"/>
      </w:pPr>
      <w:r>
        <w:t xml:space="preserve">🔹 Premissas: ticket/plantão R$ 1.300; take-rate 5/7/8%; ARPA SaaS ~R$ 4.000/mês; margem bruta blended ~68%.</w:t>
      </w:r>
    </w:p>
    <w:p>
      <w:pPr>
        <w:pStyle w:val="Heading2"/>
      </w:pPr>
      <w:r>
        <w:t xml:space="preserve">Receita líquida — 3 cenários (SaaS + take-rate)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3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Conservador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R$ 0,43 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R$ 2,26 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R$ 6,38 mi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Realista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R$ 1,09 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R$ 5,99 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R$ 16,5 mi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Otimista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R$ 1,98 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R$ 11,9 mi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R$ 33,3 mi</w:t>
            </w:r>
          </w:p>
        </w:tc>
      </w:tr>
    </w:tbl>
    <w:p>
      <w:pPr>
        <w:pStyle w:val="Heading2"/>
      </w:pPr>
      <w:r>
        <w:t xml:space="preserve">DRE resumida (realista, R$ mil)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26"/>
        <w:gridCol w:w="2000"/>
        <w:gridCol w:w="2000"/>
        <w:gridCol w:w="2000"/>
      </w:tblGrid>
      <w:tr>
        <w:trPr>
          <w:tblHeader/>
        </w:trP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Linha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Ano 3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Receita líquida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5.990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16.500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Lucro bruto (~68%)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740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4.073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11.220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Opex total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(1.490)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(3.600)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(8.000)</w:t>
            </w:r>
          </w:p>
        </w:tc>
      </w:tr>
      <w:tr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EBITDA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(750)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+473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+3.220</w:t>
            </w:r>
          </w:p>
        </w:tc>
      </w:tr>
    </w:tbl>
    <w:p>
      <w:pPr>
        <w:spacing w:after="6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Métricas SaaS (visão SaaS-only, conservadora): </w:t>
      </w:r>
      <w:r>
        <w:rPr>
          <w:rFonts w:ascii="Arial" w:cs="Arial" w:eastAsia="Arial" w:hAnsi="Arial"/>
          <w:sz w:val="22"/>
          <w:szCs w:val="22"/>
        </w:rPr>
        <w:t xml:space="preserve">ARPA R$ 4.000/mês · CAC R$ 15.000 · churn 12%/ano · LTV/CAC ~7,7× · payback de CAC ~4,7 meses. Break-even ofensivo ~mês 20–22.</w:t>
      </w: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Comparação das duas lentes: a tese defensiva (§3) entrega payback em ~12,5 meses (realista) com um único cliente. A tese ofensiva precisa de tração externa para entregar os R$ 16,5 mi de receita no Ano 3. A primeira é a âncora da decisão; a segunda é o prêmio.</w:t>
      </w:r>
    </w:p>
    <w:p>
      <w:pPr>
        <w:pStyle w:val="Heading1"/>
        <w:pageBreakBefore/>
      </w:pPr>
      <w:r>
        <w:t xml:space="preserve">11. KPIs do piloto Coaph</w:t>
      </w:r>
    </w:p>
    <w:p>
      <w:pPr>
        <w:spacing w:after="120" w:line="264"/>
      </w:pPr>
      <w:r>
        <w:t xml:space="preserve">O piloto é desenhado para provar a economia operacional, não apenas o uso do software. Métricas medidas antes (baseline) e depois: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000"/>
        <w:gridCol w:w="3526"/>
        <w:gridCol w:w="25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KPI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Como medir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Meta no piloto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 mensal com prepostos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Folha + encargos da operação manual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–25% a –50%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Horas manuais eliminadas/mês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Time-tracking da equipe operacional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progressiva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de plantões preenchidos sem intervenção humana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Logs da plataforma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↑ a cada ciclo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Tempo médio de preenchimento de plantão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Abertura → confirmação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 de horas p/ minutos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Taxa de aceite via WhatsApp/IA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Aceites IA ÷ ofertas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Baseline + crescer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% de confirmações automatizadas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Confirmações sem operador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Redução de retrabalho operacional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Reaberturas/correções de escala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Redução de erros de escala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Conflitos/no-shows não detectados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↓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Profissionais ativados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Cadastros ativos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Crescimento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Plantões processados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Volume pela plataforma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Crescimento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NPS dos coordenadores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Pesquisa periódica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≥ alvo acordado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Economia operacional mensal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Estimada × realizada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Gatilho das tranches</w:t>
            </w:r>
          </w:p>
        </w:tc>
      </w:tr>
    </w:tbl>
    <w:p>
      <w:pPr>
        <w:pStyle w:val="Heading1"/>
        <w:pageBreakBefore/>
      </w:pPr>
      <w:r>
        <w:t xml:space="preserve">12. Análise SWOT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3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Forças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Fraquezas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Tese defensiva ataca custo concreto (R$ 240 mil/mês)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Produto construído e testado, pronto para piloto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como investidor-cliente âncora alinhado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 + matching + financeiro num só lugar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Acesso à base de 55k cooperados (via Coaph)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Fundador solo; sem time formado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Sem receita/tração externa ainda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Forte dependência da Coaph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só se realiza com redesenho de processo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Multi-tenancy/billing ainda a construir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FB2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Oportunidades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B1C1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Ameaças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Replicar o case para outras cooperativas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Expansão para hospitais e setor público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Sistema cooperativista nacional como esteira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IA reduz custo operacional drasticamente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Coaph optar por construir/contratar in-house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Resistência interna de prepostos/coordenadores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não se materializar no % esperado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Mudança regulatória (CLT × PJ, LGPD)</w:t>
            </w:r>
          </w:p>
        </w:tc>
      </w:tr>
    </w:tbl>
    <w:p>
      <w:pPr>
        <w:pStyle w:val="Heading1"/>
        <w:pageBreakBefore/>
      </w:pPr>
      <w:r>
        <w:t xml:space="preserve">13. Riscos e plano de mitigação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3200"/>
        <w:gridCol w:w="1500"/>
        <w:gridCol w:w="4326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Prob./Imp.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Mitigação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Virar software customizado p/ a Coaph, não startup escalável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Arquitetura multi-tenant desde o início; contrato separa licença de investimento; roadmap de produto, não de consultoria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Dependência excessiva da Coaph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Alto/Alto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Abrir 1–2 cooperativas no Ano 1; contrato plurianual; investimento trancheado dilui o risco no tempo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Economia não se materializar no % esperado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Base conservadora de 25%; piloto com baseline e metas; tranches liberadas só contra economia comprovada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Resistência interna (prepostos, coordenadores)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Gestão de mudança; envolver coordenadores como co-desenhadores; comunicar realocação, não só corte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Automação parcial exigir manter equipe humana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Médio/Médio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Implantação por fases; medir horas eliminadas, não uso; metas realistas (25–50%, não 100%)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Substituir tarefas sem reduzir custo 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Redesenho operacional explícito no escopo; KPI = economia realizada, não teórica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Regulatório/trabalhista (PJ × CLT)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Jurídico especializado; plataforma de gestão da cooperativa, que detém o vínculo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LGPD / dados sensíveis de saúde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Médio/Alto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Compliance desde o início; criptografia, RBAC, DPO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Execução com time pequeno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Médio/Médio</w:t>
            </w:r>
          </w:p>
        </w:tc>
        <w:tc>
          <w:tcPr>
            <w:tcW w:type="dxa" w:w="4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Contratações-chave na Tranche 1; founder foca em produto + Coaph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Princípios de mitigação: </w:t>
      </w:r>
      <w:r>
        <w:rPr>
          <w:rFonts w:ascii="Arial" w:cs="Arial" w:eastAsia="Arial" w:hAnsi="Arial"/>
          <w:sz w:val="22"/>
          <w:szCs w:val="22"/>
        </w:rPr>
        <w:t xml:space="preserve">piloto com metas objetivas · implantação por fases · KPIs de redução de horas manuais · contrato comercial separado do investimento · tranches condicionadas à economia gerada · comitê mensal Coaph + HealthMatch para acompanhar o ROI.</w:t>
      </w:r>
    </w:p>
    <w:p>
      <w:pPr>
        <w:pStyle w:val="Heading1"/>
        <w:pageBreakBefore/>
      </w:pPr>
      <w:r>
        <w:t xml:space="preserve">14. Recomendação de investimento</w:t>
      </w: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A Coaph deve investir somente se TODAS as condições abaixo forem atendidas: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Assinar contrato como cliente-âncora (licença/serviço), separado do instrumento de investimento.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O investimento for trancheado (não desembolso único).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A liberação de cada tranche estiver vinculada a metas reais de adoção e economia operacional.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t xml:space="preserve">Existirem métricas de sucesso claras (os KPIs do §11) e um comitê mensal de acompanhamento.</w:t>
      </w:r>
    </w:p>
    <w:p>
      <w:pPr>
        <w:pStyle w:val="Heading2"/>
      </w:pPr>
      <w:r>
        <w:t xml:space="preserve">Estrutura de tranches sugerida (total R$ 1,5 mi)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700"/>
        <w:gridCol w:w="1600"/>
        <w:gridCol w:w="3026"/>
        <w:gridCol w:w="27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Tranche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Gatilho de liberação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2D5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Tranche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R$ 300–500 mil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Assinatura do contrato + início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Piloto, implantação, hardening, LGPD, integrações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Tranche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~R$ 500 mil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comprovada ≥ R$ 50 mil/mês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Expansão de uso na Coaph; 1as contratações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Tranche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~R$ 600 mil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Economia ≥ R$ 100 mil/mês (ou volume equivalente)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Escala interna + preparo da expansão externa</w:t>
            </w:r>
          </w:p>
        </w:tc>
      </w:tr>
    </w:tbl>
    <w:p>
      <w:pPr>
        <w:spacing w:after="80"/>
      </w:pPr>
    </w:p>
    <w:p>
      <w:pPr>
        <w:spacing w:after="120" w:line="264"/>
      </w:pPr>
      <w:r>
        <w:rPr>
          <w:rFonts w:ascii="Arial" w:cs="Arial" w:eastAsia="Arial" w:hAnsi="Arial"/>
          <w:b/>
          <w:bCs/>
          <w:color w:val="0B2D5B"/>
          <w:sz w:val="22"/>
          <w:szCs w:val="22"/>
        </w:rPr>
        <w:t xml:space="preserve">Por que assim: </w:t>
      </w:r>
      <w:r>
        <w:rPr>
          <w:rFonts w:ascii="Arial" w:cs="Arial" w:eastAsia="Arial" w:hAnsi="Arial"/>
          <w:sz w:val="22"/>
          <w:szCs w:val="22"/>
        </w:rPr>
        <w:t xml:space="preserve">o trancheamento converte uma aposta de R$ 1,5 mi num investimento escalonado pelo resultado — a Coaph só compromete capital adicional após ver a economia real. Alinha incentivos, reduz o risco de software de gaveta e mantém o foco em valor mensurável.</w:t>
      </w:r>
    </w:p>
    <w:p>
      <w:pPr>
        <w:pStyle w:val="Heading1"/>
        <w:pageBreakBefore/>
      </w:pPr>
      <w:r>
        <w:t xml:space="preserve">15. Roadmap e próximos passos</w:t>
      </w:r>
    </w:p>
    <w:p>
      <w:pPr>
        <w:pStyle w:val="Heading2"/>
      </w:pPr>
      <w:r>
        <w:t xml:space="preserve">0–6 meses — Implantação na Coaph (Tranche 1)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Assinar contrato (cliente) + instrumento de investimento (tranches).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Hardening (multi-tenancy, billing, LGPD) + integrações.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Piloto com baseline e metas de economia; comitê mensal de ROI.</w:t>
      </w:r>
    </w:p>
    <w:p>
      <w:pPr>
        <w:pStyle w:val="Heading2"/>
      </w:pPr>
      <w:r>
        <w:t xml:space="preserve">6–18 meses — Provar economia e abrir o 2º cliente (Tranches 2–3)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Atingir ≥ R$ 50 mil/mês e depois ≥ R$ 100 mil/mês de economia.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Abrir 1–2 cooperativas do NE com o case da Coaph.</w:t>
      </w:r>
    </w:p>
    <w:p>
      <w:pPr>
        <w:pStyle w:val="Heading2"/>
      </w:pPr>
      <w:r>
        <w:t xml:space="preserve">18–36 meses — Escala (tese ofensiva)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Hospitais/redes privadas; piloto no setor público.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Preparar rodada seed com tração real.</w:t>
      </w:r>
    </w:p>
    <w:p>
      <w:pPr>
        <w:spacing w:after="120"/>
      </w:pPr>
    </w:p>
    <w:p>
      <w:pPr>
        <w:pBdr>
          <w:left w:val="single" w:color="1F6FB2" w:sz="18" w:space="8"/>
        </w:pBdr>
        <w:shd w:fill="EEF4FA" w:val="clear"/>
        <w:spacing w:after="160" w:before="80" w:line="252"/>
      </w:pPr>
      <w:r>
        <w:rPr>
          <w:rFonts w:ascii="Arial" w:cs="Arial" w:eastAsia="Arial" w:hAnsi="Arial"/>
          <w:i/>
          <w:iCs/>
          <w:color w:val="333333"/>
          <w:sz w:val="18"/>
          <w:szCs w:val="18"/>
        </w:rPr>
        <w:t xml:space="preserve">Resumo da decisão: a Coaph investe pela economia operacional (defensiva); a escala externa é upside. Mesmo no cenário conservador (25%), o capital se paga em ~2 anos só com a economia interna.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HealthMatch — Business Plan</w:t>
    </w:r>
    <w:r>
      <w:rPr>
        <w:rFonts w:ascii="Arial" w:cs="Arial" w:eastAsia="Arial" w:hAnsi="Arial"/>
        <w:color w:val="888888"/>
        <w:sz w:val="16"/>
        <w:szCs w:val="16"/>
      </w:rPr>
      <w:t xml:space="preserve">	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74D1" w:sz="8" w:space="4"/>
      </w:pBdr>
      <w:spacing w:after="160" w:before="320"/>
      <w:outlineLvl w:val="0"/>
    </w:pPr>
    <w:rPr>
      <w:rFonts w:ascii="Arial" w:cs="Arial" w:eastAsia="Arial" w:hAnsi="Arial"/>
      <w:b/>
      <w:bCs/>
      <w:color w:val="0B2D5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6FB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HealthMatch — Business Plan</dc:title>
  <dc:creator>HealthMatch</dc:creator>
  <cp:lastModifiedBy>Un-named</cp:lastModifiedBy>
  <cp:revision>1</cp:revision>
  <dcterms:created xsi:type="dcterms:W3CDTF">2026-06-23T05:16:26.175Z</dcterms:created>
  <dcterms:modified xsi:type="dcterms:W3CDTF">2026-06-23T05:16:26.176Z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