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p9s5v9j9hwi" w:id="0"/>
      <w:bookmarkEnd w:id="0"/>
      <w:r w:rsidDel="00000000" w:rsidR="00000000" w:rsidRPr="00000000">
        <w:rPr>
          <w:rtl w:val="0"/>
        </w:rPr>
        <w:t xml:space="preserve">Padrão Strangler Fig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Mova a funcionalidade de um aplicativo monolítico para microsserviços gradualmente até que o monólito não esteja mais sendo usado e possa ser encerrado.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rFonts w:ascii="Arial" w:cs="Arial" w:eastAsia="Arial" w:hAnsi="Arial"/>
          <w:color w:val="15202b"/>
          <w:sz w:val="42"/>
          <w:szCs w:val="42"/>
        </w:rPr>
      </w:pPr>
      <w:bookmarkStart w:colFirst="0" w:colLast="0" w:name="_881hyyhvah87" w:id="1"/>
      <w:bookmarkEnd w:id="1"/>
      <w:r w:rsidDel="00000000" w:rsidR="00000000" w:rsidRPr="00000000">
        <w:rPr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Como podemos migrar um aplicativo monolítico para uma arquitetura de microsserviços sem os riscos associados a uma grande reescrita de cut-over (Corte)?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083bezgr3hc" w:id="2"/>
      <w:bookmarkEnd w:id="2"/>
      <w:r w:rsidDel="00000000" w:rsidR="00000000" w:rsidRPr="00000000">
        <w:rPr>
          <w:rtl w:val="0"/>
        </w:rPr>
        <w:t xml:space="preserve">Solução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Podemos usar o padrão </w:t>
      </w: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Strangler Fig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para migrar de um monólito para microsserviços de forma segura e gradual.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m57ac1x0bdl" w:id="3"/>
      <w:bookmarkEnd w:id="3"/>
      <w:r w:rsidDel="00000000" w:rsidR="00000000" w:rsidRPr="00000000">
        <w:rPr>
          <w:rtl w:val="0"/>
        </w:rPr>
        <w:t xml:space="preserve">Implementação</w:t>
      </w:r>
    </w:p>
    <w:p w:rsidR="00000000" w:rsidDel="00000000" w:rsidP="00000000" w:rsidRDefault="00000000" w:rsidRPr="00000000" w14:paraId="00000009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Primeiro, identificamos um módulo do monolito, ou um conjunto de APIs existentes que serão substituídas pelo nosso primeiro microsserviço. Chamaremos esse módulo de A. Então, podemos usar a captura de dados de alteração (change data capture - CDC) para converter quaisquer alterações nos dados do módulo A em um Event Stream (ver abaixo) que alimentará nosso microsserviço.</w:t>
      </w:r>
    </w:p>
    <w:p w:rsidR="00000000" w:rsidDel="00000000" w:rsidP="00000000" w:rsidRDefault="00000000" w:rsidRPr="00000000" w14:paraId="0000000A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Em seguida, colocaremos um proxy entre o monólito e quaisquer clientes, com todas as chamadas de leitura para o módulo A sendo roteadas para nosso microsserviço. </w:t>
      </w:r>
    </w:p>
    <w:p w:rsidR="00000000" w:rsidDel="00000000" w:rsidP="00000000" w:rsidRDefault="00000000" w:rsidRPr="00000000" w14:paraId="0000000B">
      <w:pPr>
        <w:shd w:fill="ffffff" w:val="clear"/>
        <w:spacing w:after="220" w:before="220" w:lineRule="auto"/>
        <w:jc w:val="center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</w:rPr>
        <w:drawing>
          <wp:inline distB="114300" distT="114300" distL="114300" distR="114300">
            <wp:extent cx="8505825" cy="4391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Quando nosso microsserviço estiver pronto para lidar com gravações, podemos alterar o proxy para rotear todas as gravações do módulo A também. Neste ponto, podemos, novamente, usar o CDC para transmitir as alterações de volta para nosso monólito para que ele não saiba o que está faltando. </w:t>
      </w:r>
    </w:p>
    <w:p w:rsidR="00000000" w:rsidDel="00000000" w:rsidP="00000000" w:rsidRDefault="00000000" w:rsidRPr="00000000" w14:paraId="0000000D">
      <w:pPr>
        <w:shd w:fill="ffffff" w:val="clear"/>
        <w:spacing w:after="220" w:before="220" w:lineRule="auto"/>
        <w:jc w:val="center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</w:rPr>
        <w:drawing>
          <wp:inline distB="114300" distT="114300" distL="114300" distR="114300">
            <wp:extent cx="8382000" cy="47815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À medida que continuamos esse processo com mais módulos, gradualmente substituímos a funcionalidade do monólito até que ele possa ser desligado com segurança.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lc61xidzvny" w:id="4"/>
      <w:bookmarkEnd w:id="4"/>
      <w:r w:rsidDel="00000000" w:rsidR="00000000" w:rsidRPr="00000000">
        <w:rPr>
          <w:rtl w:val="0"/>
        </w:rPr>
        <w:t xml:space="preserve">Considerações</w:t>
      </w:r>
    </w:p>
    <w:p w:rsidR="00000000" w:rsidDel="00000000" w:rsidP="00000000" w:rsidRDefault="00000000" w:rsidRPr="00000000" w14:paraId="00000010">
      <w:pPr>
        <w:shd w:fill="ffffff" w:val="clear"/>
        <w:spacing w:after="220" w:before="220" w:lineRule="auto"/>
        <w:rPr>
          <w:color w:val="257bd7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Os Event Streams que criamos usando o CDC não estão lá apenas para alimentar os microsserviços, mas também estão disponíveis para serem usados ​​por outros aplicativos. Para que o padrão Strangler Fig não seja apenas útil na substituição de aplicativos legados, mas possa ser usado para transformar gradualmente nossa arquitetura empresarial em uma Event Streaming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hbq3dn0uz4c" w:id="5"/>
      <w:bookmarkEnd w:id="5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12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Este padrão foi originalmente articulado por Martin Fowler em seu post: </w:t>
      </w:r>
      <w:hyperlink r:id="rId8">
        <w:r w:rsidDel="00000000" w:rsidR="00000000" w:rsidRPr="00000000">
          <w:rPr>
            <w:color w:val="257bd7"/>
            <w:sz w:val="24"/>
            <w:szCs w:val="24"/>
            <w:rtl w:val="0"/>
          </w:rPr>
          <w:t xml:space="preserve">Strangler Fig Application</w:t>
        </w:r>
      </w:hyperlink>
      <w:r w:rsidDel="00000000" w:rsidR="00000000" w:rsidRPr="00000000">
        <w:rPr>
          <w:color w:val="15202b"/>
          <w:sz w:val="24"/>
          <w:szCs w:val="24"/>
          <w:rtl w:val="0"/>
        </w:rPr>
        <w:t xml:space="preserve"> . Também há uma boa representação dele entre os </w:t>
      </w:r>
      <w:hyperlink r:id="rId9">
        <w:r w:rsidDel="00000000" w:rsidR="00000000" w:rsidRPr="00000000">
          <w:rPr>
            <w:color w:val="257bd7"/>
            <w:sz w:val="24"/>
            <w:szCs w:val="24"/>
            <w:rtl w:val="0"/>
          </w:rPr>
          <w:t xml:space="preserve">Cloud Design Patterns da Microsoft</w:t>
        </w:r>
      </w:hyperlink>
      <w:r w:rsidDel="00000000" w:rsidR="00000000" w:rsidRPr="00000000">
        <w:rPr>
          <w:color w:val="15202b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13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80" w:before="280" w:lineRule="auto"/>
        <w:rPr>
          <w:rFonts w:ascii="Arial" w:cs="Arial" w:eastAsia="Arial" w:hAnsi="Arial"/>
          <w:color w:val="15202b"/>
          <w:sz w:val="26"/>
          <w:szCs w:val="26"/>
        </w:rPr>
      </w:pPr>
      <w:bookmarkStart w:colFirst="0" w:colLast="0" w:name="_nd3nmstyguo9" w:id="6"/>
      <w:bookmarkEnd w:id="6"/>
      <w:r w:rsidDel="00000000" w:rsidR="00000000" w:rsidRPr="00000000">
        <w:rPr>
          <w:rFonts w:ascii="Arial" w:cs="Arial" w:eastAsia="Arial" w:hAnsi="Arial"/>
          <w:color w:val="15202b"/>
          <w:sz w:val="26"/>
          <w:szCs w:val="26"/>
          <w:rtl w:val="0"/>
        </w:rPr>
        <w:t xml:space="preserve">Como funciona o padrão Strangler Fig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A estratégia se baseia em desenvolver novas funcionalidades ou componentes do sistema em paralelo com o sistema legado, substituindo-o gradualmente. Os principais passos são: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Análise e identificação das funcionalidades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Identifique quais partes do sistema legado podem ser isoladas e migradas.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Priorize funcionalidades com maior impacto ou menor complexidade para começar.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Criação de novos componentes ou serviços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Desenvolva novas implementações (geralmente usando tecnologias modernas) para as funcionalidades identificadas.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Essas novas partes podem ser implementadas como microsserviços, módulos desacoplados ou outro tipo de arquitetura moderna.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Encapsulamento e roteamento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Crie um mecanismo para redirecionar requisições relacionadas à funcionalidade modernizada do sistema legado para o novo sistema.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Um exemplo comum é o uso de um </w:t>
      </w: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API Gateway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para gerenciar o tráfego.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Iteração contínua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Continue substituindo partes do sistema legado até que ele seja completamente desativado.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Cada funcionalidade é tratada de forma incremental, reduzindo riscos.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Remoção do sistema legado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hd w:fill="ffffff" w:val="clear"/>
        <w:spacing w:after="24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Após a migração completa, o sistema legado é desativado.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80" w:before="280" w:lineRule="auto"/>
        <w:rPr>
          <w:rFonts w:ascii="Arial" w:cs="Arial" w:eastAsia="Arial" w:hAnsi="Arial"/>
          <w:color w:val="15202b"/>
          <w:sz w:val="26"/>
          <w:szCs w:val="26"/>
        </w:rPr>
      </w:pPr>
      <w:bookmarkStart w:colFirst="0" w:colLast="0" w:name="_ff6ms3q816w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80" w:before="280" w:lineRule="auto"/>
        <w:rPr>
          <w:rFonts w:ascii="Arial" w:cs="Arial" w:eastAsia="Arial" w:hAnsi="Arial"/>
          <w:color w:val="15202b"/>
          <w:sz w:val="26"/>
          <w:szCs w:val="26"/>
        </w:rPr>
      </w:pPr>
      <w:bookmarkStart w:colFirst="0" w:colLast="0" w:name="_6dgswzww8idz" w:id="8"/>
      <w:bookmarkEnd w:id="8"/>
      <w:r w:rsidDel="00000000" w:rsidR="00000000" w:rsidRPr="00000000">
        <w:rPr>
          <w:rFonts w:ascii="Arial" w:cs="Arial" w:eastAsia="Arial" w:hAnsi="Arial"/>
          <w:color w:val="15202b"/>
          <w:sz w:val="26"/>
          <w:szCs w:val="26"/>
          <w:rtl w:val="0"/>
        </w:rPr>
        <w:t xml:space="preserve">Benefícios do Strangler Fig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Redução de riscos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 Como a migração é feita de forma incremental, erros podem ser contidos e corrigidos sem afetar todo o sistema.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Menor interrupção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 O sistema legado continua funcionando enquanto partes são substituídas, garantindo continuidade de operação.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Flexibilidade tecnológica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 Permite adotar novas tecnologias ou arquiteturas gradualmente.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Facilidade de teste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 Partes novas podem ser testadas independentemente antes de serem integradas.</w:t>
      </w:r>
    </w:p>
    <w:p w:rsidR="00000000" w:rsidDel="00000000" w:rsidP="00000000" w:rsidRDefault="00000000" w:rsidRPr="00000000" w14:paraId="0000002A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80" w:before="280" w:lineRule="auto"/>
        <w:rPr>
          <w:rFonts w:ascii="Arial" w:cs="Arial" w:eastAsia="Arial" w:hAnsi="Arial"/>
          <w:color w:val="15202b"/>
          <w:sz w:val="26"/>
          <w:szCs w:val="26"/>
        </w:rPr>
      </w:pPr>
      <w:bookmarkStart w:colFirst="0" w:colLast="0" w:name="_3ypuxslkm9qm" w:id="9"/>
      <w:bookmarkEnd w:id="9"/>
      <w:r w:rsidDel="00000000" w:rsidR="00000000" w:rsidRPr="00000000">
        <w:rPr>
          <w:rFonts w:ascii="Arial" w:cs="Arial" w:eastAsia="Arial" w:hAnsi="Arial"/>
          <w:color w:val="15202b"/>
          <w:sz w:val="26"/>
          <w:szCs w:val="26"/>
          <w:rtl w:val="0"/>
        </w:rPr>
        <w:t xml:space="preserve">Desafios do Strangler Fig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Coordenação de dependências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Sistemas legados frequentemente possuem dependências complexas e acoplamentos fortes, o que pode dificultar a migração de partes específicas.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Gestão de tráfego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Requer um mecanismo confiável para redirecionar tráfego entre o sistema legado e o novo sistema.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Custo de manutenção temporária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Durante o período de migração, tanto o sistema legado quanto os novos componentes precisam ser mantidos simultaneamente.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Riscos de dívida técnica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hd w:fill="ffffff" w:val="clear"/>
        <w:spacing w:after="240" w:before="0" w:beforeAutospacing="0" w:lineRule="auto"/>
        <w:ind w:left="1440" w:hanging="360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Se a migração não for concluída, pode resultar em um sistema híbrido difícil de gerenciar.</w:t>
      </w:r>
    </w:p>
    <w:p w:rsidR="00000000" w:rsidDel="00000000" w:rsidP="00000000" w:rsidRDefault="00000000" w:rsidRPr="00000000" w14:paraId="00000034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sqkq23huldg4" w:id="10"/>
      <w:bookmarkEnd w:id="10"/>
      <w:r w:rsidDel="00000000" w:rsidR="00000000" w:rsidRPr="00000000">
        <w:rPr>
          <w:rtl w:val="0"/>
        </w:rPr>
        <w:t xml:space="preserve">Event Stream (Transmissão de eventos)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Event Processing Applications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precisam se comunicar, e idealmente a comunicação é baseada em Eventos (ver abaixo). Os aplicativos precisam de um mecanismo padrão para usar para essa comunicação.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jqhzzpe8sucg" w:id="11"/>
      <w:bookmarkEnd w:id="11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3A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Como os processadores de eventos e aplicativos podem se comunicar entre si usando streaming de eventos?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22n96w8tfbnh" w:id="12"/>
      <w:bookmarkEnd w:id="12"/>
      <w:r w:rsidDel="00000000" w:rsidR="00000000" w:rsidRPr="00000000">
        <w:rPr>
          <w:rtl w:val="0"/>
        </w:rPr>
        <w:t xml:space="preserve">Solução</w:t>
      </w:r>
    </w:p>
    <w:p w:rsidR="00000000" w:rsidDel="00000000" w:rsidP="00000000" w:rsidRDefault="00000000" w:rsidRPr="00000000" w14:paraId="0000003C">
      <w:pPr>
        <w:shd w:fill="ffffff" w:val="clear"/>
        <w:spacing w:after="220" w:before="22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8524875" cy="3038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Conecte os aplicativos de processamento de eventos com um fluxo de eventos. As fontes de eventos (Event Sources) produzem eventos para o fluxo de eventos, e os processadores de eventos e coletores de eventos os consomem. Os fluxos de eventos são nomeados, permitindo a comunicação por um fluxo específico de eventos. Observe como os fluxos de eventos desacopla os aplicativos de origem e coletor, que se comunicam indiretamente e assincronamente entre si por meio de eventos. Além disso, os formatos de dados de eventos são frequentemente validados para governar a comunicação entre os aplicativos.</w:t>
      </w:r>
    </w:p>
    <w:p w:rsidR="00000000" w:rsidDel="00000000" w:rsidP="00000000" w:rsidRDefault="00000000" w:rsidRPr="00000000" w14:paraId="0000003E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Em termos gerais, um Event Stream registra o histórico do que aconteceu no mundo como uma sequência de eventos (pense: uma sequência de fatos). Exemplos de streams seriam um livro-razão de vendas ou a sequência de movimentos em uma partida de xadrez. Esse histórico é uma sequência ordenada ou cadeia de eventos, então sabemos qual evento aconteceu antes de outro evento e podemos inferir causalidade (por exemplo, "Branco moveu o peão e2 para e4; então Preto moveu o peão e7 para e5"). Um stream, portanto, representa tanto o passado quanto o presente: conforme vamos de hoje para amanhã — ou de um milissegundo para o próximo — novos eventos são constantemente acrescentados ao histórico.</w:t>
      </w:r>
    </w:p>
    <w:p w:rsidR="00000000" w:rsidDel="00000000" w:rsidP="00000000" w:rsidRDefault="00000000" w:rsidRPr="00000000" w14:paraId="0000003F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Conceitualmente, um fluxo fornece dados </w:t>
      </w:r>
      <w:r w:rsidDel="00000000" w:rsidR="00000000" w:rsidRPr="00000000">
        <w:rPr>
          <w:i w:val="1"/>
          <w:iCs w:val="1"/>
          <w:color w:val="15202b"/>
          <w:sz w:val="24"/>
          <w:szCs w:val="24"/>
          <w:rtl w:val="0"/>
        </w:rPr>
        <w:t xml:space="preserve">imutáveis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. Ele suporta apenas a inserção (acrescentação) de novos eventos, e eventos existentes não podem ser alterados. Os fluxos são persistentes, duráveis ​​e tolerantes a falhas. Ao contrário das filas de mensagens tradicionais, os eventos armazenados em fluxos podem ser lidos sempre que necessário pelos Event Sinks e Event Processing Applications, e não são excluídos após o consumo. Em vez disso, as políticas de retenção controlam como os eventos são retidos. Os eventos em um fluxo podem ser </w:t>
      </w:r>
      <w:r w:rsidDel="00000000" w:rsidR="00000000" w:rsidRPr="00000000">
        <w:rPr>
          <w:i w:val="1"/>
          <w:iCs w:val="1"/>
          <w:color w:val="15202b"/>
          <w:sz w:val="24"/>
          <w:szCs w:val="24"/>
          <w:rtl w:val="0"/>
        </w:rPr>
        <w:t xml:space="preserve">codificados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, e podemos ter muitos eventos para uma chave. Para um fluxo de pagamentos de todos os clientes, o ID do cliente pode ser a chave (cf. padrões relacionados, como Partitioned Parallelism).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kicuw3dh1k7f" w:id="13"/>
      <w:bookmarkEnd w:id="13"/>
      <w:r w:rsidDel="00000000" w:rsidR="00000000" w:rsidRPr="00000000">
        <w:rPr>
          <w:rtl w:val="0"/>
        </w:rPr>
        <w:t xml:space="preserve">Implementação</w:t>
      </w:r>
    </w:p>
    <w:p w:rsidR="00000000" w:rsidDel="00000000" w:rsidP="00000000" w:rsidRDefault="00000000" w:rsidRPr="00000000" w14:paraId="00000041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No Apache Kafka®, Event Streams são chamados de </w:t>
      </w:r>
      <w:r w:rsidDel="00000000" w:rsidR="00000000" w:rsidRPr="00000000">
        <w:rPr>
          <w:b w:val="1"/>
          <w:bCs w:val="1"/>
          <w:i w:val="1"/>
          <w:iCs w:val="1"/>
          <w:color w:val="15202b"/>
          <w:sz w:val="24"/>
          <w:szCs w:val="24"/>
          <w:rtl w:val="0"/>
        </w:rPr>
        <w:t xml:space="preserve">tópicos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. O Kafka permite que você defina políticas que determinam como os eventos são retidos, usando limitações de tempo ou tamanho ou retendo eventos para sempre. Os consumidores do Kafka (Event Sinks e Event Processing Applications) podem decidir onde em um fluxo de eventos começar a ler. Eles podem escolher começar a ler do evento mais antigo ou mais novo, ou buscar um local específico no tópico, usando o timestamp ou a posição do evento (chamado de </w:t>
      </w:r>
      <w:r w:rsidDel="00000000" w:rsidR="00000000" w:rsidRPr="00000000">
        <w:rPr>
          <w:i w:val="1"/>
          <w:iCs w:val="1"/>
          <w:color w:val="15202b"/>
          <w:sz w:val="24"/>
          <w:szCs w:val="24"/>
          <w:rtl w:val="0"/>
        </w:rPr>
        <w:t xml:space="preserve">offset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).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kz831wjw3lb" w:id="14"/>
      <w:bookmarkEnd w:id="1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320" w:hanging="360"/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Este padrão é derivado de </w:t>
      </w:r>
      <w:hyperlink r:id="rId11">
        <w:r w:rsidDel="00000000" w:rsidR="00000000" w:rsidRPr="00000000">
          <w:rPr>
            <w:color w:val="257bd7"/>
            <w:sz w:val="24"/>
            <w:szCs w:val="24"/>
            <w:rtl w:val="0"/>
          </w:rPr>
          <w:t xml:space="preserve">Message Channel</w:t>
        </w:r>
      </w:hyperlink>
      <w:r w:rsidDel="00000000" w:rsidR="00000000" w:rsidRPr="00000000">
        <w:rPr>
          <w:color w:val="15202b"/>
          <w:sz w:val="24"/>
          <w:szCs w:val="24"/>
          <w:rtl w:val="0"/>
        </w:rPr>
        <w:t xml:space="preserve"> in </w:t>
      </w:r>
      <w:r w:rsidDel="00000000" w:rsidR="00000000" w:rsidRPr="00000000">
        <w:rPr>
          <w:i w:val="1"/>
          <w:iCs w:val="1"/>
          <w:color w:val="15202b"/>
          <w:sz w:val="24"/>
          <w:szCs w:val="24"/>
          <w:rtl w:val="0"/>
        </w:rPr>
        <w:t xml:space="preserve">Enterprise Integration Patterns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, de Gregor Hohpe e Bobby Woolf.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/>
      </w:pPr>
      <w:bookmarkStart w:colFirst="0" w:colLast="0" w:name="_e9ht28o0jbu7" w:id="15"/>
      <w:bookmarkEnd w:id="15"/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Eventos representam fatos e são usados ​​por aplicativos, serviços e sistemas desacoplados para trocar dados em uma </w:t>
      </w: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plataforma de streaming de eventos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kl00684zjhpt" w:id="16"/>
      <w:bookmarkEnd w:id="16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4B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Como posso representar um fato sobre algo que aconteceu?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z2h5npzfduww" w:id="17"/>
      <w:bookmarkEnd w:id="17"/>
      <w:r w:rsidDel="00000000" w:rsidR="00000000" w:rsidRPr="00000000">
        <w:rPr>
          <w:rtl w:val="0"/>
        </w:rPr>
        <w:t xml:space="preserve">Solução</w:t>
      </w:r>
    </w:p>
    <w:p w:rsidR="00000000" w:rsidDel="00000000" w:rsidP="00000000" w:rsidRDefault="00000000" w:rsidRPr="00000000" w14:paraId="0000004D">
      <w:pPr>
        <w:shd w:fill="ffffff" w:val="clear"/>
        <w:spacing w:after="220" w:before="22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7991475" cy="316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Um evento representa um fato imutável sobre algo que aconteceu. Exemplos de Eventos podem ser pedidos, pagamentos, atividades ou medições. Eventos são produzidos, armazenados e consumidos de um </w:t>
      </w: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Event Stream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(ver acima). Um Evento normalmente contém um ou mais campos de dados que descrevem o fato, bem como um registro de data e hora que denota quando o Evento foi criado por sua Event Source. O Evento também pode conter vários metadados, como sua fonte de origem (por exemplo, o aplicativo ou serviço de nuvem que criou o evento) e informações de nível de armazenamento (por exemplo, sua posição no fluxo de eventos).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85g0s0yk40s0" w:id="18"/>
      <w:bookmarkEnd w:id="18"/>
      <w:r w:rsidDel="00000000" w:rsidR="00000000" w:rsidRPr="00000000">
        <w:rPr>
          <w:rtl w:val="0"/>
        </w:rPr>
        <w:t xml:space="preserve">Implementação</w:t>
      </w:r>
    </w:p>
    <w:p w:rsidR="00000000" w:rsidDel="00000000" w:rsidP="00000000" w:rsidRDefault="00000000" w:rsidRPr="00000000" w14:paraId="00000050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No </w:t>
      </w: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Apache Kafka®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, os Eventos são chamados de </w:t>
      </w:r>
      <w:r w:rsidDel="00000000" w:rsidR="00000000" w:rsidRPr="00000000">
        <w:rPr>
          <w:b w:val="1"/>
          <w:bCs w:val="1"/>
          <w:i w:val="1"/>
          <w:iCs w:val="1"/>
          <w:color w:val="15202b"/>
          <w:sz w:val="24"/>
          <w:szCs w:val="24"/>
          <w:rtl w:val="0"/>
        </w:rPr>
        <w:t xml:space="preserve">registros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. Os registros são modelados como um par </w:t>
      </w: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chave/valor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com um registro de data e hora e metadados opcionais (chamados de cabeçalhos). O </w:t>
      </w:r>
      <w:r w:rsidDel="00000000" w:rsidR="00000000" w:rsidRPr="00000000">
        <w:rPr>
          <w:b w:val="1"/>
          <w:bCs w:val="1"/>
          <w:i w:val="1"/>
          <w:iCs w:val="1"/>
          <w:color w:val="15202b"/>
          <w:sz w:val="24"/>
          <w:szCs w:val="24"/>
          <w:rtl w:val="0"/>
        </w:rPr>
        <w:t xml:space="preserve">valor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do registro geralmente contém a representação de um objeto de domínio de aplicativo ou alguma forma de valor de mensagem bruta, como a saída de um sensor ou outra leitura métrica. A </w:t>
      </w:r>
      <w:r w:rsidDel="00000000" w:rsidR="00000000" w:rsidRPr="00000000">
        <w:rPr>
          <w:b w:val="1"/>
          <w:bCs w:val="1"/>
          <w:i w:val="1"/>
          <w:iCs w:val="1"/>
          <w:color w:val="15202b"/>
          <w:sz w:val="24"/>
          <w:szCs w:val="24"/>
          <w:rtl w:val="0"/>
        </w:rPr>
        <w:t xml:space="preserve">chave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de registro é útil por alguns motivos, mas, criticamente, é usada pelo Kafka para determinar como os dados são particionados em um fluxo, também chamado de </w:t>
      </w:r>
      <w:r w:rsidDel="00000000" w:rsidR="00000000" w:rsidRPr="00000000">
        <w:rPr>
          <w:b w:val="1"/>
          <w:bCs w:val="1"/>
          <w:i w:val="1"/>
          <w:iCs w:val="1"/>
          <w:color w:val="15202b"/>
          <w:sz w:val="24"/>
          <w:szCs w:val="24"/>
          <w:rtl w:val="0"/>
        </w:rPr>
        <w:t xml:space="preserve">tópico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. A </w:t>
      </w:r>
      <w:r w:rsidDel="00000000" w:rsidR="00000000" w:rsidRPr="00000000">
        <w:rPr>
          <w:b w:val="1"/>
          <w:bCs w:val="1"/>
          <w:i w:val="1"/>
          <w:iCs w:val="1"/>
          <w:color w:val="15202b"/>
          <w:sz w:val="24"/>
          <w:szCs w:val="24"/>
          <w:rtl w:val="0"/>
        </w:rPr>
        <w:t xml:space="preserve">chave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é geralmente melhor pensada como uma categorização do Evento, como a identidade de um usuário específico ou dispositivo conectado. Os cabeçalhos são um lugar para metadados de registro que podem ajudar a descrever os dados do Evento em si e são modelados como um </w:t>
      </w:r>
      <w:r w:rsidDel="00000000" w:rsidR="00000000" w:rsidRPr="00000000">
        <w:rPr>
          <w:b w:val="1"/>
          <w:bCs w:val="1"/>
          <w:i w:val="1"/>
          <w:iCs w:val="1"/>
          <w:color w:val="15202b"/>
          <w:sz w:val="24"/>
          <w:szCs w:val="24"/>
          <w:rtl w:val="0"/>
        </w:rPr>
        <w:t xml:space="preserve">mapa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de chaves e valores.</w:t>
      </w:r>
    </w:p>
    <w:p w:rsidR="00000000" w:rsidDel="00000000" w:rsidP="00000000" w:rsidRDefault="00000000" w:rsidRPr="00000000" w14:paraId="00000051">
      <w:pPr>
        <w:shd w:fill="ffffff" w:val="clear"/>
        <w:spacing w:after="220" w:before="220" w:lineRule="auto"/>
        <w:rPr>
          <w:color w:val="15202b"/>
          <w:sz w:val="24"/>
          <w:szCs w:val="24"/>
        </w:rPr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Chaves de registro, valores e cabeçalhos são tipos de dados opacos, o que significa que o Kafka, por design deliberado para atingir sua alta escalabilidade e desempenho, não define uma interface de tipo para eles: eles são lidos, armazenados e gravados pelos </w:t>
      </w:r>
      <w:r w:rsidDel="00000000" w:rsidR="00000000" w:rsidRPr="00000000">
        <w:rPr>
          <w:b w:val="1"/>
          <w:bCs w:val="1"/>
          <w:color w:val="15202b"/>
          <w:sz w:val="24"/>
          <w:szCs w:val="24"/>
          <w:rtl w:val="0"/>
        </w:rPr>
        <w:t xml:space="preserve">brokers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do lado do servidor do Kafka como matrizes brutas de bytes. É responsabilidade dos aplicativos </w:t>
      </w:r>
      <w:r w:rsidDel="00000000" w:rsidR="00000000" w:rsidRPr="00000000">
        <w:rPr>
          <w:i w:val="1"/>
          <w:iCs w:val="1"/>
          <w:color w:val="15202b"/>
          <w:sz w:val="24"/>
          <w:szCs w:val="24"/>
          <w:rtl w:val="0"/>
        </w:rPr>
        <w:t xml:space="preserve">cliente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do Kafka, como os aplicativos de processamento de fluxo Apache Flink®, ou microsserviços implementados com as bibliotecas cliente, como o Kafka Streams ou o cliente Kafka Go, executar a serialização e desserialização dos dados dentro das chaves de registro, valores e cabeçalhos.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gopc4n54xdsl" w:id="19"/>
      <w:bookmarkEnd w:id="19"/>
      <w:r w:rsidDel="00000000" w:rsidR="00000000" w:rsidRPr="00000000">
        <w:rPr>
          <w:rtl w:val="0"/>
        </w:rPr>
        <w:t xml:space="preserve">Considerações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ind w:left="1320" w:hanging="360"/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Para garantir que Eventos de uma Fonte de Eventos possam ser lidos corretamente por um Processador de Eventos, eles são frequentemente criados em referência a um esquema de Eventos. Esquemas de eventos são comumente definidos em Apache Avro, Protocol Buffers (Protobuf) ou JSON Schema.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hd w:fill="ffffff" w:val="clear"/>
        <w:ind w:left="1320" w:hanging="360"/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Em certos cenários, Eventos podem representar comandos (instruções, ações e assim por diante) que devem ser realizados por um Processador de Eventos lendo os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w2yynv2szwlg" w:id="20"/>
      <w:bookmarkEnd w:id="20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ind w:left="1320" w:hanging="360"/>
      </w:pPr>
      <w:r w:rsidDel="00000000" w:rsidR="00000000" w:rsidRPr="00000000">
        <w:rPr>
          <w:color w:val="15202b"/>
          <w:sz w:val="24"/>
          <w:szCs w:val="24"/>
          <w:rtl w:val="0"/>
        </w:rPr>
        <w:t xml:space="preserve">Este padrão é derivado em parte de </w:t>
      </w:r>
      <w:hyperlink r:id="rId13">
        <w:r w:rsidDel="00000000" w:rsidR="00000000" w:rsidRPr="00000000">
          <w:rPr>
            <w:color w:val="257bd7"/>
            <w:sz w:val="24"/>
            <w:szCs w:val="24"/>
            <w:rtl w:val="0"/>
          </w:rPr>
          <w:t xml:space="preserve">Message</w:t>
        </w:r>
      </w:hyperlink>
      <w:r w:rsidDel="00000000" w:rsidR="00000000" w:rsidRPr="00000000">
        <w:rPr>
          <w:color w:val="15202b"/>
          <w:sz w:val="24"/>
          <w:szCs w:val="24"/>
          <w:rtl w:val="0"/>
        </w:rPr>
        <w:t xml:space="preserve"> , </w:t>
      </w:r>
      <w:hyperlink r:id="rId14">
        <w:r w:rsidDel="00000000" w:rsidR="00000000" w:rsidRPr="00000000">
          <w:rPr>
            <w:color w:val="257bd7"/>
            <w:sz w:val="24"/>
            <w:szCs w:val="24"/>
            <w:rtl w:val="0"/>
          </w:rPr>
          <w:t xml:space="preserve">Event Message</w:t>
        </w:r>
      </w:hyperlink>
      <w:r w:rsidDel="00000000" w:rsidR="00000000" w:rsidRPr="00000000">
        <w:rPr>
          <w:color w:val="15202b"/>
          <w:sz w:val="24"/>
          <w:szCs w:val="24"/>
          <w:rtl w:val="0"/>
        </w:rPr>
        <w:t xml:space="preserve"> e </w:t>
      </w:r>
      <w:hyperlink r:id="rId15">
        <w:r w:rsidDel="00000000" w:rsidR="00000000" w:rsidRPr="00000000">
          <w:rPr>
            <w:color w:val="257bd7"/>
            <w:sz w:val="24"/>
            <w:szCs w:val="24"/>
            <w:rtl w:val="0"/>
          </w:rPr>
          <w:t xml:space="preserve">Document Message</w:t>
        </w:r>
      </w:hyperlink>
      <w:r w:rsidDel="00000000" w:rsidR="00000000" w:rsidRPr="00000000">
        <w:rPr>
          <w:color w:val="15202b"/>
          <w:sz w:val="24"/>
          <w:szCs w:val="24"/>
          <w:rtl w:val="0"/>
        </w:rPr>
        <w:t xml:space="preserve"> em </w:t>
      </w:r>
      <w:r w:rsidDel="00000000" w:rsidR="00000000" w:rsidRPr="00000000">
        <w:rPr>
          <w:i w:val="1"/>
          <w:iCs w:val="1"/>
          <w:color w:val="15202b"/>
          <w:sz w:val="24"/>
          <w:szCs w:val="24"/>
          <w:rtl w:val="0"/>
        </w:rPr>
        <w:t xml:space="preserve">Enterprise Integration Patterns</w:t>
      </w:r>
      <w:r w:rsidDel="00000000" w:rsidR="00000000" w:rsidRPr="00000000">
        <w:rPr>
          <w:color w:val="15202b"/>
          <w:sz w:val="24"/>
          <w:szCs w:val="24"/>
          <w:rtl w:val="0"/>
        </w:rPr>
        <w:t xml:space="preserve"> , de Gregor Hohpe e Bobby Woolf.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5202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5202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5202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300" w:before="760" w:line="300" w:lineRule="auto"/>
    </w:pPr>
    <w:rPr>
      <w:b w:val="1"/>
      <w:bCs w:val="1"/>
      <w:color w:val="15202b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nterpriseintegrationpatterns.com/patterns/messaging/MessageChannel.html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enterpriseintegrationpatterns.com/patterns/messaging/Message.html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azure/architecture/patterns/strangler-fig" TargetMode="External"/><Relationship Id="rId15" Type="http://schemas.openxmlformats.org/officeDocument/2006/relationships/hyperlink" Target="https://www.enterpriseintegrationpatterns.com/patterns/messaging/DocumentMessage.html" TargetMode="External"/><Relationship Id="rId14" Type="http://schemas.openxmlformats.org/officeDocument/2006/relationships/hyperlink" Target="https://www.enterpriseintegrationpatterns.com/patterns/messaging/EventMessage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martinfowler.com/bliki/StranglerFigApplic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