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misses 19 of 16,214 attacks at 5.9%.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99.20%</w:t>
            </w:r>
          </w:p>
        </w:tc>
        <w:tc>
          <w:tcPr>
            <w:tcW w:type="dxa" w:w="950"/>
            <w:tcMar>
              <w:top w:type="dxa" w:w="60"/>
              <w:left w:type="dxa" w:w="100"/>
              <w:bottom w:type="dxa" w:w="60"/>
              <w:right w:type="dxa" w:w="100"/>
            </w:tcMar>
            <w:vAlign w:val="center"/>
          </w:tcPr>
          <w:p>
            <w:pPr>
              <w:jc w:val="center"/>
            </w:pPr>
            <w:r>
              <w:rPr>
                <w:sz w:val="20"/>
                <w:szCs w:val="20"/>
              </w:rPr>
              <w:t xml:space="preserve">99.32%</w:t>
            </w:r>
          </w:p>
        </w:tc>
        <w:tc>
          <w:tcPr>
            <w:tcW w:type="dxa" w:w="1000"/>
            <w:tcMar>
              <w:top w:type="dxa" w:w="60"/>
              <w:left w:type="dxa" w:w="100"/>
              <w:bottom w:type="dxa" w:w="60"/>
              <w:right w:type="dxa" w:w="100"/>
            </w:tcMar>
            <w:vAlign w:val="center"/>
          </w:tcPr>
          <w:p>
            <w:pPr>
              <w:jc w:val="center"/>
            </w:pPr>
            <w:r>
              <w:rPr>
                <w:sz w:val="20"/>
                <w:szCs w:val="20"/>
              </w:rPr>
              <w:t xml:space="preserve">99.64%</w:t>
            </w:r>
          </w:p>
        </w:tc>
        <w:tc>
          <w:tcPr>
            <w:tcW w:type="dxa" w:w="900"/>
            <w:tcMar>
              <w:top w:type="dxa" w:w="60"/>
              <w:left w:type="dxa" w:w="100"/>
              <w:bottom w:type="dxa" w:w="60"/>
              <w:right w:type="dxa" w:w="100"/>
            </w:tcMar>
            <w:vAlign w:val="center"/>
          </w:tcPr>
          <w:p>
            <w:pPr>
              <w:jc w:val="center"/>
            </w:pPr>
            <w:r>
              <w:rPr>
                <w:sz w:val="20"/>
                <w:szCs w:val="20"/>
              </w:rPr>
              <w:t xml:space="preserve">99.48%</w:t>
            </w:r>
          </w:p>
        </w:tc>
        <w:tc>
          <w:tcPr>
            <w:tcW w:type="dxa" w:w="850"/>
            <w:tcMar>
              <w:top w:type="dxa" w:w="60"/>
              <w:left w:type="dxa" w:w="100"/>
              <w:bottom w:type="dxa" w:w="60"/>
              <w:right w:type="dxa" w:w="100"/>
            </w:tcMar>
            <w:vAlign w:val="center"/>
          </w:tcPr>
          <w:p>
            <w:pPr>
              <w:jc w:val="center"/>
            </w:pPr>
            <w:r>
              <w:rPr>
                <w:sz w:val="20"/>
                <w:szCs w:val="20"/>
              </w:rPr>
              <w:t xml:space="preserve">2.28%</w:t>
            </w:r>
          </w:p>
        </w:tc>
        <w:tc>
          <w:tcPr>
            <w:tcW w:type="dxa" w:w="1900"/>
            <w:tcMar>
              <w:top w:type="dxa" w:w="60"/>
              <w:left w:type="dxa" w:w="100"/>
              <w:bottom w:type="dxa" w:w="60"/>
              <w:right w:type="dxa" w:w="100"/>
            </w:tcMar>
            <w:vAlign w:val="center"/>
          </w:tcPr>
          <w:p>
            <w:pPr>
              <w:jc w:val="center"/>
            </w:pPr>
            <w:r>
              <w:rPr>
                <w:sz w:val="20"/>
                <w:szCs w:val="20"/>
              </w:rPr>
              <w:t xml:space="preserve">59 / 16,214 (0.36%)</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99.18%</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850"/>
            <w:tcMar>
              <w:top w:type="dxa" w:w="60"/>
              <w:left w:type="dxa" w:w="100"/>
              <w:bottom w:type="dxa" w:w="60"/>
              <w:right w:type="dxa" w:w="100"/>
            </w:tcMar>
            <w:vAlign w:val="center"/>
          </w:tcPr>
          <w:p>
            <w:pPr>
              <w:jc w:val="center"/>
            </w:pPr>
            <w:r>
              <w:rPr>
                <w:sz w:val="20"/>
                <w:szCs w:val="20"/>
              </w:rPr>
              <w:t xml:space="preserve">2.76%</w:t>
            </w:r>
          </w:p>
        </w:tc>
        <w:tc>
          <w:tcPr>
            <w:tcW w:type="dxa" w:w="1900"/>
            <w:tcMar>
              <w:top w:type="dxa" w:w="60"/>
              <w:left w:type="dxa" w:w="100"/>
              <w:bottom w:type="dxa" w:w="60"/>
              <w:right w:type="dxa" w:w="100"/>
            </w:tcMar>
            <w:vAlign w:val="center"/>
          </w:tcPr>
          <w:p>
            <w:pPr>
              <w:jc w:val="center"/>
            </w:pPr>
            <w:r>
              <w:rPr>
                <w:sz w:val="20"/>
                <w:szCs w:val="20"/>
              </w:rPr>
              <w:t xml:space="preserve">61 / 16,214 (0.38%)</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99.02%</w:t>
            </w:r>
          </w:p>
        </w:tc>
        <w:tc>
          <w:tcPr>
            <w:tcW w:type="dxa" w:w="950"/>
            <w:tcMar>
              <w:top w:type="dxa" w:w="60"/>
              <w:left w:type="dxa" w:w="100"/>
              <w:bottom w:type="dxa" w:w="60"/>
              <w:right w:type="dxa" w:w="100"/>
            </w:tcMar>
            <w:vAlign w:val="center"/>
          </w:tcPr>
          <w:p>
            <w:pPr>
              <w:jc w:val="center"/>
            </w:pPr>
            <w:r>
              <w:rPr>
                <w:sz w:val="20"/>
                <w:szCs w:val="20"/>
              </w:rPr>
              <w:t xml:space="preserve">99.00%</w:t>
            </w:r>
          </w:p>
        </w:tc>
        <w:tc>
          <w:tcPr>
            <w:tcW w:type="dxa" w:w="1000"/>
            <w:tcMar>
              <w:top w:type="dxa" w:w="60"/>
              <w:left w:type="dxa" w:w="100"/>
              <w:bottom w:type="dxa" w:w="60"/>
              <w:right w:type="dxa" w:w="100"/>
            </w:tcMar>
            <w:vAlign w:val="center"/>
          </w:tcPr>
          <w:p>
            <w:pPr>
              <w:jc w:val="center"/>
            </w:pPr>
            <w:r>
              <w:rPr>
                <w:sz w:val="20"/>
                <w:szCs w:val="20"/>
              </w:rPr>
              <w:t xml:space="preserve">99.73%</w:t>
            </w:r>
          </w:p>
        </w:tc>
        <w:tc>
          <w:tcPr>
            <w:tcW w:type="dxa" w:w="900"/>
            <w:tcMar>
              <w:top w:type="dxa" w:w="60"/>
              <w:left w:type="dxa" w:w="100"/>
              <w:bottom w:type="dxa" w:w="60"/>
              <w:right w:type="dxa" w:w="100"/>
            </w:tcMar>
            <w:vAlign w:val="center"/>
          </w:tcPr>
          <w:p>
            <w:pPr>
              <w:jc w:val="center"/>
            </w:pPr>
            <w:r>
              <w:rPr>
                <w:sz w:val="20"/>
                <w:szCs w:val="20"/>
              </w:rPr>
              <w:t xml:space="preserve">99.36%</w:t>
            </w:r>
          </w:p>
        </w:tc>
        <w:tc>
          <w:tcPr>
            <w:tcW w:type="dxa" w:w="850"/>
            <w:tcMar>
              <w:top w:type="dxa" w:w="60"/>
              <w:left w:type="dxa" w:w="100"/>
              <w:bottom w:type="dxa" w:w="60"/>
              <w:right w:type="dxa" w:w="100"/>
            </w:tcMar>
            <w:vAlign w:val="center"/>
          </w:tcPr>
          <w:p>
            <w:pPr>
              <w:jc w:val="center"/>
            </w:pPr>
            <w:r>
              <w:rPr>
                <w:sz w:val="20"/>
                <w:szCs w:val="20"/>
              </w:rPr>
              <w:t xml:space="preserve">3.38%</w:t>
            </w:r>
          </w:p>
        </w:tc>
        <w:tc>
          <w:tcPr>
            <w:tcW w:type="dxa" w:w="1900"/>
            <w:tcMar>
              <w:top w:type="dxa" w:w="60"/>
              <w:left w:type="dxa" w:w="100"/>
              <w:bottom w:type="dxa" w:w="60"/>
              <w:right w:type="dxa" w:w="100"/>
            </w:tcMar>
            <w:vAlign w:val="center"/>
          </w:tcPr>
          <w:p>
            <w:pPr>
              <w:jc w:val="center"/>
            </w:pPr>
            <w:r>
              <w:rPr>
                <w:sz w:val="20"/>
                <w:szCs w:val="20"/>
              </w:rPr>
              <w:t xml:space="preserve">44 / 16,214 (0.27%)</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99.40%</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800"/>
            <w:tcMar>
              <w:top w:type="dxa" w:w="60"/>
              <w:left w:type="dxa" w:w="100"/>
              <w:bottom w:type="dxa" w:w="60"/>
              <w:right w:type="dxa" w:w="100"/>
            </w:tcMar>
            <w:vAlign w:val="center"/>
          </w:tcPr>
          <w:p>
            <w:pPr>
              <w:jc w:val="center"/>
            </w:pPr>
            <w:r>
              <w:rPr>
                <w:sz w:val="20"/>
                <w:szCs w:val="20"/>
              </w:rPr>
              <w:t xml:space="preserve">2.76%</w:t>
            </w:r>
          </w:p>
        </w:tc>
        <w:tc>
          <w:tcPr>
            <w:tcW w:type="dxa" w:w="1800"/>
            <w:tcMar>
              <w:top w:type="dxa" w:w="60"/>
              <w:left w:type="dxa" w:w="100"/>
              <w:bottom w:type="dxa" w:w="60"/>
              <w:right w:type="dxa" w:w="100"/>
            </w:tcMar>
            <w:vAlign w:val="center"/>
          </w:tcPr>
          <w:p>
            <w:pPr>
              <w:jc w:val="center"/>
            </w:pPr>
            <w:r>
              <w:rPr>
                <w:sz w:val="20"/>
                <w:szCs w:val="20"/>
              </w:rPr>
              <w:t xml:space="preserve">61 / 16,214 (0.38%)</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97.63%</w:t>
            </w:r>
          </w:p>
        </w:tc>
        <w:tc>
          <w:tcPr>
            <w:tcW w:type="dxa" w:w="800"/>
            <w:tcMar>
              <w:top w:type="dxa" w:w="60"/>
              <w:left w:type="dxa" w:w="100"/>
              <w:bottom w:type="dxa" w:w="60"/>
              <w:right w:type="dxa" w:w="100"/>
            </w:tcMar>
            <w:vAlign w:val="center"/>
          </w:tcPr>
          <w:p>
            <w:pPr>
              <w:jc w:val="center"/>
            </w:pPr>
            <w:r>
              <w:rPr>
                <w:sz w:val="20"/>
                <w:szCs w:val="20"/>
              </w:rPr>
              <w:t xml:space="preserve">98.45%</w:t>
            </w:r>
          </w:p>
        </w:tc>
        <w:tc>
          <w:tcPr>
            <w:tcW w:type="dxa" w:w="1000"/>
            <w:tcMar>
              <w:top w:type="dxa" w:w="60"/>
              <w:left w:type="dxa" w:w="100"/>
              <w:bottom w:type="dxa" w:w="60"/>
              <w:right w:type="dxa" w:w="100"/>
            </w:tcMar>
            <w:vAlign w:val="center"/>
          </w:tcPr>
          <w:p>
            <w:pPr>
              <w:jc w:val="center"/>
            </w:pPr>
            <w:r>
              <w:rPr>
                <w:sz w:val="20"/>
                <w:szCs w:val="20"/>
              </w:rPr>
              <w:t xml:space="preserve">97.99%</w:t>
            </w:r>
          </w:p>
        </w:tc>
        <w:tc>
          <w:tcPr>
            <w:tcW w:type="dxa" w:w="800"/>
            <w:tcMar>
              <w:top w:type="dxa" w:w="60"/>
              <w:left w:type="dxa" w:w="100"/>
              <w:bottom w:type="dxa" w:w="60"/>
              <w:right w:type="dxa" w:w="100"/>
            </w:tcMar>
            <w:vAlign w:val="center"/>
          </w:tcPr>
          <w:p>
            <w:pPr>
              <w:jc w:val="center"/>
            </w:pPr>
            <w:r>
              <w:rPr>
                <w:sz w:val="20"/>
                <w:szCs w:val="20"/>
              </w:rPr>
              <w:t xml:space="preserve">3.59%</w:t>
            </w:r>
          </w:p>
        </w:tc>
        <w:tc>
          <w:tcPr>
            <w:tcW w:type="dxa" w:w="1800"/>
            <w:tcMar>
              <w:top w:type="dxa" w:w="60"/>
              <w:left w:type="dxa" w:w="100"/>
              <w:bottom w:type="dxa" w:w="60"/>
              <w:right w:type="dxa" w:w="100"/>
            </w:tcMar>
            <w:vAlign w:val="center"/>
          </w:tcPr>
          <w:p>
            <w:pPr>
              <w:jc w:val="center"/>
            </w:pPr>
            <w:r>
              <w:rPr>
                <w:sz w:val="20"/>
                <w:szCs w:val="20"/>
              </w:rPr>
              <w:t xml:space="preserve">326 / 16,214 (2.01%)</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16,214</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720.6 KB</w:t>
            </w:r>
          </w:p>
        </w:tc>
        <w:tc>
          <w:tcPr>
            <w:tcW w:type="dxa" w:w="1300"/>
            <w:tcMar>
              <w:top w:type="dxa" w:w="60"/>
              <w:left w:type="dxa" w:w="100"/>
              <w:bottom w:type="dxa" w:w="60"/>
              <w:right w:type="dxa" w:w="100"/>
            </w:tcMar>
            <w:vAlign w:val="center"/>
          </w:tcPr>
          <w:p>
            <w:pPr>
              <w:jc w:val="center"/>
            </w:pPr>
            <w:r>
              <w:rPr>
                <w:sz w:val="20"/>
                <w:szCs w:val="20"/>
              </w:rPr>
              <w:t xml:space="preserve">99.40 / 2.76%</w:t>
            </w:r>
          </w:p>
        </w:tc>
        <w:tc>
          <w:tcPr>
            <w:tcW w:type="dxa" w:w="1200"/>
            <w:tcMar>
              <w:top w:type="dxa" w:w="60"/>
              <w:left w:type="dxa" w:w="100"/>
              <w:bottom w:type="dxa" w:w="60"/>
              <w:right w:type="dxa" w:w="100"/>
            </w:tcMar>
            <w:vAlign w:val="center"/>
          </w:tcPr>
          <w:p>
            <w:pPr>
              <w:jc w:val="center"/>
            </w:pPr>
            <w:r>
              <w:rPr>
                <w:sz w:val="20"/>
                <w:szCs w:val="20"/>
              </w:rPr>
              <w:t xml:space="preserve">61 (0.38%)</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206.4 KB</w:t>
            </w:r>
          </w:p>
        </w:tc>
        <w:tc>
          <w:tcPr>
            <w:tcW w:type="dxa" w:w="1300"/>
            <w:tcMar>
              <w:top w:type="dxa" w:w="60"/>
              <w:left w:type="dxa" w:w="100"/>
              <w:bottom w:type="dxa" w:w="60"/>
              <w:right w:type="dxa" w:w="100"/>
            </w:tcMar>
            <w:vAlign w:val="center"/>
          </w:tcPr>
          <w:p>
            <w:pPr>
              <w:jc w:val="center"/>
            </w:pPr>
            <w:r>
              <w:rPr>
                <w:sz w:val="20"/>
                <w:szCs w:val="20"/>
              </w:rPr>
              <w:t xml:space="preserve">98.38 / 2.70%</w:t>
            </w:r>
          </w:p>
        </w:tc>
        <w:tc>
          <w:tcPr>
            <w:tcW w:type="dxa" w:w="1200"/>
            <w:tcMar>
              <w:top w:type="dxa" w:w="60"/>
              <w:left w:type="dxa" w:w="100"/>
              <w:bottom w:type="dxa" w:w="60"/>
              <w:right w:type="dxa" w:w="100"/>
            </w:tcMar>
            <w:vAlign w:val="center"/>
          </w:tcPr>
          <w:p>
            <w:pPr>
              <w:jc w:val="center"/>
            </w:pPr>
            <w:r>
              <w:rPr>
                <w:sz w:val="20"/>
                <w:szCs w:val="20"/>
              </w:rPr>
              <w:t xml:space="preserve">392 (2.42%)</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96.78 / 18.15%</w:t>
            </w:r>
          </w:p>
        </w:tc>
        <w:tc>
          <w:tcPr>
            <w:tcW w:type="dxa" w:w="1200"/>
            <w:tcMar>
              <w:top w:type="dxa" w:w="60"/>
              <w:left w:type="dxa" w:w="100"/>
              <w:bottom w:type="dxa" w:w="60"/>
              <w:right w:type="dxa" w:w="100"/>
            </w:tcMar>
            <w:vAlign w:val="center"/>
          </w:tcPr>
          <w:p>
            <w:pPr>
              <w:jc w:val="center"/>
            </w:pPr>
            <w:r>
              <w:rPr>
                <w:sz w:val="20"/>
                <w:szCs w:val="20"/>
              </w:rPr>
              <w:t xml:space="preserve">192 (1.18%)</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90.50 / 14.00%</w:t>
            </w:r>
          </w:p>
        </w:tc>
        <w:tc>
          <w:tcPr>
            <w:tcW w:type="dxa" w:w="1200"/>
            <w:tcMar>
              <w:top w:type="dxa" w:w="60"/>
              <w:left w:type="dxa" w:w="100"/>
              <w:bottom w:type="dxa" w:w="60"/>
              <w:right w:type="dxa" w:w="100"/>
            </w:tcMar>
            <w:vAlign w:val="center"/>
          </w:tcPr>
          <w:p>
            <w:pPr>
              <w:jc w:val="center"/>
            </w:pPr>
            <w:r>
              <w:rPr>
                <w:sz w:val="20"/>
                <w:szCs w:val="20"/>
              </w:rPr>
              <w:t xml:space="preserve">2,255 (13.91%)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98.74 / 2.88%</w:t>
            </w:r>
          </w:p>
        </w:tc>
        <w:tc>
          <w:tcPr>
            <w:tcW w:type="dxa" w:w="1200"/>
            <w:tcMar>
              <w:top w:type="dxa" w:w="60"/>
              <w:left w:type="dxa" w:w="100"/>
              <w:bottom w:type="dxa" w:w="60"/>
              <w:right w:type="dxa" w:w="100"/>
            </w:tcMar>
            <w:vAlign w:val="center"/>
          </w:tcPr>
          <w:p>
            <w:pPr>
              <w:jc w:val="center"/>
            </w:pPr>
            <w:r>
              <w:rPr>
                <w:sz w:val="20"/>
                <w:szCs w:val="20"/>
              </w:rPr>
              <w:t xml:space="preserve">268 (1.65%)</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99.17 / 3.28%</w:t>
            </w:r>
          </w:p>
        </w:tc>
        <w:tc>
          <w:tcPr>
            <w:tcW w:type="dxa" w:w="1200"/>
            <w:tcMar>
              <w:top w:type="dxa" w:w="60"/>
              <w:left w:type="dxa" w:w="100"/>
              <w:bottom w:type="dxa" w:w="60"/>
              <w:right w:type="dxa" w:w="100"/>
            </w:tcMar>
            <w:vAlign w:val="center"/>
          </w:tcPr>
          <w:p>
            <w:pPr>
              <w:jc w:val="center"/>
            </w:pPr>
            <w:r>
              <w:rPr>
                <w:sz w:val="20"/>
                <w:szCs w:val="20"/>
              </w:rPr>
              <w:t xml:space="preserve">111 (0.68%)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but only by shifting the operating point toward precision (FAR 2.98%): it misses 4,216 of 85,173 attacks (4.95%), against 291 for the deployed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98.74</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268 / 16,214 (1.65%)</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98.72</w:t>
            </w:r>
          </w:p>
        </w:tc>
        <w:tc>
          <w:tcPr>
            <w:tcW w:type="dxa" w:w="900"/>
            <w:tcMar>
              <w:top w:type="dxa" w:w="60"/>
              <w:left w:type="dxa" w:w="100"/>
              <w:bottom w:type="dxa" w:w="60"/>
              <w:right w:type="dxa" w:w="100"/>
            </w:tcMar>
            <w:vAlign w:val="center"/>
          </w:tcPr>
          <w:p>
            <w:pPr>
              <w:jc w:val="center"/>
            </w:pPr>
            <w:r>
              <w:rPr>
                <w:sz w:val="20"/>
                <w:szCs w:val="20"/>
              </w:rPr>
              <w:t xml:space="preserve">3.11%</w:t>
            </w:r>
          </w:p>
        </w:tc>
        <w:tc>
          <w:tcPr>
            <w:tcW w:type="dxa" w:w="2000"/>
            <w:tcMar>
              <w:top w:type="dxa" w:w="60"/>
              <w:left w:type="dxa" w:w="100"/>
              <w:bottom w:type="dxa" w:w="60"/>
              <w:right w:type="dxa" w:w="100"/>
            </w:tcMar>
            <w:vAlign w:val="center"/>
          </w:tcPr>
          <w:p>
            <w:pPr>
              <w:jc w:val="center"/>
            </w:pPr>
            <w:r>
              <w:rPr>
                <w:sz w:val="20"/>
                <w:szCs w:val="20"/>
              </w:rPr>
              <w:t xml:space="preserve">264 / 16,214 (1.63%)</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that must miss as few attacks as possible should instead pick the threshold on held-out data for a target recall: Section 5.13 shows that the 65 KB model can then miss 27 of 85,173 attacks (FP32 model at 0.3: 52) at an 11.3% FAR.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deployed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99.16–99.31 / 99.65–99.79% / 3.5–4.8%</w:t>
            </w:r>
          </w:p>
        </w:tc>
        <w:tc>
          <w:tcPr>
            <w:tcW w:type="dxa" w:w="1500"/>
            <w:tcMar>
              <w:top w:type="dxa" w:w="60"/>
              <w:left w:type="dxa" w:w="100"/>
              <w:bottom w:type="dxa" w:w="60"/>
              <w:right w:type="dxa" w:w="100"/>
            </w:tcMar>
            <w:vAlign w:val="center"/>
          </w:tcPr>
          <w:p>
            <w:pPr>
              <w:jc w:val="center"/>
            </w:pPr>
            <w:r>
              <w:rPr>
                <w:sz w:val="20"/>
                <w:szCs w:val="20"/>
              </w:rPr>
              <w:t xml:space="preserve">34–57 / 16,214 (0.21–0.35%)</w:t>
            </w:r>
          </w:p>
        </w:tc>
        <w:tc>
          <w:tcPr>
            <w:tcW w:type="dxa" w:w="1700"/>
            <w:tcMar>
              <w:top w:type="dxa" w:w="60"/>
              <w:left w:type="dxa" w:w="100"/>
              <w:bottom w:type="dxa" w:w="60"/>
              <w:right w:type="dxa" w:w="100"/>
            </w:tcMar>
            <w:vAlign w:val="center"/>
          </w:tcPr>
          <w:p>
            <w:pPr>
              <w:jc w:val="center"/>
            </w:pPr>
            <w:r>
              <w:rPr>
                <w:sz w:val="20"/>
                <w:szCs w:val="20"/>
              </w:rPr>
              <w:t xml:space="preserve">99.40 / 99.62% / 2.76%</w:t>
            </w:r>
          </w:p>
        </w:tc>
        <w:tc>
          <w:tcPr>
            <w:tcW w:type="dxa" w:w="1500"/>
            <w:tcMar>
              <w:top w:type="dxa" w:w="60"/>
              <w:left w:type="dxa" w:w="100"/>
              <w:bottom w:type="dxa" w:w="60"/>
              <w:right w:type="dxa" w:w="100"/>
            </w:tcMar>
            <w:vAlign w:val="center"/>
          </w:tcPr>
          <w:p>
            <w:pPr>
              <w:jc w:val="center"/>
            </w:pPr>
            <w:r>
              <w:rPr>
                <w:sz w:val="20"/>
                <w:szCs w:val="20"/>
              </w:rPr>
              <w:t xml:space="preserve">61 / 16,214 (0.38%)</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90.16 / 82.13% / 0.23%</w:t>
            </w:r>
          </w:p>
        </w:tc>
        <w:tc>
          <w:tcPr>
            <w:tcW w:type="dxa" w:w="1500"/>
            <w:tcMar>
              <w:top w:type="dxa" w:w="60"/>
              <w:left w:type="dxa" w:w="100"/>
              <w:bottom w:type="dxa" w:w="60"/>
              <w:right w:type="dxa" w:w="100"/>
            </w:tcMar>
            <w:vAlign w:val="center"/>
          </w:tcPr>
          <w:p>
            <w:pPr>
              <w:jc w:val="center"/>
            </w:pPr>
            <w:r>
              <w:rPr>
                <w:sz w:val="20"/>
                <w:szCs w:val="20"/>
              </w:rPr>
              <w:t xml:space="preserve">2,897 / 16,214 (17.87%)</w:t>
            </w:r>
          </w:p>
        </w:tc>
        <w:tc>
          <w:tcPr>
            <w:tcW w:type="dxa" w:w="1700"/>
            <w:tcMar>
              <w:top w:type="dxa" w:w="60"/>
              <w:left w:type="dxa" w:w="100"/>
              <w:bottom w:type="dxa" w:w="60"/>
              <w:right w:type="dxa" w:w="100"/>
            </w:tcMar>
            <w:vAlign w:val="center"/>
          </w:tcPr>
          <w:p>
            <w:pPr>
              <w:jc w:val="center"/>
            </w:pPr>
            <w:r>
              <w:rPr>
                <w:sz w:val="20"/>
                <w:szCs w:val="20"/>
              </w:rPr>
              <w:t xml:space="preserve">98.45 / 97.99% / 3.59%</w:t>
            </w:r>
          </w:p>
        </w:tc>
        <w:tc>
          <w:tcPr>
            <w:tcW w:type="dxa" w:w="1500"/>
            <w:tcMar>
              <w:top w:type="dxa" w:w="60"/>
              <w:left w:type="dxa" w:w="100"/>
              <w:bottom w:type="dxa" w:w="60"/>
              <w:right w:type="dxa" w:w="100"/>
            </w:tcMar>
            <w:vAlign w:val="center"/>
          </w:tcPr>
          <w:p>
            <w:pPr>
              <w:jc w:val="center"/>
            </w:pPr>
            <w:r>
              <w:rPr>
                <w:sz w:val="20"/>
                <w:szCs w:val="20"/>
              </w:rPr>
              <w:t xml:space="preserve">326 / 16,214 (2.01%)</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96.90 / 99.92% / 21.20%</w:t>
            </w:r>
          </w:p>
        </w:tc>
        <w:tc>
          <w:tcPr>
            <w:tcW w:type="dxa" w:w="1500"/>
            <w:tcMar>
              <w:top w:type="dxa" w:w="60"/>
              <w:left w:type="dxa" w:w="100"/>
              <w:bottom w:type="dxa" w:w="60"/>
              <w:right w:type="dxa" w:w="100"/>
            </w:tcMar>
            <w:vAlign w:val="center"/>
          </w:tcPr>
          <w:p>
            <w:pPr>
              <w:jc w:val="center"/>
            </w:pPr>
            <w:r>
              <w:rPr>
                <w:sz w:val="20"/>
                <w:szCs w:val="20"/>
              </w:rPr>
              <w:t xml:space="preserve">13 / 16,214 (0.080%)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99.02 / 99.80% / 5.97%</w:t>
            </w:r>
          </w:p>
        </w:tc>
        <w:tc>
          <w:tcPr>
            <w:tcW w:type="dxa" w:w="1500"/>
            <w:tcMar>
              <w:top w:type="dxa" w:w="60"/>
              <w:left w:type="dxa" w:w="100"/>
              <w:bottom w:type="dxa" w:w="60"/>
              <w:right w:type="dxa" w:w="100"/>
            </w:tcMar>
            <w:vAlign w:val="center"/>
          </w:tcPr>
          <w:p>
            <w:pPr>
              <w:jc w:val="center"/>
            </w:pPr>
            <w:r>
              <w:rPr>
                <w:sz w:val="20"/>
                <w:szCs w:val="20"/>
              </w:rPr>
              <w:t xml:space="preserve">33 / 16,214 (0.20%)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96.34 / 93.22% / 1.00%</w:t>
            </w:r>
          </w:p>
        </w:tc>
        <w:tc>
          <w:tcPr>
            <w:tcW w:type="dxa" w:w="1500"/>
            <w:tcMar>
              <w:top w:type="dxa" w:w="60"/>
              <w:left w:type="dxa" w:w="100"/>
              <w:bottom w:type="dxa" w:w="60"/>
              <w:right w:type="dxa" w:w="100"/>
            </w:tcMar>
            <w:vAlign w:val="center"/>
          </w:tcPr>
          <w:p>
            <w:pPr>
              <w:jc w:val="center"/>
            </w:pPr>
            <w:r>
              <w:rPr>
                <w:sz w:val="20"/>
                <w:szCs w:val="20"/>
              </w:rPr>
              <w:t xml:space="preserve">1,099 / 16,214 (6.78%)</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(deployed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deployed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deployed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deployed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deployed recipe, and distillation fine-tuning (fewest missed attacks) is a choice of operating point, which should be made with a validation-set threshold rather than by picking a pipeline (Section 5.13). On TON_IoT, structured pruning followed by QAT fine-tuning on clipped inputs is the best 55 KB model we found and loses nothing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deployed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deployed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deployed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deployed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The FP32 federated model and the deployed hard-label 55 KB model are so confident that a few client-validation attacks score near zero; reaching a 99.9% recall target on client data then pushes the threshold to almost zero, and FAR to 36–97%. Clipped inputs alone help up to a 99.9% target (21 missed at 7.0%) but collapse to a zero threshold at 99.99%. Distilled students keep their scores in the middle of the range, and their thresholds (0.16–0.22) carry over to the test split: the 55 KB distilled model with clipped inputs misses 19 of 16,214 attacks at a 5.9% FAR, the same trade-off as the FP32 model at threshold 0.2 on the test sweep (21 missed at 5.85%), and 7–10 attacks at an 11–13% FAR. Federated fine-tuning and lighter pruning bring no further gain on TON_IoT, where the 55 KB model already matches the FP32 curve. Here the selected thresholds slightly undershoot the recall targets on the test split (99.88% for a 99.9% target, 99.94–99.96% for 99.99%),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61 / 16,214</w:t>
            </w:r>
          </w:p>
        </w:tc>
        <w:tc>
          <w:tcPr>
            <w:tcW w:type="dxa" w:w="900"/>
            <w:tcMar>
              <w:top w:type="dxa" w:w="60"/>
              <w:left w:type="dxa" w:w="100"/>
              <w:bottom w:type="dxa" w:w="60"/>
              <w:right w:type="dxa" w:w="100"/>
            </w:tcMar>
            <w:vAlign w:val="center"/>
          </w:tcPr>
          <w:p>
            <w:pPr>
              <w:jc w:val="center"/>
            </w:pPr>
            <w:r>
              <w:rPr>
                <w:sz w:val="20"/>
                <w:szCs w:val="20"/>
              </w:rPr>
              <w:t xml:space="preserve">0.38%</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2.76%</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0.021</w:t>
            </w:r>
          </w:p>
        </w:tc>
        <w:tc>
          <w:tcPr>
            <w:tcW w:type="dxa" w:w="1500"/>
            <w:tcMar>
              <w:top w:type="dxa" w:w="60"/>
              <w:left w:type="dxa" w:w="100"/>
              <w:bottom w:type="dxa" w:w="60"/>
              <w:right w:type="dxa" w:w="100"/>
            </w:tcMar>
            <w:vAlign w:val="center"/>
          </w:tcPr>
          <w:p>
            <w:pPr>
              <w:jc w:val="center"/>
            </w:pPr>
            <w:r>
              <w:rPr>
                <w:sz w:val="20"/>
                <w:szCs w:val="20"/>
              </w:rPr>
              <w:t xml:space="preserve">2 / 16,214</w:t>
            </w:r>
          </w:p>
        </w:tc>
        <w:tc>
          <w:tcPr>
            <w:tcW w:type="dxa" w:w="900"/>
            <w:tcMar>
              <w:top w:type="dxa" w:w="60"/>
              <w:left w:type="dxa" w:w="100"/>
              <w:bottom w:type="dxa" w:w="60"/>
              <w:right w:type="dxa" w:w="100"/>
            </w:tcMar>
            <w:vAlign w:val="center"/>
          </w:tcPr>
          <w:p>
            <w:pPr>
              <w:jc w:val="center"/>
            </w:pPr>
            <w:r>
              <w:rPr>
                <w:sz w:val="20"/>
                <w:szCs w:val="20"/>
              </w:rPr>
              <w:t xml:space="preserve">0.012%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96.76%</w:t>
            </w:r>
          </w:p>
        </w:tc>
      </w:tr>
      <w:tr>
        <w:tc>
          <w:tcPr>
            <w:tcW w:type="dxa" w:w="2700"/>
            <w:tcMar>
              <w:top w:type="dxa" w:w="60"/>
              <w:left w:type="dxa" w:w="100"/>
              <w:bottom w:type="dxa" w:w="60"/>
              <w:right w:type="dxa" w:w="100"/>
            </w:tcMar>
            <w:vAlign w:val="center"/>
          </w:tcPr>
          <w:p>
            <w:pPr>
              <w:jc w:val="left"/>
            </w:pPr>
            <w:r>
              <w:rPr>
                <w:sz w:val="20"/>
                <w:szCs w:val="20"/>
              </w:rPr>
              <w:t xml:space="preserve">55 KB, deployed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182 / 16,214</w:t>
            </w:r>
          </w:p>
        </w:tc>
        <w:tc>
          <w:tcPr>
            <w:tcW w:type="dxa" w:w="900"/>
            <w:tcMar>
              <w:top w:type="dxa" w:w="60"/>
              <w:left w:type="dxa" w:w="100"/>
              <w:bottom w:type="dxa" w:w="60"/>
              <w:right w:type="dxa" w:w="100"/>
            </w:tcMar>
            <w:vAlign w:val="center"/>
          </w:tcPr>
          <w:p>
            <w:pPr>
              <w:jc w:val="center"/>
            </w:pPr>
            <w:r>
              <w:rPr>
                <w:sz w:val="20"/>
                <w:szCs w:val="20"/>
              </w:rPr>
              <w:t xml:space="preserve">1.12%</w:t>
            </w:r>
          </w:p>
        </w:tc>
        <w:tc>
          <w:tcPr>
            <w:tcW w:type="dxa" w:w="900"/>
            <w:tcMar>
              <w:top w:type="dxa" w:w="60"/>
              <w:left w:type="dxa" w:w="100"/>
              <w:bottom w:type="dxa" w:w="60"/>
              <w:right w:type="dxa" w:w="100"/>
            </w:tcMar>
            <w:vAlign w:val="center"/>
          </w:tcPr>
          <w:p>
            <w:pPr>
              <w:jc w:val="center"/>
            </w:pPr>
            <w:r>
              <w:rPr>
                <w:sz w:val="20"/>
                <w:szCs w:val="20"/>
              </w:rPr>
              <w:t xml:space="preserve">233</w:t>
            </w:r>
          </w:p>
        </w:tc>
        <w:tc>
          <w:tcPr>
            <w:tcW w:type="dxa" w:w="800"/>
            <w:tcMar>
              <w:top w:type="dxa" w:w="60"/>
              <w:left w:type="dxa" w:w="100"/>
              <w:bottom w:type="dxa" w:w="60"/>
              <w:right w:type="dxa" w:w="100"/>
            </w:tcMar>
            <w:vAlign w:val="center"/>
          </w:tcPr>
          <w:p>
            <w:pPr>
              <w:jc w:val="center"/>
            </w:pPr>
            <w:r>
              <w:rPr>
                <w:sz w:val="20"/>
                <w:szCs w:val="20"/>
              </w:rPr>
              <w:t xml:space="preserve">3.01%</w:t>
            </w:r>
          </w:p>
        </w:tc>
      </w:tr>
      <w:tr>
        <w:tc>
          <w:tcPr>
            <w:tcW w:type="dxa" w:w="2700"/>
            <w:tcMar>
              <w:top w:type="dxa" w:w="60"/>
              <w:left w:type="dxa" w:w="100"/>
              <w:bottom w:type="dxa" w:w="60"/>
              <w:right w:type="dxa" w:w="100"/>
            </w:tcMar>
            <w:vAlign w:val="center"/>
          </w:tcPr>
          <w:p>
            <w:pPr>
              <w:jc w:val="left"/>
            </w:pPr>
            <w:r>
              <w:rPr>
                <w:sz w:val="20"/>
                <w:szCs w:val="20"/>
              </w:rPr>
              <w:t xml:space="preserve">55 KB, deployed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0.040</w:t>
            </w:r>
          </w:p>
        </w:tc>
        <w:tc>
          <w:tcPr>
            <w:tcW w:type="dxa" w:w="1500"/>
            <w:tcMar>
              <w:top w:type="dxa" w:w="60"/>
              <w:left w:type="dxa" w:w="100"/>
              <w:bottom w:type="dxa" w:w="60"/>
              <w:right w:type="dxa" w:w="100"/>
            </w:tcMar>
            <w:vAlign w:val="center"/>
          </w:tcPr>
          <w:p>
            <w:pPr>
              <w:jc w:val="center"/>
            </w:pPr>
            <w:r>
              <w:rPr>
                <w:sz w:val="20"/>
                <w:szCs w:val="20"/>
              </w:rPr>
              <w:t xml:space="preserve">16 / 16,214</w:t>
            </w:r>
          </w:p>
        </w:tc>
        <w:tc>
          <w:tcPr>
            <w:tcW w:type="dxa" w:w="900"/>
            <w:tcMar>
              <w:top w:type="dxa" w:w="60"/>
              <w:left w:type="dxa" w:w="100"/>
              <w:bottom w:type="dxa" w:w="60"/>
              <w:right w:type="dxa" w:w="100"/>
            </w:tcMar>
            <w:vAlign w:val="center"/>
          </w:tcPr>
          <w:p>
            <w:pPr>
              <w:jc w:val="center"/>
            </w:pPr>
            <w:r>
              <w:rPr>
                <w:sz w:val="20"/>
                <w:szCs w:val="20"/>
              </w:rPr>
              <w:t xml:space="preserve">0.099%</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36.44%</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80 / 16,214</w:t>
            </w:r>
          </w:p>
        </w:tc>
        <w:tc>
          <w:tcPr>
            <w:tcW w:type="dxa" w:w="900"/>
            <w:tcMar>
              <w:top w:type="dxa" w:w="60"/>
              <w:left w:type="dxa" w:w="100"/>
              <w:bottom w:type="dxa" w:w="60"/>
              <w:right w:type="dxa" w:w="100"/>
            </w:tcMar>
            <w:vAlign w:val="center"/>
          </w:tcPr>
          <w:p>
            <w:pPr>
              <w:jc w:val="center"/>
            </w:pPr>
            <w:r>
              <w:rPr>
                <w:sz w:val="20"/>
                <w:szCs w:val="20"/>
              </w:rPr>
              <w:t xml:space="preserve">0.49%</w:t>
            </w:r>
          </w:p>
        </w:tc>
        <w:tc>
          <w:tcPr>
            <w:tcW w:type="dxa" w:w="900"/>
            <w:tcMar>
              <w:top w:type="dxa" w:w="60"/>
              <w:left w:type="dxa" w:w="100"/>
              <w:bottom w:type="dxa" w:w="60"/>
              <w:right w:type="dxa" w:w="100"/>
            </w:tcMar>
            <w:vAlign w:val="center"/>
          </w:tcPr>
          <w:p>
            <w:pPr>
              <w:jc w:val="center"/>
            </w:pPr>
            <w:r>
              <w:rPr>
                <w:sz w:val="20"/>
                <w:szCs w:val="20"/>
              </w:rPr>
              <w:t xml:space="preserve">89</w:t>
            </w:r>
          </w:p>
        </w:tc>
        <w:tc>
          <w:tcPr>
            <w:tcW w:type="dxa" w:w="800"/>
            <w:tcMar>
              <w:top w:type="dxa" w:w="60"/>
              <w:left w:type="dxa" w:w="100"/>
              <w:bottom w:type="dxa" w:w="60"/>
              <w:right w:type="dxa" w:w="100"/>
            </w:tcMar>
            <w:vAlign w:val="center"/>
          </w:tcPr>
          <w:p>
            <w:pPr>
              <w:jc w:val="center"/>
            </w:pPr>
            <w:r>
              <w:rPr>
                <w:sz w:val="20"/>
                <w:szCs w:val="20"/>
              </w:rPr>
              <w:t xml:space="preserve">2.33%</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21 / 16,214</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7.02%</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0.220</w:t>
            </w:r>
          </w:p>
        </w:tc>
        <w:tc>
          <w:tcPr>
            <w:tcW w:type="dxa" w:w="1500"/>
            <w:tcMar>
              <w:top w:type="dxa" w:w="60"/>
              <w:left w:type="dxa" w:w="100"/>
              <w:bottom w:type="dxa" w:w="60"/>
              <w:right w:type="dxa" w:w="100"/>
            </w:tcMar>
            <w:vAlign w:val="center"/>
          </w:tcPr>
          <w:p>
            <w:pPr>
              <w:jc w:val="center"/>
            </w:pPr>
            <w:r>
              <w:rPr>
                <w:sz w:val="20"/>
                <w:szCs w:val="20"/>
              </w:rPr>
              <w:t xml:space="preserve">19 / 16,214</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5.94%</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10 / 16,214</w:t>
            </w:r>
          </w:p>
        </w:tc>
        <w:tc>
          <w:tcPr>
            <w:tcW w:type="dxa" w:w="900"/>
            <w:tcMar>
              <w:top w:type="dxa" w:w="60"/>
              <w:left w:type="dxa" w:w="100"/>
              <w:bottom w:type="dxa" w:w="60"/>
              <w:right w:type="dxa" w:w="100"/>
            </w:tcMar>
            <w:vAlign w:val="center"/>
          </w:tcPr>
          <w:p>
            <w:pPr>
              <w:jc w:val="center"/>
            </w:pPr>
            <w:r>
              <w:rPr>
                <w:sz w:val="20"/>
                <w:szCs w:val="20"/>
              </w:rPr>
              <w:t xml:space="preserve">0.062%</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11.17%</w:t>
            </w:r>
          </w:p>
        </w:tc>
      </w:tr>
      <w:tr>
        <w:tc>
          <w:tcPr>
            <w:tcW w:type="dxa" w:w="27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0.159</w:t>
            </w:r>
          </w:p>
        </w:tc>
        <w:tc>
          <w:tcPr>
            <w:tcW w:type="dxa" w:w="1500"/>
            <w:tcMar>
              <w:top w:type="dxa" w:w="60"/>
              <w:left w:type="dxa" w:w="100"/>
              <w:bottom w:type="dxa" w:w="60"/>
              <w:right w:type="dxa" w:w="100"/>
            </w:tcMar>
            <w:vAlign w:val="center"/>
          </w:tcPr>
          <w:p>
            <w:pPr>
              <w:jc w:val="center"/>
            </w:pPr>
            <w:r>
              <w:rPr>
                <w:sz w:val="20"/>
                <w:szCs w:val="20"/>
              </w:rPr>
              <w:t xml:space="preserve">7 / 16,214</w:t>
            </w:r>
          </w:p>
        </w:tc>
        <w:tc>
          <w:tcPr>
            <w:tcW w:type="dxa" w:w="900"/>
            <w:tcMar>
              <w:top w:type="dxa" w:w="60"/>
              <w:left w:type="dxa" w:w="100"/>
              <w:bottom w:type="dxa" w:w="60"/>
              <w:right w:type="dxa" w:w="100"/>
            </w:tcMar>
            <w:vAlign w:val="center"/>
          </w:tcPr>
          <w:p>
            <w:pPr>
              <w:jc w:val="center"/>
            </w:pPr>
            <w:r>
              <w:rPr>
                <w:sz w:val="20"/>
                <w:szCs w:val="20"/>
              </w:rPr>
              <w:t xml:space="preserve">0.045%</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12.60%</w:t>
            </w:r>
          </w:p>
        </w:tc>
      </w:tr>
      <w:tr>
        <w:tc>
          <w:tcPr>
            <w:tcW w:type="dxa" w:w="2700"/>
            <w:tcMar>
              <w:top w:type="dxa" w:w="60"/>
              <w:left w:type="dxa" w:w="100"/>
              <w:bottom w:type="dxa" w:w="60"/>
              <w:right w:type="dxa" w:w="100"/>
            </w:tcMar>
            <w:vAlign w:val="center"/>
          </w:tcPr>
          <w:p>
            <w:pPr>
              <w:jc w:val="left"/>
            </w:pPr>
            <w:r>
              <w:rPr>
                <w:sz w:val="20"/>
                <w:szCs w:val="20"/>
              </w:rPr>
              <w:t xml:space="preserve">98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0.210</w:t>
            </w:r>
          </w:p>
        </w:tc>
        <w:tc>
          <w:tcPr>
            <w:tcW w:type="dxa" w:w="1500"/>
            <w:tcMar>
              <w:top w:type="dxa" w:w="60"/>
              <w:left w:type="dxa" w:w="100"/>
              <w:bottom w:type="dxa" w:w="60"/>
              <w:right w:type="dxa" w:w="100"/>
            </w:tcMar>
            <w:vAlign w:val="center"/>
          </w:tcPr>
          <w:p>
            <w:pPr>
              <w:jc w:val="center"/>
            </w:pPr>
            <w:r>
              <w:rPr>
                <w:sz w:val="20"/>
                <w:szCs w:val="20"/>
              </w:rPr>
              <w:t xml:space="preserve">21 / 16,214</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5.79%</w:t>
            </w:r>
          </w:p>
        </w:tc>
      </w:tr>
    </w:tbl>
    <w:p>
      <w:pPr>
        <w:spacing w:after="240" w:before="80"/>
      </w:pPr>
      <w:r>
        <w:rPr>
          <w:i/>
          <w:iCs/>
          <w:sz w:val="20"/>
          <w:szCs w:val="20"/>
        </w:rPr>
        <w:t xml:space="preserve">Table 13. Recall-priority deployment on TON_IoT (16,214 test attacks), same procedure as Table 11; the client validation set is 8,000 held-out samples of client 0.</w:t>
      </w:r>
    </w:p>
    <w:p>
      <w:pPr>
        <w:spacing w:after="160"/>
      </w:pPr>
      <w:r>
        <w:t xml:space="preserve">For a recall-priority deployment we therefore recommend one recipe for both datasets: distillation from the federated model, QAT fine-tuning on clipped inputs, and a threshold chosen on client-held data for the required recall. Federated fine-tuning across clients helps on CIC-IDS2017 and is neutral on TON_IoT. On a 65 KB budget for CIC-IDS2017 the price is about one benign flow in nine raising an alert; where 112 KB of flash is available, 30% pruning lowers that to about one in ten at the same recall and keeps the rare Heartbleed attacks. On TON_IoT the 55 KB model reaches the FP32 model's trade-off at about one false alarm in seventeen benign records.</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2026-10-05T06:32:44.577Z</dcterms:created>
  <dcterms:modified xsi:type="dcterms:W3CDTF">2026-10-05T06:32:44.577Z</dcterms:modified>
</cp:coreProperties>
</file>

<file path=docProps/custom.xml><?xml version="1.0" encoding="utf-8"?>
<Properties xmlns="http://schemas.openxmlformats.org/officeDocument/2006/custom-properties" xmlns:vt="http://schemas.openxmlformats.org/officeDocument/2006/docPropsVTypes"/>
</file>