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and Section 5.5 sweeps the pruning ratio.</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99.40 vs. 99.48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98.74 on TON_IoT). How well this works depends on how closely that client's class mix matches the global one. Third, training-time quantization-aware training inside FL collapses on CIC-IDS2017 (34.7% accuracy): heavy-tailed standardized features drive the learned INT8 input range to [−1231, 405]. The same method works on TON_IoT, and post-training quantization of the float model costs only about one F1 point.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(3) A negative result: training-time QAT inside FL fails on CIC-IDS2017 because its moving-average quantizers absorb the heavy-tailed feature outliers. It works on TON_IoT, and post-training quantization of a float model is unaffected (Section 5.6).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and high-cardinality free text (DNS query, URI) is dropped, leaving 37 features. Duplicates are removed (105,176 unique records: 24,106 normal, 81,070 attack) and the same split, scaling, and SMOTE steps are applied (test set: 21,036 records).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carried over from preliminary experiments in which larger α values were unstable)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000"/>
        <w:gridCol w:w="1150"/>
        <w:gridCol w:w="1150"/>
        <w:gridCol w:w="1150"/>
        <w:gridCol w:w="1150"/>
        <w:gridCol w:w="11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000"/>
            <w:tcMar>
              <w:top w:type="dxa" w:w="60"/>
              <w:left w:type="dxa" w:w="100"/>
              <w:bottom w:type="dxa" w:w="60"/>
              <w:right w:type="dxa" w:w="100"/>
            </w:tcMar>
            <w:vAlign w:val="center"/>
          </w:tcPr>
          <w:p>
            <w:pPr>
              <w:jc w:val="left"/>
            </w:pPr>
            <w:r>
              <w:rPr>
                <w:sz w:val="20"/>
                <w:szCs w:val="20"/>
              </w:rPr>
              <w:t xml:space="preserve">CIC-IDS2017 — centralized</w:t>
            </w:r>
          </w:p>
        </w:tc>
        <w:tc>
          <w:tcPr>
            <w:tcW w:type="dxa" w:w="1150"/>
            <w:tcMar>
              <w:top w:type="dxa" w:w="60"/>
              <w:left w:type="dxa" w:w="100"/>
              <w:bottom w:type="dxa" w:w="60"/>
              <w:right w:type="dxa" w:w="100"/>
            </w:tcMar>
            <w:vAlign w:val="center"/>
          </w:tcPr>
          <w:p>
            <w:pPr>
              <w:jc w:val="center"/>
            </w:pPr>
            <w:r>
              <w:rPr>
                <w:sz w:val="20"/>
                <w:szCs w:val="20"/>
              </w:rPr>
              <w:t xml:space="preserve">95.07%</w:t>
            </w:r>
          </w:p>
        </w:tc>
        <w:tc>
          <w:tcPr>
            <w:tcW w:type="dxa" w:w="1150"/>
            <w:tcMar>
              <w:top w:type="dxa" w:w="60"/>
              <w:left w:type="dxa" w:w="100"/>
              <w:bottom w:type="dxa" w:w="60"/>
              <w:right w:type="dxa" w:w="100"/>
            </w:tcMar>
            <w:vAlign w:val="center"/>
          </w:tcPr>
          <w:p>
            <w:pPr>
              <w:jc w:val="center"/>
            </w:pPr>
            <w:r>
              <w:rPr>
                <w:sz w:val="20"/>
                <w:szCs w:val="20"/>
              </w:rPr>
              <w:t xml:space="preserve">77.60%</w:t>
            </w:r>
          </w:p>
        </w:tc>
        <w:tc>
          <w:tcPr>
            <w:tcW w:type="dxa" w:w="1150"/>
            <w:tcMar>
              <w:top w:type="dxa" w:w="60"/>
              <w:left w:type="dxa" w:w="100"/>
              <w:bottom w:type="dxa" w:w="60"/>
              <w:right w:type="dxa" w:w="100"/>
            </w:tcMar>
            <w:vAlign w:val="center"/>
          </w:tcPr>
          <w:p>
            <w:pPr>
              <w:jc w:val="center"/>
            </w:pPr>
            <w:r>
              <w:rPr>
                <w:sz w:val="20"/>
                <w:szCs w:val="20"/>
              </w:rPr>
              <w:t xml:space="preserve">99.90%</w:t>
            </w:r>
          </w:p>
        </w:tc>
        <w:tc>
          <w:tcPr>
            <w:tcW w:type="dxa" w:w="1150"/>
            <w:tcMar>
              <w:top w:type="dxa" w:w="60"/>
              <w:left w:type="dxa" w:w="100"/>
              <w:bottom w:type="dxa" w:w="60"/>
              <w:right w:type="dxa" w:w="100"/>
            </w:tcMar>
            <w:vAlign w:val="center"/>
          </w:tcPr>
          <w:p>
            <w:pPr>
              <w:jc w:val="center"/>
            </w:pPr>
            <w:r>
              <w:rPr>
                <w:sz w:val="20"/>
                <w:szCs w:val="20"/>
              </w:rPr>
              <w:t xml:space="preserve">87.35%</w:t>
            </w:r>
          </w:p>
        </w:tc>
        <w:tc>
          <w:tcPr>
            <w:tcW w:type="dxa" w:w="1100"/>
            <w:tcMar>
              <w:top w:type="dxa" w:w="60"/>
              <w:left w:type="dxa" w:w="100"/>
              <w:bottom w:type="dxa" w:w="60"/>
              <w:right w:type="dxa" w:w="100"/>
            </w:tcMar>
            <w:vAlign w:val="center"/>
          </w:tcPr>
          <w:p>
            <w:pPr>
              <w:jc w:val="center"/>
            </w:pPr>
            <w:r>
              <w:rPr>
                <w:sz w:val="20"/>
                <w:szCs w:val="20"/>
              </w:rPr>
              <w:t xml:space="preserve">5.92%</w:t>
            </w:r>
          </w:p>
        </w:tc>
      </w:tr>
      <w:tr>
        <w:tc>
          <w:tcPr>
            <w:tcW w:type="dxa" w:w="3000"/>
            <w:tcMar>
              <w:top w:type="dxa" w:w="60"/>
              <w:left w:type="dxa" w:w="100"/>
              <w:bottom w:type="dxa" w:w="60"/>
              <w:right w:type="dxa" w:w="100"/>
            </w:tcMar>
            <w:vAlign w:val="center"/>
          </w:tcPr>
          <w:p>
            <w:pPr>
              <w:jc w:val="left"/>
            </w:pPr>
            <w:r>
              <w:rPr>
                <w:sz w:val="20"/>
                <w:szCs w:val="20"/>
              </w:rPr>
              <w:t xml:space="preserve">CIC-IDS2017 — federated (near-IID)</w:t>
            </w:r>
          </w:p>
        </w:tc>
        <w:tc>
          <w:tcPr>
            <w:tcW w:type="dxa" w:w="1150"/>
            <w:tcMar>
              <w:top w:type="dxa" w:w="60"/>
              <w:left w:type="dxa" w:w="100"/>
              <w:bottom w:type="dxa" w:w="60"/>
              <w:right w:type="dxa" w:w="100"/>
            </w:tcMar>
            <w:vAlign w:val="center"/>
          </w:tcPr>
          <w:p>
            <w:pPr>
              <w:jc w:val="center"/>
            </w:pPr>
            <w:r>
              <w:rPr>
                <w:sz w:val="20"/>
                <w:szCs w:val="20"/>
              </w:rPr>
              <w:t xml:space="preserve">94.32%</w:t>
            </w:r>
          </w:p>
        </w:tc>
        <w:tc>
          <w:tcPr>
            <w:tcW w:type="dxa" w:w="1150"/>
            <w:tcMar>
              <w:top w:type="dxa" w:w="60"/>
              <w:left w:type="dxa" w:w="100"/>
              <w:bottom w:type="dxa" w:w="60"/>
              <w:right w:type="dxa" w:w="100"/>
            </w:tcMar>
            <w:vAlign w:val="center"/>
          </w:tcPr>
          <w:p>
            <w:pPr>
              <w:jc w:val="center"/>
            </w:pPr>
            <w:r>
              <w:rPr>
                <w:sz w:val="20"/>
                <w:szCs w:val="20"/>
              </w:rPr>
              <w:t xml:space="preserve">75.01%</w:t>
            </w:r>
          </w:p>
        </w:tc>
        <w:tc>
          <w:tcPr>
            <w:tcW w:type="dxa" w:w="1150"/>
            <w:tcMar>
              <w:top w:type="dxa" w:w="60"/>
              <w:left w:type="dxa" w:w="100"/>
              <w:bottom w:type="dxa" w:w="60"/>
              <w:right w:type="dxa" w:w="100"/>
            </w:tcMar>
            <w:vAlign w:val="center"/>
          </w:tcPr>
          <w:p>
            <w:pPr>
              <w:jc w:val="center"/>
            </w:pPr>
            <w:r>
              <w:rPr>
                <w:sz w:val="20"/>
                <w:szCs w:val="20"/>
              </w:rPr>
              <w:t xml:space="preserve">99.94%</w:t>
            </w:r>
          </w:p>
        </w:tc>
        <w:tc>
          <w:tcPr>
            <w:tcW w:type="dxa" w:w="115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6.84%</w:t>
            </w:r>
          </w:p>
        </w:tc>
      </w:tr>
      <w:tr>
        <w:tc>
          <w:tcPr>
            <w:tcW w:type="dxa" w:w="3000"/>
            <w:tcMar>
              <w:top w:type="dxa" w:w="60"/>
              <w:left w:type="dxa" w:w="100"/>
              <w:bottom w:type="dxa" w:w="60"/>
              <w:right w:type="dxa" w:w="100"/>
            </w:tcMar>
            <w:vAlign w:val="center"/>
          </w:tcPr>
          <w:p>
            <w:pPr>
              <w:jc w:val="left"/>
            </w:pPr>
            <w:r>
              <w:rPr>
                <w:sz w:val="20"/>
                <w:szCs w:val="20"/>
              </w:rPr>
              <w:t xml:space="preserve">CIC-IDS2017 — federated, fixed LR</w:t>
            </w:r>
          </w:p>
        </w:tc>
        <w:tc>
          <w:tcPr>
            <w:tcW w:type="dxa" w:w="1150"/>
            <w:tcMar>
              <w:top w:type="dxa" w:w="60"/>
              <w:left w:type="dxa" w:w="100"/>
              <w:bottom w:type="dxa" w:w="60"/>
              <w:right w:type="dxa" w:w="100"/>
            </w:tcMar>
            <w:vAlign w:val="center"/>
          </w:tcPr>
          <w:p>
            <w:pPr>
              <w:jc w:val="center"/>
            </w:pPr>
            <w:r>
              <w:rPr>
                <w:sz w:val="20"/>
                <w:szCs w:val="20"/>
              </w:rPr>
              <w:t xml:space="preserve">pending</w:t>
            </w:r>
          </w:p>
        </w:tc>
        <w:tc>
          <w:tcPr>
            <w:tcW w:type="dxa" w:w="1150"/>
            <w:tcMar>
              <w:top w:type="dxa" w:w="60"/>
              <w:left w:type="dxa" w:w="100"/>
              <w:bottom w:type="dxa" w:w="60"/>
              <w:right w:type="dxa" w:w="100"/>
            </w:tcMar>
            <w:vAlign w:val="center"/>
          </w:tcPr>
          <w:p>
            <w:pPr>
              <w:jc w:val="center"/>
            </w:pPr>
            <w:r>
              <w:rPr>
                <w:sz w:val="20"/>
                <w:szCs w:val="20"/>
              </w:rPr>
              <w:t xml:space="preserve"/>
            </w:r>
          </w:p>
        </w:tc>
        <w:tc>
          <w:tcPr>
            <w:tcW w:type="dxa" w:w="1150"/>
            <w:tcMar>
              <w:top w:type="dxa" w:w="60"/>
              <w:left w:type="dxa" w:w="100"/>
              <w:bottom w:type="dxa" w:w="60"/>
              <w:right w:type="dxa" w:w="100"/>
            </w:tcMar>
            <w:vAlign w:val="center"/>
          </w:tcPr>
          <w:p>
            <w:pPr>
              <w:jc w:val="center"/>
            </w:pPr>
            <w:r>
              <w:rPr>
                <w:sz w:val="20"/>
                <w:szCs w:val="20"/>
              </w:rPr>
              <w:t xml:space="preserve"/>
            </w:r>
          </w:p>
        </w:tc>
        <w:tc>
          <w:tcPr>
            <w:tcW w:type="dxa" w:w="1150"/>
            <w:tcMar>
              <w:top w:type="dxa" w:w="60"/>
              <w:left w:type="dxa" w:w="100"/>
              <w:bottom w:type="dxa" w:w="60"/>
              <w:right w:type="dxa" w:w="100"/>
            </w:tcMar>
            <w:vAlign w:val="center"/>
          </w:tcPr>
          <w:p>
            <w:pPr>
              <w:jc w:val="center"/>
            </w:pPr>
            <w:r>
              <w:rPr>
                <w:sz w:val="20"/>
                <w:szCs w:val="20"/>
              </w:rPr>
              <w:t xml:space="preserve"/>
            </w:r>
          </w:p>
        </w:tc>
        <w:tc>
          <w:tcPr>
            <w:tcW w:type="dxa" w:w="1100"/>
            <w:tcMar>
              <w:top w:type="dxa" w:w="60"/>
              <w:left w:type="dxa" w:w="100"/>
              <w:bottom w:type="dxa" w:w="60"/>
              <w:right w:type="dxa" w:w="100"/>
            </w:tcMar>
            <w:vAlign w:val="center"/>
          </w:tcPr>
          <w:p>
            <w:pPr>
              <w:jc w:val="center"/>
            </w:pPr>
            <w:r>
              <w:rPr>
                <w:sz w:val="20"/>
                <w:szCs w:val="20"/>
              </w:rPr>
              <w:t xml:space="preserve"/>
            </w:r>
          </w:p>
        </w:tc>
      </w:tr>
      <w:tr>
        <w:tc>
          <w:tcPr>
            <w:tcW w:type="dxa" w:w="3000"/>
            <w:tcMar>
              <w:top w:type="dxa" w:w="60"/>
              <w:left w:type="dxa" w:w="100"/>
              <w:bottom w:type="dxa" w:w="60"/>
              <w:right w:type="dxa" w:w="100"/>
            </w:tcMar>
            <w:vAlign w:val="center"/>
          </w:tcPr>
          <w:p>
            <w:pPr>
              <w:jc w:val="left"/>
            </w:pPr>
            <w:r>
              <w:rPr>
                <w:sz w:val="20"/>
                <w:szCs w:val="20"/>
              </w:rPr>
              <w:t xml:space="preserve">TON_IoT — centralized</w:t>
            </w:r>
          </w:p>
        </w:tc>
        <w:tc>
          <w:tcPr>
            <w:tcW w:type="dxa" w:w="1150"/>
            <w:tcMar>
              <w:top w:type="dxa" w:w="60"/>
              <w:left w:type="dxa" w:w="100"/>
              <w:bottom w:type="dxa" w:w="60"/>
              <w:right w:type="dxa" w:w="100"/>
            </w:tcMar>
            <w:vAlign w:val="center"/>
          </w:tcPr>
          <w:p>
            <w:pPr>
              <w:jc w:val="center"/>
            </w:pPr>
            <w:r>
              <w:rPr>
                <w:sz w:val="20"/>
                <w:szCs w:val="20"/>
              </w:rPr>
              <w:t xml:space="preserve">99.20%</w:t>
            </w:r>
          </w:p>
        </w:tc>
        <w:tc>
          <w:tcPr>
            <w:tcW w:type="dxa" w:w="1150"/>
            <w:tcMar>
              <w:top w:type="dxa" w:w="60"/>
              <w:left w:type="dxa" w:w="100"/>
              <w:bottom w:type="dxa" w:w="60"/>
              <w:right w:type="dxa" w:w="100"/>
            </w:tcMar>
            <w:vAlign w:val="center"/>
          </w:tcPr>
          <w:p>
            <w:pPr>
              <w:jc w:val="center"/>
            </w:pPr>
            <w:r>
              <w:rPr>
                <w:sz w:val="20"/>
                <w:szCs w:val="20"/>
              </w:rPr>
              <w:t xml:space="preserve">99.32%</w:t>
            </w:r>
          </w:p>
        </w:tc>
        <w:tc>
          <w:tcPr>
            <w:tcW w:type="dxa" w:w="1150"/>
            <w:tcMar>
              <w:top w:type="dxa" w:w="60"/>
              <w:left w:type="dxa" w:w="100"/>
              <w:bottom w:type="dxa" w:w="60"/>
              <w:right w:type="dxa" w:w="100"/>
            </w:tcMar>
            <w:vAlign w:val="center"/>
          </w:tcPr>
          <w:p>
            <w:pPr>
              <w:jc w:val="center"/>
            </w:pPr>
            <w:r>
              <w:rPr>
                <w:sz w:val="20"/>
                <w:szCs w:val="20"/>
              </w:rPr>
              <w:t xml:space="preserve">99.64%</w:t>
            </w:r>
          </w:p>
        </w:tc>
        <w:tc>
          <w:tcPr>
            <w:tcW w:type="dxa" w:w="1150"/>
            <w:tcMar>
              <w:top w:type="dxa" w:w="60"/>
              <w:left w:type="dxa" w:w="100"/>
              <w:bottom w:type="dxa" w:w="60"/>
              <w:right w:type="dxa" w:w="100"/>
            </w:tcMar>
            <w:vAlign w:val="center"/>
          </w:tcPr>
          <w:p>
            <w:pPr>
              <w:jc w:val="center"/>
            </w:pPr>
            <w:r>
              <w:rPr>
                <w:sz w:val="20"/>
                <w:szCs w:val="20"/>
              </w:rPr>
              <w:t xml:space="preserve">99.48%</w:t>
            </w:r>
          </w:p>
        </w:tc>
        <w:tc>
          <w:tcPr>
            <w:tcW w:type="dxa" w:w="1100"/>
            <w:tcMar>
              <w:top w:type="dxa" w:w="60"/>
              <w:left w:type="dxa" w:w="100"/>
              <w:bottom w:type="dxa" w:w="60"/>
              <w:right w:type="dxa" w:w="100"/>
            </w:tcMar>
            <w:vAlign w:val="center"/>
          </w:tcPr>
          <w:p>
            <w:pPr>
              <w:jc w:val="center"/>
            </w:pPr>
            <w:r>
              <w:rPr>
                <w:sz w:val="20"/>
                <w:szCs w:val="20"/>
              </w:rPr>
              <w:t xml:space="preserve">2.28%</w:t>
            </w:r>
          </w:p>
        </w:tc>
      </w:tr>
      <w:tr>
        <w:tc>
          <w:tcPr>
            <w:tcW w:type="dxa" w:w="3000"/>
            <w:tcMar>
              <w:top w:type="dxa" w:w="60"/>
              <w:left w:type="dxa" w:w="100"/>
              <w:bottom w:type="dxa" w:w="60"/>
              <w:right w:type="dxa" w:w="100"/>
            </w:tcMar>
            <w:vAlign w:val="center"/>
          </w:tcPr>
          <w:p>
            <w:pPr>
              <w:jc w:val="left"/>
            </w:pPr>
            <w:r>
              <w:rPr>
                <w:sz w:val="20"/>
                <w:szCs w:val="20"/>
              </w:rPr>
              <w:t xml:space="preserve">TON_IoT — federated (near-IID)</w:t>
            </w:r>
          </w:p>
        </w:tc>
        <w:tc>
          <w:tcPr>
            <w:tcW w:type="dxa" w:w="1150"/>
            <w:tcMar>
              <w:top w:type="dxa" w:w="60"/>
              <w:left w:type="dxa" w:w="100"/>
              <w:bottom w:type="dxa" w:w="60"/>
              <w:right w:type="dxa" w:w="100"/>
            </w:tcMar>
            <w:vAlign w:val="center"/>
          </w:tcPr>
          <w:p>
            <w:pPr>
              <w:jc w:val="center"/>
            </w:pPr>
            <w:r>
              <w:rPr>
                <w:sz w:val="20"/>
                <w:szCs w:val="20"/>
              </w:rPr>
              <w:t xml:space="preserve">99.08%</w:t>
            </w:r>
          </w:p>
        </w:tc>
        <w:tc>
          <w:tcPr>
            <w:tcW w:type="dxa" w:w="1150"/>
            <w:tcMar>
              <w:top w:type="dxa" w:w="60"/>
              <w:left w:type="dxa" w:w="100"/>
              <w:bottom w:type="dxa" w:w="60"/>
              <w:right w:type="dxa" w:w="100"/>
            </w:tcMar>
            <w:vAlign w:val="center"/>
          </w:tcPr>
          <w:p>
            <w:pPr>
              <w:jc w:val="center"/>
            </w:pPr>
            <w:r>
              <w:rPr>
                <w:sz w:val="20"/>
                <w:szCs w:val="20"/>
              </w:rPr>
              <w:t xml:space="preserve">99.18%</w:t>
            </w:r>
          </w:p>
        </w:tc>
        <w:tc>
          <w:tcPr>
            <w:tcW w:type="dxa" w:w="1150"/>
            <w:tcMar>
              <w:top w:type="dxa" w:w="60"/>
              <w:left w:type="dxa" w:w="100"/>
              <w:bottom w:type="dxa" w:w="60"/>
              <w:right w:type="dxa" w:w="100"/>
            </w:tcMar>
            <w:vAlign w:val="center"/>
          </w:tcPr>
          <w:p>
            <w:pPr>
              <w:jc w:val="center"/>
            </w:pPr>
            <w:r>
              <w:rPr>
                <w:sz w:val="20"/>
                <w:szCs w:val="20"/>
              </w:rPr>
              <w:t xml:space="preserve">99.62%</w:t>
            </w:r>
          </w:p>
        </w:tc>
        <w:tc>
          <w:tcPr>
            <w:tcW w:type="dxa" w:w="1150"/>
            <w:tcMar>
              <w:top w:type="dxa" w:w="60"/>
              <w:left w:type="dxa" w:w="100"/>
              <w:bottom w:type="dxa" w:w="60"/>
              <w:right w:type="dxa" w:w="100"/>
            </w:tcMar>
            <w:vAlign w:val="center"/>
          </w:tcPr>
          <w:p>
            <w:pPr>
              <w:jc w:val="center"/>
            </w:pPr>
            <w:r>
              <w:rPr>
                <w:sz w:val="20"/>
                <w:szCs w:val="20"/>
              </w:rPr>
              <w:t xml:space="preserve">99.40%</w:t>
            </w:r>
          </w:p>
        </w:tc>
        <w:tc>
          <w:tcPr>
            <w:tcW w:type="dxa" w:w="1100"/>
            <w:tcMar>
              <w:top w:type="dxa" w:w="60"/>
              <w:left w:type="dxa" w:w="100"/>
              <w:bottom w:type="dxa" w:w="60"/>
              <w:right w:type="dxa" w:w="100"/>
            </w:tcMar>
            <w:vAlign w:val="center"/>
          </w:tcPr>
          <w:p>
            <w:pPr>
              <w:jc w:val="center"/>
            </w:pPr>
            <w:r>
              <w:rPr>
                <w:sz w:val="20"/>
                <w:szCs w:val="20"/>
              </w:rPr>
              <w:t xml:space="preserve">2.76%</w:t>
            </w:r>
          </w:p>
        </w:tc>
      </w:tr>
      <w:tr>
        <w:tc>
          <w:tcPr>
            <w:tcW w:type="dxa" w:w="3000"/>
            <w:tcMar>
              <w:top w:type="dxa" w:w="60"/>
              <w:left w:type="dxa" w:w="100"/>
              <w:bottom w:type="dxa" w:w="60"/>
              <w:right w:type="dxa" w:w="100"/>
            </w:tcMar>
            <w:vAlign w:val="center"/>
          </w:tcPr>
          <w:p>
            <w:pPr>
              <w:jc w:val="left"/>
            </w:pPr>
            <w:r>
              <w:rPr>
                <w:sz w:val="20"/>
                <w:szCs w:val="20"/>
              </w:rPr>
              <w:t xml:space="preserve">TON_IoT — federated, fixed LR</w:t>
            </w:r>
          </w:p>
        </w:tc>
        <w:tc>
          <w:tcPr>
            <w:tcW w:type="dxa" w:w="1150"/>
            <w:tcMar>
              <w:top w:type="dxa" w:w="60"/>
              <w:left w:type="dxa" w:w="100"/>
              <w:bottom w:type="dxa" w:w="60"/>
              <w:right w:type="dxa" w:w="100"/>
            </w:tcMar>
            <w:vAlign w:val="center"/>
          </w:tcPr>
          <w:p>
            <w:pPr>
              <w:jc w:val="center"/>
            </w:pPr>
            <w:r>
              <w:rPr>
                <w:sz w:val="20"/>
                <w:szCs w:val="20"/>
              </w:rPr>
              <w:t xml:space="preserve">pending</w:t>
            </w:r>
          </w:p>
        </w:tc>
        <w:tc>
          <w:tcPr>
            <w:tcW w:type="dxa" w:w="1150"/>
            <w:tcMar>
              <w:top w:type="dxa" w:w="60"/>
              <w:left w:type="dxa" w:w="100"/>
              <w:bottom w:type="dxa" w:w="60"/>
              <w:right w:type="dxa" w:w="100"/>
            </w:tcMar>
            <w:vAlign w:val="center"/>
          </w:tcPr>
          <w:p>
            <w:pPr>
              <w:jc w:val="center"/>
            </w:pPr>
            <w:r>
              <w:rPr>
                <w:sz w:val="20"/>
                <w:szCs w:val="20"/>
              </w:rPr>
              <w:t xml:space="preserve"/>
            </w:r>
          </w:p>
        </w:tc>
        <w:tc>
          <w:tcPr>
            <w:tcW w:type="dxa" w:w="1150"/>
            <w:tcMar>
              <w:top w:type="dxa" w:w="60"/>
              <w:left w:type="dxa" w:w="100"/>
              <w:bottom w:type="dxa" w:w="60"/>
              <w:right w:type="dxa" w:w="100"/>
            </w:tcMar>
            <w:vAlign w:val="center"/>
          </w:tcPr>
          <w:p>
            <w:pPr>
              <w:jc w:val="center"/>
            </w:pPr>
            <w:r>
              <w:rPr>
                <w:sz w:val="20"/>
                <w:szCs w:val="20"/>
              </w:rPr>
              <w:t xml:space="preserve"/>
            </w:r>
          </w:p>
        </w:tc>
        <w:tc>
          <w:tcPr>
            <w:tcW w:type="dxa" w:w="1150"/>
            <w:tcMar>
              <w:top w:type="dxa" w:w="60"/>
              <w:left w:type="dxa" w:w="100"/>
              <w:bottom w:type="dxa" w:w="60"/>
              <w:right w:type="dxa" w:w="100"/>
            </w:tcMar>
            <w:vAlign w:val="center"/>
          </w:tcPr>
          <w:p>
            <w:pPr>
              <w:jc w:val="center"/>
            </w:pPr>
            <w:r>
              <w:rPr>
                <w:sz w:val="20"/>
                <w:szCs w:val="20"/>
              </w:rPr>
              <w:t xml:space="preserve"/>
            </w:r>
          </w:p>
        </w:tc>
        <w:tc>
          <w:tcPr>
            <w:tcW w:type="dxa" w:w="11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0.08 on TON_IoT. On CIC-IDS2017 the gap lies almost entirely in precision (FAR 6.84% vs. 5.92%); both models detect more than 99.9% of attacks. </w:t>
      </w:r>
      <w:r>
        <w:rPr>
          <w:b/>
          <w:bCs/>
          <w:color w:val="C00000"/>
        </w:rPr>
        <w:t xml:space="preserve">[PENDING: fixed-learning-rate rows from jobs 2026-10-04_h/i, to test whether the cosine schedule's effect reported in the WIP version survives the corrected pipeline]</w:t>
      </w:r>
    </w:p>
    <w:p>
      <w:pPr>
        <w:pStyle w:val="Heading2"/>
        <w:spacing w:after="140" w:before="260"/>
      </w:pPr>
      <w:r>
        <w:t xml:space="preserve">5.2 Non-IID Clients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000"/>
        <w:gridCol w:w="900"/>
        <w:gridCol w:w="1200"/>
        <w:gridCol w:w="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30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600"/>
            <w:tcMar>
              <w:top w:type="dxa" w:w="60"/>
              <w:left w:type="dxa" w:w="100"/>
              <w:bottom w:type="dxa" w:w="60"/>
              <w:right w:type="dxa" w:w="100"/>
            </w:tcMar>
            <w:vAlign w:val="center"/>
          </w:tcPr>
          <w:p>
            <w:pPr>
              <w:jc w:val="left"/>
            </w:pPr>
            <w:r>
              <w:rPr>
                <w:sz w:val="20"/>
                <w:szCs w:val="20"/>
              </w:rPr>
              <w:t xml:space="preserve">CIC-IDS2017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94.32%</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12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6.84%</w:t>
            </w:r>
          </w:p>
        </w:tc>
      </w:tr>
      <w:tr>
        <w:tc>
          <w:tcPr>
            <w:tcW w:type="dxa" w:w="2600"/>
            <w:tcMar>
              <w:top w:type="dxa" w:w="60"/>
              <w:left w:type="dxa" w:w="100"/>
              <w:bottom w:type="dxa" w:w="60"/>
              <w:right w:type="dxa" w:w="100"/>
            </w:tcMar>
            <w:vAlign w:val="center"/>
          </w:tcPr>
          <w:p>
            <w:pPr>
              <w:jc w:val="left"/>
            </w:pPr>
            <w:r>
              <w:rPr>
                <w:sz w:val="20"/>
                <w:szCs w:val="20"/>
              </w:rPr>
              <w:t xml:space="preserve">CIC-IDS2017 — Dirichlet(0.3)</w:t>
            </w:r>
          </w:p>
        </w:tc>
        <w:tc>
          <w:tcPr>
            <w:tcW w:type="dxa" w:w="30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1000"/>
            <w:tcMar>
              <w:top w:type="dxa" w:w="60"/>
              <w:left w:type="dxa" w:w="100"/>
              <w:bottom w:type="dxa" w:w="60"/>
              <w:right w:type="dxa" w:w="100"/>
            </w:tcMar>
            <w:vAlign w:val="center"/>
          </w:tcPr>
          <w:p>
            <w:pPr>
              <w:jc w:val="center"/>
            </w:pPr>
            <w:r>
              <w:rPr>
                <w:sz w:val="20"/>
                <w:szCs w:val="20"/>
              </w:rPr>
              <w:t xml:space="preserve">94.27%</w:t>
            </w:r>
          </w:p>
        </w:tc>
        <w:tc>
          <w:tcPr>
            <w:tcW w:type="dxa" w:w="900"/>
            <w:tcMar>
              <w:top w:type="dxa" w:w="60"/>
              <w:left w:type="dxa" w:w="100"/>
              <w:bottom w:type="dxa" w:w="60"/>
              <w:right w:type="dxa" w:w="100"/>
            </w:tcMar>
            <w:vAlign w:val="center"/>
          </w:tcPr>
          <w:p>
            <w:pPr>
              <w:jc w:val="center"/>
            </w:pPr>
            <w:r>
              <w:rPr>
                <w:sz w:val="20"/>
                <w:szCs w:val="20"/>
              </w:rPr>
              <w:t xml:space="preserve">85.59%</w:t>
            </w:r>
          </w:p>
        </w:tc>
        <w:tc>
          <w:tcPr>
            <w:tcW w:type="dxa" w:w="1200"/>
            <w:tcMar>
              <w:top w:type="dxa" w:w="60"/>
              <w:left w:type="dxa" w:w="100"/>
              <w:bottom w:type="dxa" w:w="60"/>
              <w:right w:type="dxa" w:w="100"/>
            </w:tcMar>
            <w:vAlign w:val="center"/>
          </w:tcPr>
          <w:p>
            <w:pPr>
              <w:jc w:val="center"/>
            </w:pPr>
            <w:r>
              <w:rPr>
                <w:sz w:val="20"/>
                <w:szCs w:val="20"/>
              </w:rPr>
              <w:t xml:space="preserve">99.83%</w:t>
            </w:r>
          </w:p>
        </w:tc>
        <w:tc>
          <w:tcPr>
            <w:tcW w:type="dxa" w:w="900"/>
            <w:tcMar>
              <w:top w:type="dxa" w:w="60"/>
              <w:left w:type="dxa" w:w="100"/>
              <w:bottom w:type="dxa" w:w="60"/>
              <w:right w:type="dxa" w:w="100"/>
            </w:tcMar>
            <w:vAlign w:val="center"/>
          </w:tcPr>
          <w:p>
            <w:pPr>
              <w:jc w:val="center"/>
            </w:pPr>
            <w:r>
              <w:rPr>
                <w:sz w:val="20"/>
                <w:szCs w:val="20"/>
              </w:rPr>
              <w:t xml:space="preserve">6.87%</w:t>
            </w:r>
          </w:p>
        </w:tc>
      </w:tr>
      <w:tr>
        <w:tc>
          <w:tcPr>
            <w:tcW w:type="dxa" w:w="2600"/>
            <w:tcMar>
              <w:top w:type="dxa" w:w="60"/>
              <w:left w:type="dxa" w:w="100"/>
              <w:bottom w:type="dxa" w:w="60"/>
              <w:right w:type="dxa" w:w="100"/>
            </w:tcMar>
            <w:vAlign w:val="center"/>
          </w:tcPr>
          <w:p>
            <w:pPr>
              <w:jc w:val="left"/>
            </w:pPr>
            <w:r>
              <w:rPr>
                <w:sz w:val="20"/>
                <w:szCs w:val="20"/>
              </w:rPr>
              <w:t xml:space="preserve">TON_IoT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99.08%</w:t>
            </w:r>
          </w:p>
        </w:tc>
        <w:tc>
          <w:tcPr>
            <w:tcW w:type="dxa" w:w="9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99.62%</w:t>
            </w:r>
          </w:p>
        </w:tc>
        <w:tc>
          <w:tcPr>
            <w:tcW w:type="dxa" w:w="900"/>
            <w:tcMar>
              <w:top w:type="dxa" w:w="60"/>
              <w:left w:type="dxa" w:w="100"/>
              <w:bottom w:type="dxa" w:w="60"/>
              <w:right w:type="dxa" w:w="100"/>
            </w:tcMar>
            <w:vAlign w:val="center"/>
          </w:tcPr>
          <w:p>
            <w:pPr>
              <w:jc w:val="center"/>
            </w:pPr>
            <w:r>
              <w:rPr>
                <w:sz w:val="20"/>
                <w:szCs w:val="20"/>
              </w:rPr>
              <w:t xml:space="preserve">2.76%</w:t>
            </w:r>
          </w:p>
        </w:tc>
      </w:tr>
      <w:tr>
        <w:tc>
          <w:tcPr>
            <w:tcW w:type="dxa" w:w="2600"/>
            <w:tcMar>
              <w:top w:type="dxa" w:w="60"/>
              <w:left w:type="dxa" w:w="100"/>
              <w:bottom w:type="dxa" w:w="60"/>
              <w:right w:type="dxa" w:w="100"/>
            </w:tcMar>
            <w:vAlign w:val="center"/>
          </w:tcPr>
          <w:p>
            <w:pPr>
              <w:jc w:val="left"/>
            </w:pPr>
            <w:r>
              <w:rPr>
                <w:sz w:val="20"/>
                <w:szCs w:val="20"/>
              </w:rPr>
              <w:t xml:space="preserve">TON_IoT — Dirichlet(0.3)</w:t>
            </w:r>
          </w:p>
        </w:tc>
        <w:tc>
          <w:tcPr>
            <w:tcW w:type="dxa" w:w="30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1000"/>
            <w:tcMar>
              <w:top w:type="dxa" w:w="60"/>
              <w:left w:type="dxa" w:w="100"/>
              <w:bottom w:type="dxa" w:w="60"/>
              <w:right w:type="dxa" w:w="100"/>
            </w:tcMar>
            <w:vAlign w:val="center"/>
          </w:tcPr>
          <w:p>
            <w:pPr>
              <w:jc w:val="center"/>
            </w:pPr>
            <w:r>
              <w:rPr>
                <w:sz w:val="20"/>
                <w:szCs w:val="20"/>
              </w:rPr>
              <w:t xml:space="preserve">97.63%</w:t>
            </w:r>
          </w:p>
        </w:tc>
        <w:tc>
          <w:tcPr>
            <w:tcW w:type="dxa" w:w="900"/>
            <w:tcMar>
              <w:top w:type="dxa" w:w="60"/>
              <w:left w:type="dxa" w:w="100"/>
              <w:bottom w:type="dxa" w:w="60"/>
              <w:right w:type="dxa" w:w="100"/>
            </w:tcMar>
            <w:vAlign w:val="center"/>
          </w:tcPr>
          <w:p>
            <w:pPr>
              <w:jc w:val="center"/>
            </w:pPr>
            <w:r>
              <w:rPr>
                <w:sz w:val="20"/>
                <w:szCs w:val="20"/>
              </w:rPr>
              <w:t xml:space="preserve">98.45%</w:t>
            </w:r>
          </w:p>
        </w:tc>
        <w:tc>
          <w:tcPr>
            <w:tcW w:type="dxa" w:w="1200"/>
            <w:tcMar>
              <w:top w:type="dxa" w:w="60"/>
              <w:left w:type="dxa" w:w="100"/>
              <w:bottom w:type="dxa" w:w="60"/>
              <w:right w:type="dxa" w:w="100"/>
            </w:tcMar>
            <w:vAlign w:val="center"/>
          </w:tcPr>
          <w:p>
            <w:pPr>
              <w:jc w:val="center"/>
            </w:pPr>
            <w:r>
              <w:rPr>
                <w:sz w:val="20"/>
                <w:szCs w:val="20"/>
              </w:rPr>
              <w:t xml:space="preserve">97.99%</w:t>
            </w:r>
          </w:p>
        </w:tc>
        <w:tc>
          <w:tcPr>
            <w:tcW w:type="dxa" w:w="900"/>
            <w:tcMar>
              <w:top w:type="dxa" w:w="60"/>
              <w:left w:type="dxa" w:w="100"/>
              <w:bottom w:type="dxa" w:w="60"/>
              <w:right w:type="dxa" w:w="100"/>
            </w:tcMar>
            <w:vAlign w:val="center"/>
          </w:tcPr>
          <w:p>
            <w:pPr>
              <w:jc w:val="center"/>
            </w:pPr>
            <w:r>
              <w:rPr>
                <w:sz w:val="20"/>
                <w:szCs w:val="20"/>
              </w:rPr>
              <w:t xml:space="preserve">3.59%</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0.95 F1 on TON_IoT, where Attack Recall drops by 1.6 points and FAR rises from 2.76% to 3.59%.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700"/>
        <w:gridCol w:w="1000"/>
        <w:gridCol w:w="1500"/>
        <w:gridCol w:w="1000"/>
        <w:gridCol w:w="1500"/>
      </w:tblGrid>
      <w:tr>
        <w:trPr>
          <w:tblHeader/>
        </w:trPr>
        <w:tc>
          <w:tcPr>
            <w:tcW w:type="dxa" w:w="37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 FAR</w:t>
            </w:r>
          </w:p>
        </w:tc>
      </w:tr>
      <w:tr>
        <w:tc>
          <w:tcPr>
            <w:tcW w:type="dxa" w:w="3700"/>
            <w:tcMar>
              <w:top w:type="dxa" w:w="60"/>
              <w:left w:type="dxa" w:w="100"/>
              <w:bottom w:type="dxa" w:w="60"/>
              <w:right w:type="dxa" w:w="100"/>
            </w:tcMar>
            <w:vAlign w:val="center"/>
          </w:tcPr>
          <w:p>
            <w:pPr>
              <w:jc w:val="left"/>
            </w:pPr>
            <w:r>
              <w:rPr>
                <w:sz w:val="20"/>
                <w:szCs w:val="20"/>
              </w:rPr>
              <w:t xml:space="preserve">FP32 federated model (TFLite)</w:t>
            </w:r>
          </w:p>
        </w:tc>
        <w:tc>
          <w:tcPr>
            <w:tcW w:type="dxa" w:w="1000"/>
            <w:tcMar>
              <w:top w:type="dxa" w:w="60"/>
              <w:left w:type="dxa" w:w="100"/>
              <w:bottom w:type="dxa" w:w="60"/>
              <w:right w:type="dxa" w:w="100"/>
            </w:tcMar>
            <w:vAlign w:val="center"/>
          </w:tcPr>
          <w:p>
            <w:pPr>
              <w:jc w:val="center"/>
            </w:pPr>
            <w:r>
              <w:rPr>
                <w:sz w:val="20"/>
                <w:szCs w:val="20"/>
              </w:rPr>
              <w:t xml:space="preserve">802.5 KB</w:t>
            </w:r>
          </w:p>
        </w:tc>
        <w:tc>
          <w:tcPr>
            <w:tcW w:type="dxa" w:w="1500"/>
            <w:tcMar>
              <w:top w:type="dxa" w:w="60"/>
              <w:left w:type="dxa" w:w="100"/>
              <w:bottom w:type="dxa" w:w="60"/>
              <w:right w:type="dxa" w:w="100"/>
            </w:tcMar>
            <w:vAlign w:val="center"/>
          </w:tcPr>
          <w:p>
            <w:pPr>
              <w:jc w:val="center"/>
            </w:pPr>
            <w:r>
              <w:rPr>
                <w:sz w:val="20"/>
                <w:szCs w:val="20"/>
              </w:rPr>
              <w:t xml:space="preserve">85.70 / 6.84%</w:t>
            </w:r>
          </w:p>
        </w:tc>
        <w:tc>
          <w:tcPr>
            <w:tcW w:type="dxa" w:w="1000"/>
            <w:tcMar>
              <w:top w:type="dxa" w:w="60"/>
              <w:left w:type="dxa" w:w="100"/>
              <w:bottom w:type="dxa" w:w="60"/>
              <w:right w:type="dxa" w:w="100"/>
            </w:tcMar>
            <w:vAlign w:val="center"/>
          </w:tcPr>
          <w:p>
            <w:pPr>
              <w:jc w:val="center"/>
            </w:pPr>
            <w:r>
              <w:rPr>
                <w:sz w:val="20"/>
                <w:szCs w:val="20"/>
              </w:rPr>
              <w:t xml:space="preserve">720.6 KB</w:t>
            </w:r>
          </w:p>
        </w:tc>
        <w:tc>
          <w:tcPr>
            <w:tcW w:type="dxa" w:w="1500"/>
            <w:tcMar>
              <w:top w:type="dxa" w:w="60"/>
              <w:left w:type="dxa" w:w="100"/>
              <w:bottom w:type="dxa" w:w="60"/>
              <w:right w:type="dxa" w:w="100"/>
            </w:tcMar>
            <w:vAlign w:val="center"/>
          </w:tcPr>
          <w:p>
            <w:pPr>
              <w:jc w:val="center"/>
            </w:pPr>
            <w:r>
              <w:rPr>
                <w:sz w:val="20"/>
                <w:szCs w:val="20"/>
              </w:rPr>
              <w:t xml:space="preserve">99.40 / 2.76%</w:t>
            </w:r>
          </w:p>
        </w:tc>
      </w:tr>
      <w:tr>
        <w:tc>
          <w:tcPr>
            <w:tcW w:type="dxa" w:w="3700"/>
            <w:tcMar>
              <w:top w:type="dxa" w:w="60"/>
              <w:left w:type="dxa" w:w="100"/>
              <w:bottom w:type="dxa" w:w="60"/>
              <w:right w:type="dxa" w:w="100"/>
            </w:tcMar>
            <w:vAlign w:val="center"/>
          </w:tcPr>
          <w:p>
            <w:pPr>
              <w:jc w:val="left"/>
            </w:pPr>
            <w:r>
              <w:rPr>
                <w:sz w:val="20"/>
                <w:szCs w:val="20"/>
              </w:rPr>
              <w:t xml:space="preserve">INT8 PTQ only (no pruning)</w:t>
            </w:r>
          </w:p>
        </w:tc>
        <w:tc>
          <w:tcPr>
            <w:tcW w:type="dxa" w:w="1000"/>
            <w:tcMar>
              <w:top w:type="dxa" w:w="60"/>
              <w:left w:type="dxa" w:w="100"/>
              <w:bottom w:type="dxa" w:w="60"/>
              <w:right w:type="dxa" w:w="100"/>
            </w:tcMar>
            <w:vAlign w:val="center"/>
          </w:tcPr>
          <w:p>
            <w:pPr>
              <w:jc w:val="center"/>
            </w:pPr>
            <w:r>
              <w:rPr>
                <w:sz w:val="20"/>
                <w:szCs w:val="20"/>
              </w:rPr>
              <w:t xml:space="preserve">226.9 KB</w:t>
            </w:r>
          </w:p>
        </w:tc>
        <w:tc>
          <w:tcPr>
            <w:tcW w:type="dxa" w:w="1500"/>
            <w:tcMar>
              <w:top w:type="dxa" w:w="60"/>
              <w:left w:type="dxa" w:w="100"/>
              <w:bottom w:type="dxa" w:w="60"/>
              <w:right w:type="dxa" w:w="100"/>
            </w:tcMar>
            <w:vAlign w:val="center"/>
          </w:tcPr>
          <w:p>
            <w:pPr>
              <w:jc w:val="center"/>
            </w:pPr>
            <w:r>
              <w:rPr>
                <w:sz w:val="20"/>
                <w:szCs w:val="20"/>
              </w:rPr>
              <w:t xml:space="preserve">84.75 / 7.37%</w:t>
            </w:r>
          </w:p>
        </w:tc>
        <w:tc>
          <w:tcPr>
            <w:tcW w:type="dxa" w:w="1000"/>
            <w:tcMar>
              <w:top w:type="dxa" w:w="60"/>
              <w:left w:type="dxa" w:w="100"/>
              <w:bottom w:type="dxa" w:w="60"/>
              <w:right w:type="dxa" w:w="100"/>
            </w:tcMar>
            <w:vAlign w:val="center"/>
          </w:tcPr>
          <w:p>
            <w:pPr>
              <w:jc w:val="center"/>
            </w:pPr>
            <w:r>
              <w:rPr>
                <w:sz w:val="20"/>
                <w:szCs w:val="20"/>
              </w:rPr>
              <w:t xml:space="preserve">206.4 KB</w:t>
            </w:r>
          </w:p>
        </w:tc>
        <w:tc>
          <w:tcPr>
            <w:tcW w:type="dxa" w:w="1500"/>
            <w:tcMar>
              <w:top w:type="dxa" w:w="60"/>
              <w:left w:type="dxa" w:w="100"/>
              <w:bottom w:type="dxa" w:w="60"/>
              <w:right w:type="dxa" w:w="100"/>
            </w:tcMar>
            <w:vAlign w:val="center"/>
          </w:tcPr>
          <w:p>
            <w:pPr>
              <w:jc w:val="center"/>
            </w:pPr>
            <w:r>
              <w:rPr>
                <w:sz w:val="20"/>
                <w:szCs w:val="20"/>
              </w:rPr>
              <w:t xml:space="preserve">98.38 / 2.70%</w:t>
            </w:r>
          </w:p>
        </w:tc>
      </w:tr>
      <w:tr>
        <w:tc>
          <w:tcPr>
            <w:tcW w:type="dxa" w:w="3700"/>
            <w:tcMar>
              <w:top w:type="dxa" w:w="60"/>
              <w:left w:type="dxa" w:w="100"/>
              <w:bottom w:type="dxa" w:w="60"/>
              <w:right w:type="dxa" w:w="100"/>
            </w:tcMar>
            <w:vAlign w:val="center"/>
          </w:tcPr>
          <w:p>
            <w:pPr>
              <w:jc w:val="left"/>
            </w:pPr>
            <w:r>
              <w:rPr>
                <w:sz w:val="20"/>
                <w:szCs w:val="20"/>
              </w:rPr>
              <w:t xml:space="preserve">Prune 50%, no fine-tuning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42.28 / 56.04%</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96.78 / 18.15%</w:t>
            </w:r>
          </w:p>
        </w:tc>
      </w:tr>
      <w:tr>
        <w:tc>
          <w:tcPr>
            <w:tcW w:type="dxa" w:w="3700"/>
            <w:tcMar>
              <w:top w:type="dxa" w:w="60"/>
              <w:left w:type="dxa" w:w="100"/>
              <w:bottom w:type="dxa" w:w="60"/>
              <w:right w:type="dxa" w:w="100"/>
            </w:tcMar>
            <w:vAlign w:val="center"/>
          </w:tcPr>
          <w:p>
            <w:pPr>
              <w:jc w:val="left"/>
            </w:pPr>
            <w:r>
              <w:rPr>
                <w:sz w:val="20"/>
                <w:szCs w:val="20"/>
              </w:rPr>
              <w:t xml:space="preserve">Prune 50% → client FT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86.90 / 6.08%</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90.50 / 14.00%</w:t>
            </w:r>
          </w:p>
        </w:tc>
      </w:tr>
      <w:tr>
        <w:tc>
          <w:tcPr>
            <w:tcW w:type="dxa" w:w="3700"/>
            <w:tcMar>
              <w:top w:type="dxa" w:w="60"/>
              <w:left w:type="dxa" w:w="100"/>
              <w:bottom w:type="dxa" w:w="60"/>
              <w:right w:type="dxa" w:w="100"/>
            </w:tcMar>
            <w:vAlign w:val="center"/>
          </w:tcPr>
          <w:p>
            <w:pPr>
              <w:jc w:val="left"/>
            </w:pPr>
            <w:r>
              <w:rPr>
                <w:sz w:val="20"/>
                <w:szCs w:val="20"/>
              </w:rPr>
              <w:t xml:space="preserve">Prune 50% → client FT → QAT FT → INT8 (deployed)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85.59 / 6.82%</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98.74 / 2.88%</w:t>
            </w:r>
          </w:p>
        </w:tc>
      </w:tr>
      <w:tr>
        <w:tc>
          <w:tcPr>
            <w:tcW w:type="dxa" w:w="37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90.72 / 2.98%</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99.17 / 3.28%</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w:t>
      </w:r>
    </w:p>
    <w:p>
      <w:pPr>
        <w:spacing w:after="160"/>
      </w:pPr>
      <w:r>
        <w:t xml:space="preserve">INT8 PTQ alone gives 3.5× at a cost of about one F1 point on both datasets. Pruning half of each hidden layer gives a further 3.5×, but only if the pruned model is fine-tuned. Without fine-tuning, the pruned model breaks down (F1 42.28 on CIC-IDS2017, FAR 18% on TON_IoT). With fine-tuning and QAT fine-tuning on one client's local data, the deployed INT8 model is 65.4 KB on CIC-IDS2017 (802.5 / 65.4 = 12.27×) and 55.2 KB on TON_IoT (13.05×), and it matches the float federated model (F1 85.59 vs. 85.70 and 98.74 vs. 99.40). The deployed CIC-IDS2017 model has 94.28% accuracy, 75.00% precision, and 99.66% Attack Recall. The QAT fine-tuning step matters on TON_IoT, where client-fine-tuned PTQ reaches only F1 90.50.</w:t>
      </w:r>
    </w:p>
    <w:p>
      <w:pPr>
        <w:spacing w:after="160"/>
      </w:pPr>
      <w:r>
        <w:t xml:space="preserve">Pooled fine-tuning scores higher on CIC-IDS2017 (F1 90.72), mostly by shifting the operating point toward precision (FAR 2.98%).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2800"/>
        <w:gridCol w:w="1600"/>
        <w:gridCol w:w="11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8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Deployed INT8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300"/>
            <w:tcMar>
              <w:top w:type="dxa" w:w="60"/>
              <w:left w:type="dxa" w:w="100"/>
              <w:bottom w:type="dxa" w:w="60"/>
              <w:right w:type="dxa" w:w="100"/>
            </w:tcMar>
            <w:vAlign w:val="center"/>
          </w:tcPr>
          <w:p>
            <w:pPr>
              <w:jc w:val="left"/>
            </w:pPr>
            <w:r>
              <w:rPr>
                <w:sz w:val="20"/>
                <w:szCs w:val="20"/>
              </w:rPr>
              <w:t xml:space="preserve">CIC-IDS2017 near-IID</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85.59</w:t>
            </w:r>
          </w:p>
        </w:tc>
        <w:tc>
          <w:tcPr>
            <w:tcW w:type="dxa" w:w="1100"/>
            <w:tcMar>
              <w:top w:type="dxa" w:w="60"/>
              <w:left w:type="dxa" w:w="100"/>
              <w:bottom w:type="dxa" w:w="60"/>
              <w:right w:type="dxa" w:w="100"/>
            </w:tcMar>
            <w:vAlign w:val="center"/>
          </w:tcPr>
          <w:p>
            <w:pPr>
              <w:jc w:val="center"/>
            </w:pPr>
            <w:r>
              <w:rPr>
                <w:sz w:val="20"/>
                <w:szCs w:val="20"/>
              </w:rPr>
              <w:t xml:space="preserve">6.82%</w:t>
            </w:r>
          </w:p>
        </w:tc>
      </w:tr>
      <w:tr>
        <w:tc>
          <w:tcPr>
            <w:tcW w:type="dxa" w:w="3300"/>
            <w:tcMar>
              <w:top w:type="dxa" w:w="60"/>
              <w:left w:type="dxa" w:w="100"/>
              <w:bottom w:type="dxa" w:w="60"/>
              <w:right w:type="dxa" w:w="100"/>
            </w:tcMar>
            <w:vAlign w:val="center"/>
          </w:tcPr>
          <w:p>
            <w:pPr>
              <w:jc w:val="left"/>
            </w:pPr>
            <w:r>
              <w:rPr>
                <w:sz w:val="20"/>
                <w:szCs w:val="20"/>
              </w:rPr>
              <w:t xml:space="preserve">CIC-IDS2017 Dirichlet(0.3)</w:t>
            </w:r>
          </w:p>
        </w:tc>
        <w:tc>
          <w:tcPr>
            <w:tcW w:type="dxa" w:w="2800"/>
            <w:tcMar>
              <w:top w:type="dxa" w:w="60"/>
              <w:left w:type="dxa" w:w="100"/>
              <w:bottom w:type="dxa" w:w="60"/>
              <w:right w:type="dxa" w:w="100"/>
            </w:tcMar>
            <w:vAlign w:val="center"/>
          </w:tcPr>
          <w:p>
            <w:pPr>
              <w:jc w:val="center"/>
            </w:pPr>
            <w:r>
              <w:rPr>
                <w:sz w:val="20"/>
                <w:szCs w:val="20"/>
              </w:rPr>
              <w:t xml:space="preserve">client 3 (24.9%)</w:t>
            </w:r>
          </w:p>
        </w:tc>
        <w:tc>
          <w:tcPr>
            <w:tcW w:type="dxa" w:w="1600"/>
            <w:tcMar>
              <w:top w:type="dxa" w:w="60"/>
              <w:left w:type="dxa" w:w="100"/>
              <w:bottom w:type="dxa" w:w="60"/>
              <w:right w:type="dxa" w:w="100"/>
            </w:tcMar>
            <w:vAlign w:val="center"/>
          </w:tcPr>
          <w:p>
            <w:pPr>
              <w:jc w:val="center"/>
            </w:pPr>
            <w:r>
              <w:rPr>
                <w:sz w:val="20"/>
                <w:szCs w:val="20"/>
              </w:rPr>
              <w:t xml:space="preserve">91.08</w:t>
            </w:r>
          </w:p>
        </w:tc>
        <w:tc>
          <w:tcPr>
            <w:tcW w:type="dxa" w:w="1100"/>
            <w:tcMar>
              <w:top w:type="dxa" w:w="60"/>
              <w:left w:type="dxa" w:w="100"/>
              <w:bottom w:type="dxa" w:w="60"/>
              <w:right w:type="dxa" w:w="100"/>
            </w:tcMar>
            <w:vAlign w:val="center"/>
          </w:tcPr>
          <w:p>
            <w:pPr>
              <w:jc w:val="center"/>
            </w:pPr>
            <w:r>
              <w:rPr>
                <w:sz w:val="20"/>
                <w:szCs w:val="20"/>
              </w:rPr>
              <w:t xml:space="preserve">2.75%</w:t>
            </w:r>
          </w:p>
        </w:tc>
      </w:tr>
      <w:tr>
        <w:tc>
          <w:tcPr>
            <w:tcW w:type="dxa" w:w="33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81.84</w:t>
            </w:r>
          </w:p>
        </w:tc>
        <w:tc>
          <w:tcPr>
            <w:tcW w:type="dxa" w:w="1100"/>
            <w:tcMar>
              <w:top w:type="dxa" w:w="60"/>
              <w:left w:type="dxa" w:w="100"/>
              <w:bottom w:type="dxa" w:w="60"/>
              <w:right w:type="dxa" w:w="100"/>
            </w:tcMar>
            <w:vAlign w:val="center"/>
          </w:tcPr>
          <w:p>
            <w:pPr>
              <w:jc w:val="center"/>
            </w:pPr>
            <w:r>
              <w:rPr>
                <w:sz w:val="20"/>
                <w:szCs w:val="20"/>
              </w:rPr>
              <w:t xml:space="preserve">8.84%</w:t>
            </w:r>
          </w:p>
        </w:tc>
      </w:tr>
      <w:tr>
        <w:tc>
          <w:tcPr>
            <w:tcW w:type="dxa" w:w="3300"/>
            <w:tcMar>
              <w:top w:type="dxa" w:w="60"/>
              <w:left w:type="dxa" w:w="100"/>
              <w:bottom w:type="dxa" w:w="60"/>
              <w:right w:type="dxa" w:w="100"/>
            </w:tcMar>
            <w:vAlign w:val="center"/>
          </w:tcPr>
          <w:p>
            <w:pPr>
              <w:jc w:val="left"/>
            </w:pPr>
            <w:r>
              <w:rPr>
                <w:sz w:val="20"/>
                <w:szCs w:val="20"/>
              </w:rPr>
              <w:t xml:space="preserve">TON_IoT near-IID</w:t>
            </w:r>
          </w:p>
        </w:tc>
        <w:tc>
          <w:tcPr>
            <w:tcW w:type="dxa" w:w="2800"/>
            <w:tcMar>
              <w:top w:type="dxa" w:w="60"/>
              <w:left w:type="dxa" w:w="100"/>
              <w:bottom w:type="dxa" w:w="60"/>
              <w:right w:type="dxa" w:w="100"/>
            </w:tcMar>
            <w:vAlign w:val="center"/>
          </w:tcPr>
          <w:p>
            <w:pPr>
              <w:jc w:val="center"/>
            </w:pPr>
            <w:r>
              <w:rPr>
                <w:sz w:val="20"/>
                <w:szCs w:val="20"/>
              </w:rPr>
              <w:t xml:space="preserve">client 0 (50.1%)</w:t>
            </w:r>
          </w:p>
        </w:tc>
        <w:tc>
          <w:tcPr>
            <w:tcW w:type="dxa" w:w="1600"/>
            <w:tcMar>
              <w:top w:type="dxa" w:w="60"/>
              <w:left w:type="dxa" w:w="100"/>
              <w:bottom w:type="dxa" w:w="60"/>
              <w:right w:type="dxa" w:w="100"/>
            </w:tcMar>
            <w:vAlign w:val="center"/>
          </w:tcPr>
          <w:p>
            <w:pPr>
              <w:jc w:val="center"/>
            </w:pPr>
            <w:r>
              <w:rPr>
                <w:sz w:val="20"/>
                <w:szCs w:val="20"/>
              </w:rPr>
              <w:t xml:space="preserve">98.74</w:t>
            </w:r>
          </w:p>
        </w:tc>
        <w:tc>
          <w:tcPr>
            <w:tcW w:type="dxa" w:w="1100"/>
            <w:tcMar>
              <w:top w:type="dxa" w:w="60"/>
              <w:left w:type="dxa" w:w="100"/>
              <w:bottom w:type="dxa" w:w="60"/>
              <w:right w:type="dxa" w:w="100"/>
            </w:tcMar>
            <w:vAlign w:val="center"/>
          </w:tcPr>
          <w:p>
            <w:pPr>
              <w:jc w:val="center"/>
            </w:pPr>
            <w:r>
              <w:rPr>
                <w:sz w:val="20"/>
                <w:szCs w:val="20"/>
              </w:rPr>
              <w:t xml:space="preserve">2.88%</w:t>
            </w:r>
          </w:p>
        </w:tc>
      </w:tr>
      <w:tr>
        <w:tc>
          <w:tcPr>
            <w:tcW w:type="dxa" w:w="3300"/>
            <w:tcMar>
              <w:top w:type="dxa" w:w="60"/>
              <w:left w:type="dxa" w:w="100"/>
              <w:bottom w:type="dxa" w:w="60"/>
              <w:right w:type="dxa" w:w="100"/>
            </w:tcMar>
            <w:vAlign w:val="center"/>
          </w:tcPr>
          <w:p>
            <w:pPr>
              <w:jc w:val="left"/>
            </w:pPr>
            <w:r>
              <w:rPr>
                <w:sz w:val="20"/>
                <w:szCs w:val="20"/>
              </w:rPr>
              <w:t xml:space="preserve">TON_IoT Dirichlet(0.3)</w:t>
            </w:r>
          </w:p>
        </w:tc>
        <w:tc>
          <w:tcPr>
            <w:tcW w:type="dxa" w:w="2800"/>
            <w:tcMar>
              <w:top w:type="dxa" w:w="60"/>
              <w:left w:type="dxa" w:w="100"/>
              <w:bottom w:type="dxa" w:w="60"/>
              <w:right w:type="dxa" w:w="100"/>
            </w:tcMar>
            <w:vAlign w:val="center"/>
          </w:tcPr>
          <w:p>
            <w:pPr>
              <w:jc w:val="center"/>
            </w:pPr>
            <w:r>
              <w:rPr>
                <w:sz w:val="20"/>
                <w:szCs w:val="20"/>
              </w:rPr>
              <w:t xml:space="preserve">client 2 (65.5%)</w:t>
            </w:r>
          </w:p>
        </w:tc>
        <w:tc>
          <w:tcPr>
            <w:tcW w:type="dxa" w:w="1600"/>
            <w:tcMar>
              <w:top w:type="dxa" w:w="60"/>
              <w:left w:type="dxa" w:w="100"/>
              <w:bottom w:type="dxa" w:w="60"/>
              <w:right w:type="dxa" w:w="100"/>
            </w:tcMar>
            <w:vAlign w:val="center"/>
          </w:tcPr>
          <w:p>
            <w:pPr>
              <w:jc w:val="center"/>
            </w:pPr>
            <w:r>
              <w:rPr>
                <w:sz w:val="20"/>
                <w:szCs w:val="20"/>
              </w:rPr>
              <w:t xml:space="preserve">98.72</w:t>
            </w:r>
          </w:p>
        </w:tc>
        <w:tc>
          <w:tcPr>
            <w:tcW w:type="dxa" w:w="1100"/>
            <w:tcMar>
              <w:top w:type="dxa" w:w="60"/>
              <w:left w:type="dxa" w:w="100"/>
              <w:bottom w:type="dxa" w:w="60"/>
              <w:right w:type="dxa" w:w="100"/>
            </w:tcMar>
            <w:vAlign w:val="center"/>
          </w:tcPr>
          <w:p>
            <w:pPr>
              <w:jc w:val="center"/>
            </w:pPr>
            <w:r>
              <w:rPr>
                <w:sz w:val="20"/>
                <w:szCs w:val="20"/>
              </w:rPr>
              <w:t xml:space="preserve">3.11%</w:t>
            </w:r>
          </w:p>
        </w:tc>
      </w:tr>
    </w:tbl>
    <w:p>
      <w:pPr>
        <w:spacing w:after="240" w:before="80"/>
      </w:pPr>
      <w:r>
        <w:rPr>
          <w:i/>
          <w:iCs/>
          <w:sz w:val="20"/>
          <w:szCs w:val="20"/>
        </w:rPr>
        <w:t xml:space="preserve">Table 4. Deployed-model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best model we observed (F1 91.08, FAR 2.75%).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each with no fine-tuning, client fine-tuning + PTQ, and client fine-tuning + QAT, on both datasets. This replaces the 48-configuration sweep of the WIP version, which was produced by the erroneous pipeline. </w:t>
      </w:r>
      <w:r>
        <w:rPr>
          <w:b/>
          <w:bCs/>
          <w:color w:val="C00000"/>
        </w:rPr>
        <w:t xml:space="preserve">[PENDING: prune-ratio sweep results and figure from job 2026-10-04_g_prune_sweep]</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98.22%, F1 98.84). PTQ of a float federated model is unaffected on both datasets (Table 3), and so is QAT fine-tuning of a pruned float model, because its calibration happens on a small fine-tuning set after training. We therefore use post-training QAT fine-tuning, not training-time QAT, in the deployed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99.2%</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97.5%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86.1%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(deployed)</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56.2%</w:t>
            </w:r>
          </w:p>
        </w:tc>
        <w:tc>
          <w:tcPr>
            <w:tcW w:type="dxa" w:w="950"/>
            <w:tcMar>
              <w:top w:type="dxa" w:w="60"/>
              <w:left w:type="dxa" w:w="100"/>
              <w:bottom w:type="dxa" w:w="60"/>
              <w:right w:type="dxa" w:w="100"/>
            </w:tcMar>
            <w:vAlign w:val="center"/>
          </w:tcPr>
          <w:p>
            <w:pPr>
              <w:jc w:val="center"/>
            </w:pPr>
            <w:r>
              <w:rPr>
                <w:sz w:val="20"/>
                <w:szCs w:val="20"/>
              </w:rPr>
              <w:t xml:space="preserve">55.6%</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Two caveats apply. First, these are unconstrained L∞ perturbations in standardized feature space that ignore feature semantics (integer counts, encoded categories), so they overstate what a network attacker can realize. Second, the per-model differences come from a single seed.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For the deployed CIC-IDS2017 model (65.4 KB INT8), 99.66% Attack Recall means 0.34% of attack flows are missed (291 of 85,173 test attacks). The 6.82% FAR means about one in fifteen benign flows raises an alert. For the deployed TON_IoT model, 1.65% of attacks are missed (268 of 16,214) and 2.88% of benign records are flagged. The fixed 0.3 threshold deliberately favours recall. A deployment with a known alert budget should instead pick the threshold from a precision-recall curve on validation data, which we leave as future work (Section 8). Section 5.4 shows that the fine-tuning client's class mix shifts this trade-off as well.</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an FP32 model and an INT8 deployment model of the architecture used here. It checks on-device outputs against the host TFLite interpreter on fixed inputs and times 100 inferences per model. A host build against the same TensorFlow Lite Micro library reproduces the interpreter outputs exactly (FP32) and within one quantization step (INT8). Tensor-arena use is 2–4 KB, well within ESP32 SRAM. </w:t>
      </w:r>
      <w:r>
        <w:rPr>
          <w:b/>
          <w:bCs/>
          <w:color w:val="C00000"/>
        </w:rPr>
        <w:t xml:space="preserve">[PENDING: ESP32 latency, arena use and parity for the final deployment models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nearly insensitive to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Differences below about one F1 point (e.g. near-IID vs. Dirichlet on CIC-IDS2017) should not be over-interpreted until seed variance is measured.</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a principled selection or a federated fine-tuning round is future work.</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(multi-client) fine-tuning during compression, threshold selection from validation precision-recall curves against an alert budget,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is robust to a strongly non-IID partition. It can be compressed to a 65 KB INT8 TensorFlow Lite model (12.3×) without loss using only one participating client's data, provided that client's class mix is representative. Training-time QAT inside FL, by contrast, fails on heavy-tailed CIC-IDS2017 features while working on TON_IoT.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an FP32 model and an INT8 deployment model (models/*.tflite), converted to 16-byte-aligned C arrays at build time (esp32_tflite_project/gen_model_data.py). scripts/prepare_esp32_benchmark.py swaps in any model pair and regenerates the parity vectors.</w:t>
      </w:r>
    </w:p>
    <w:p>
      <w:pPr>
        <w:spacing w:after="120"/>
      </w:pPr>
      <w:r>
        <w:rPr>
          <w:b/>
          <w:bCs/>
        </w:rPr>
        <w:t xml:space="preserve">2. </w:t>
      </w:r>
      <w:r>
        <w:t xml:space="preserve">Build and flash (PlatformIO, TensorFlowLite_ESP32 1.0.0, huge_app partition table so the FP32 model fits): pio run -e &lt;esp32dev | esp32-s3-devkitc-1 | esp32-c3-devkitm-1&gt; -t upload.</w:t>
      </w:r>
    </w:p>
    <w:p>
      <w:pPr>
        <w:spacing w:after="120"/>
      </w:pPr>
      <w:r>
        <w:rPr>
          <w:b/>
          <w:bCs/>
        </w:rPr>
        <w:t xml:space="preserve">3. </w:t>
      </w:r>
      <w:r>
        <w:t xml:space="preserve">Parity check: for 8 fixed standardized input vectors, the firmware compares each model's on-device output with the host TFLite output (include/test_vectors.h) and reports the maximum absolute difference and decision agreement. A host build against the same TensorFlow Lite Micro library matched exactly (FP32) and within one quantization step (INT8, 1/256).</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2–4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swap in the final deployment models (Table 3) and run on hardware]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2026-10-04T16:08:17.267Z</dcterms:created>
  <dcterms:modified xsi:type="dcterms:W3CDTF">2026-10-04T16:08:17.268Z</dcterms:modified>
</cp:coreProperties>
</file>

<file path=docProps/custom.xml><?xml version="1.0" encoding="utf-8"?>
<Properties xmlns="http://schemas.openxmlformats.org/officeDocument/2006/custom-properties" xmlns:vt="http://schemas.openxmlformats.org/officeDocument/2006/docPropsVTypes"/>
</file>