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Reliable Federated TinyML Deployment for IoT Security</w:t>
      </w:r>
    </w:p>
    <w:p>
      <w:pPr>
        <w:spacing w:after="200"/>
        <w:jc w:val="center"/>
      </w:pPr>
      <w:r>
        <w:rPr>
          <w:i/>
          <w:iCs/>
          <w:sz w:val="22"/>
          <w:szCs w:val="22"/>
        </w:rPr>
        <w:t xml:space="preserve">Extended version — revised in response to LCTES '26 Work-in-Progress reviews; all results recomputed after pipeline corrections</w:t>
      </w:r>
    </w:p>
    <w:p>
      <w:pPr>
        <w:spacing w:after="40"/>
        <w:jc w:val="center"/>
      </w:pPr>
      <w:r>
        <w:rPr>
          <w:sz w:val="22"/>
          <w:szCs w:val="22"/>
        </w:rPr>
        <w:t xml:space="preserve">Younsoo Park, Seokhyeon Bae</w:t>
      </w:r>
    </w:p>
    <w:p>
      <w:pPr>
        <w:spacing w:after="300"/>
        <w:jc w:val="center"/>
      </w:pPr>
      <w:r>
        <w:rPr>
          <w:i/>
          <w:iCs/>
          <w:sz w:val="20"/>
          <w:szCs w:val="20"/>
        </w:rPr>
        <w:t xml:space="preserve">Pennsylvania State University</w:t>
      </w:r>
    </w:p>
    <w:p>
      <w:pPr>
        <w:pStyle w:val="Heading2"/>
        <w:spacing w:after="140" w:before="260"/>
      </w:pPr>
      <w:r>
        <w:t xml:space="preserve">Note to reviewers: how this revision addresses the WIP feedback</w:t>
      </w:r>
    </w:p>
    <w:p>
      <w:pPr>
        <w:spacing w:after="120"/>
      </w:pPr>
      <w:r>
        <w:t xml:space="preserve">We thank the reviewers for detailed, actionable feedback. While re-running every experiment the reviewers asked for, we found four implementation errors in our training and compression code (Section 6.2). Two of them affected the numbers in the WIP submission: the compressed model reported there did not inherit the federated model's weights, and the federated QAT runs exchanged incorrectly scaled weights. We fixed all four, re-ran every experiment from scratch, and every number in this version comes from the corrected pipeline. Claims that depended on the erroneous runs (the training-time-QAT/compression interaction, pruning as a regularizer, and the earlier robustness tables) have been removed or replaced.</w:t>
      </w:r>
    </w:p>
    <w:p>
      <w:pPr>
        <w:spacing w:after="100"/>
      </w:pPr>
      <w:r>
        <w:rPr>
          <w:b/>
          <w:bCs/>
        </w:rPr>
        <w:t xml:space="preserve">• No comparison to other baselines (81A); fix the baseline (81B-1): </w:t>
      </w:r>
      <w:r>
        <w:t xml:space="preserve">Section 5.1 adds a centralized baseline trained with the identical recipe, on both datasets. Comparison with published IDS systems on CIC-IDS2017 is discussed in Section 7 with the comparability caveats that apply.</w:t>
      </w:r>
    </w:p>
    <w:p>
      <w:pPr>
        <w:spacing w:after="100"/>
      </w:pPr>
      <w:r>
        <w:rPr>
          <w:b/>
          <w:bCs/>
        </w:rPr>
        <w:t xml:space="preserve">• Non-IID clients / client count (81B-2, 81D): </w:t>
      </w:r>
      <w:r>
        <w:t xml:space="preserve">Section 5.2 evaluates a Dirichlet(α = 0.3) label partition on both datasets. Client-count scaling remains open (Section 7).</w:t>
      </w:r>
    </w:p>
    <w:p>
      <w:pPr>
        <w:spacing w:after="100"/>
      </w:pPr>
      <w:r>
        <w:rPr>
          <w:b/>
          <w:bCs/>
        </w:rPr>
        <w:t xml:space="preserve">• On-device measurement (81B-3): </w:t>
      </w:r>
      <w:r>
        <w:t xml:space="preserve">The ESP32 firmware and collection tooling are complete and verified against the same TensorFlow Lite Micro library on a host build (Section 6.1, Appendix B).</w:t>
      </w:r>
    </w:p>
    <w:p>
      <w:pPr>
        <w:spacing w:after="100"/>
      </w:pPr>
      <w:r>
        <w:rPr>
          <w:b/>
          <w:bCs/>
        </w:rPr>
        <w:t xml:space="preserve">• Missing FGSM results (81B-4, 81D-3): </w:t>
      </w:r>
      <w:r>
        <w:t xml:space="preserve">Section 5.7 (Table 5) reports FGSM and PGD on the corrected federated, centralized, and compressed models for both datasets.</w:t>
      </w:r>
    </w:p>
    <w:p>
      <w:pPr>
        <w:spacing w:after="100"/>
      </w:pPr>
      <w:r>
        <w:rPr>
          <w:b/>
          <w:bCs/>
        </w:rPr>
        <w:t xml:space="preserve">• Lead with QAT finding (81B-5): </w:t>
      </w:r>
      <w:r>
        <w:t xml:space="preserve">With the corrected pipeline, the earlier QAT finding does not hold. Section 5.6 reports what we now observe: training-time QAT inside FL collapses on CIC-IDS2017 because of heavy-tailed features, while it works on TON_IoT.</w:t>
      </w:r>
    </w:p>
    <w:p>
      <w:pPr>
        <w:spacing w:after="100"/>
      </w:pPr>
      <w:r>
        <w:rPr>
          <w:b/>
          <w:bCs/>
        </w:rPr>
        <w:t xml:space="preserve">• Decompose the compression ratio (81B-6): </w:t>
      </w:r>
      <w:r>
        <w:t xml:space="preserve">Section 5.3 separates INT8 quantization (3.5×) from structured pruning (a further 3.5×), Section 5.5 sweeps the pruning ratio, Section 5.9 compares five post-training quantization methods, and Section 5.10 evaluates client-local knowledge distillation as an alternative to pruning, and Section 5.12 compares 16 combinations of pruning, PTQ, QAT and distillation.</w:t>
      </w:r>
    </w:p>
    <w:p>
      <w:pPr>
        <w:spacing w:after="100"/>
      </w:pPr>
      <w:r>
        <w:rPr>
          <w:b/>
          <w:bCs/>
        </w:rPr>
        <w:t xml:space="preserve">• Dataset generalization (81B-7, 81C): </w:t>
      </w:r>
      <w:r>
        <w:t xml:space="preserve">Every experiment is repeated on TON_IoT (network), with identifier and timestamp columns removed (Section 3.1).</w:t>
      </w:r>
    </w:p>
    <w:p>
      <w:pPr>
        <w:spacing w:after="100"/>
      </w:pPr>
      <w:r>
        <w:rPr>
          <w:b/>
          <w:bCs/>
        </w:rPr>
        <w:t xml:space="preserve">• Minor items: focal-loss motivation, duplicate table rows, BatchNorm derivation (81B): </w:t>
      </w:r>
      <w:r>
        <w:t xml:space="preserve">Section 3.2 gives the focal-loss setting. The duplicate-row table came from the superseded sweep and is removed. The BatchNorm folding derivation is in Appendix A, corrected for our post-activation BatchNorm placement.</w:t>
      </w:r>
    </w:p>
    <w:p>
      <w:pPr>
        <w:spacing w:after="100"/>
      </w:pPr>
      <w:r>
        <w:rPr>
          <w:b/>
          <w:bCs/>
        </w:rPr>
        <w:t xml:space="preserve">• Practical meaning of Attack Recall and false positives (81C): </w:t>
      </w:r>
      <w:r>
        <w:t xml:space="preserve">Section 5.8 reports missed-attack and false-alarm rates for every headline model.</w:t>
      </w:r>
    </w:p>
    <w:p>
      <w:pPr>
        <w:spacing w:after="100"/>
      </w:pPr>
      <w:r>
        <w:rPr>
          <w:b/>
          <w:bCs/>
        </w:rPr>
        <w:t xml:space="preserve">• Device heterogeneity (81C): </w:t>
      </w:r>
      <w:r>
        <w:t xml:space="preserve">Section 6.1 reports on-device latency, memory and output parity measured on ESP32 hardware (Table 17).</w:t>
      </w:r>
    </w:p>
    <w:p>
      <w:pPr>
        <w:spacing w:after="100"/>
      </w:pPr>
      <w:r>
        <w:rPr>
          <w:b/>
          <w:bCs/>
        </w:rPr>
        <w:t xml:space="preserve">• Related work depth and citation formatting (81C): </w:t>
      </w:r>
      <w:r>
        <w:t xml:space="preserve">Section 2 is reorganized by topic and now covers federated and lightweight intrusion detection, TinyML compilers and on-device training, federated compression, calibration and QAT-range methods, and deployment-fault studies (49 references), including the closest prior federated TinyML IDS [34].</w:t>
      </w:r>
    </w:p>
    <w:p>
      <w:pPr>
        <w:spacing w:after="100"/>
      </w:pPr>
      <w:r>
        <w:rPr>
          <w:b/>
          <w:bCs/>
        </w:rPr>
        <w:t xml:space="preserve">• Incremental novelty (meta-review): </w:t>
      </w:r>
      <w:r>
        <w:t xml:space="preserve">Section 6.3 states which results we consider non-obvious, including the negative QAT result and four silent failure modes in a common FL/TinyML toolchain.</w:t>
      </w:r>
    </w:p>
    <w:p>
      <w:r>
        <w:br w:type="page"/>
      </w:r>
    </w:p>
    <w:p>
      <w:pPr>
        <w:pStyle w:val="Heading1"/>
        <w:spacing w:after="160" w:before="320"/>
      </w:pPr>
      <w:r>
        <w:t xml:space="preserve">Abstract</w:t>
      </w:r>
    </w:p>
    <w:p>
      <w:pPr>
        <w:spacing w:after="200"/>
      </w:pPr>
      <w:r>
        <w:t xml:space="preserve">Federated Learning (FL) combined with TinyML is an attractive basis for privacy-preserving intrusion detection on microcontroller-class IoT devices, but the claim that a federated model can be compressed for such devices without losing detection quality is rarely tested end to end. We train a multilayer-perceptron intrusion detector with Flower (FedAvgM, cosine learning-rate decay, focal loss) on CIC-IDS2017 and TON_IoT, and compress it for TensorFlow Lite Micro using only data a federated deployment would actually hold. Three results stand out. First, federated training comes close to centralized training on the same recipe (F1 85.70 vs. 87.35 on CIC-IDS2017; 99.41 vs. 99.68 on TON_IoT), and a strongly non-IID Dirichlet(0.3) partition costs at most about one F1 point. Second, structured pruning followed by fine-tuning and QAT fine-tuning on a single participating client's local data yields a 65 KB INT8 model (12.3× smaller than FP32) with no loss relative to the federated model (F1 85.59, Attack Recall 99.66% on CIC-IDS2017; F1 98.67 on TON_IoT). How well this works depends on how closely that client's class mix matches the global one. When missed attacks must be minimized, distillation from the federated model and a threshold chosen on the client's own held-out data together with fine-tuning on all clients' local data, let the 65 KB model miss 27 of 85,173 attacks, about half as many as the FP32 model at its default threshold (52), at an 11.3% false-alarm rate; on TON_IoT the same recipe lets a 57 KB model miss 12 of 16,215 attacks at 6.6%. For on-device deployment we use a 112 KB CIC-IDS2017 variant (23 of 85,173 missed at 9.7%, mean over fine-tuning draws) and this 57 KB TON_IoT model. Third, training-time quantization-aware training inside FL collapses on CIC-IDS2017 (34.7% accuracy): heavy-tailed standardized features drive the learned INT8 input range to [−1231, 405]. The same method works on TON_IoT, and full-integer post-training quantization of the float model avoids that collapse but is unstable across calibration draws (F1 between 33 and 99 for the same TON_IoT model) until the calibration inputs are clipped, after which it is stable (F1 99.19 for every calibration set). A local-only baseline shows where federation pays off: clients with few local attacks detect 45–93% of attacks alone and 99.8–99.99% with the federated model. We also document four silent failure modes in a common TensorFlow, tfmot, and Flower toolchain that had invalidated the compressed-model results of our own earlier report, together with the checks that catch them.</w:t>
      </w:r>
    </w:p>
    <w:p>
      <w:pPr>
        <w:pStyle w:val="Heading1"/>
        <w:spacing w:after="160" w:before="320"/>
      </w:pPr>
      <w:r>
        <w:t xml:space="preserve">1. Introduction</w:t>
      </w:r>
    </w:p>
    <w:p>
      <w:pPr>
        <w:spacing w:after="160"/>
      </w:pPr>
      <w:r>
        <w:t xml:space="preserve">The rapid proliferation of Internet of Things (IoT) devices has transformed sensing, monitoring, and control systems across smart homes, healthcare, industrial automation, and critical infrastructure [1]. These systems increasingly rely on machine learning models trained on sensitive data, raising concerns about privacy, ownership, and regulatory compliance. Traditional centralized learning requires raw data to be transmitted to cloud servers, introducing privacy risk, communication overhead, and exposure to data breaches.</w:t>
      </w:r>
    </w:p>
    <w:p>
      <w:pPr>
        <w:spacing w:after="160"/>
      </w:pPr>
      <w:r>
        <w:t xml:space="preserve">Federated Learning (FL) addresses this by letting clients train locally and share only model updates with a server [7, 8]. Deploying the result on real IoT hardware is still difficult. Devices are constrained in memory, compute, energy, and bandwidth, while standard FL pipelines assume comparatively large full-precision models. TinyML closes part of this gap by compressing models for microcontrollers [2, 19]. Combining the two raises a question that is easy to state and, as we found, easy to get wrong in practice: can a model trained without pooling data be compressed to microcontroller size without either losing what federated training learned or quietly relying on pooled data during compression?</w:t>
      </w:r>
    </w:p>
    <w:p>
      <w:pPr>
        <w:spacing w:after="160"/>
      </w:pPr>
      <w:r>
        <w:t xml:space="preserve">Intrusion detection is a demanding test case. A missed attack is far more costly than a false alarm, so Attack Recall matters more than aggregate accuracy, and benchmark datasets are imbalanced and heavy-tailed. This revision answers the reviewers' requests for a centralized baseline, non-IID clients, a second dataset, and robustness results. While doing so, it also corrects our own earlier pipeline, whose compressed models turned out not to inherit the federated weights (Section 6.2).</w:t>
      </w:r>
    </w:p>
    <w:p>
      <w:pPr>
        <w:spacing w:after="160"/>
      </w:pPr>
      <w:r>
        <w:t xml:space="preserve">Contributions. (1) An end-to-end evaluation of a federated TinyML intrusion detector on two datasets against a centralized baseline trained with the identical recipe, under both near-IID and Dirichlet(0.3) client partitions (Sections 5.1–5.2). (2) An FL-faithful compression procedure: exact BatchNorm folding, structured pruning, then fine-tuning and QAT fine-tuning on one client's local data. It produces a 65 KB INT8 model (12.3×) with no loss relative to the federated model, and we quantify how the outcome depends on which client performs the fine-tuning (Sections 5.3–5.5). We compare it with five post-training quantization methods and with client-local knowledge distillation, we test against clients training alone to show where federation helps, we compare 16 complete pipelines that combine structured and unstructured pruning, PTQ, QAT and distillation, and we show how to deploy the 65 KB model with fewer missed attacks than the FP32 model using only client-local data (Sections 5.9–5.13). (3) A negative result: training-time QAT inside FL fails on CIC-IDS2017 because its moving-average quantizers absorb the heavy-tailed feature outliers. It works on TON_IoT, and post-training quantization of a float model avoids the collapse (Section 5.6), although full-integer INT8 PTQ varies widely across calibration draws, more calibration data makes it worse, and clipping the calibration inputs removes the instability (Section 5.9). (4) Four silent failure modes in a widely used TensorFlow / TensorFlow Model Optimization / Flower toolchain, each of which yields plausible-looking but wrong compressed-model results, with the checks we now run to catch them (Section 6.2). (5) FGSM/PGD robustness of the corrected models (Section 5.7) and on-device measurement on an ESP32: the deployed INT8 models take 26 ms (CIC-IDS2017, 112 KB) and 13 ms (TON_IoT, 57 KB) per flow, 4.4–7.9× faster than FP32, with every on-device decision matching the host (Section 6.1, Table 17).</w:t>
      </w:r>
    </w:p>
    <w:p>
      <w:pPr>
        <w:pStyle w:val="Heading1"/>
        <w:spacing w:after="160" w:before="320"/>
      </w:pPr>
      <w:r>
        <w:t xml:space="preserve">2. Related Work</w:t>
      </w:r>
    </w:p>
    <w:p>
      <w:pPr>
        <w:pStyle w:val="Heading2"/>
        <w:spacing w:after="140" w:before="260"/>
      </w:pPr>
      <w:r>
        <w:t xml:space="preserve">2.1 IoT Security and Intrusion Detection</w:t>
      </w:r>
    </w:p>
    <w:p>
      <w:pPr>
        <w:spacing w:after="160"/>
      </w:pPr>
      <w:r>
        <w:t xml:space="preserve">IoT deployments expose billions of resource-constrained devices to denial-of-service attacks, botnet recruitment, and other network intrusions [1]. Machine-learning-based IDS detect such traffic well [13], but most are designed for centralized training with resources beyond typical IoT hardware. CIC-IDS2017 [13] remains the most widely used benchmark. Its known labelling and flow-construction issues [24] mean that absolute numbers are hard to compare across papers. TON_IoT [15] and Bot-IoT [14] target IoT-specific traffic. We use CIC-IDS2017 and the TON_IoT network dataset.</w:t>
      </w:r>
    </w:p>
    <w:p>
      <w:pPr>
        <w:spacing w:after="160"/>
      </w:pPr>
      <w:r>
        <w:t xml:space="preserve">Federated and lightweight intrusion detection. DÏoT trains per-device-type anomaly detectors across security gateways with federated learning [35]; Belarbi et al. study federated IDS on TON_IoT with one client per IP address [37]; and FLAME defends federated learning against backdoors, including on IoT IDS data [36]. Closest to our work, Li et al. combine federated learning and TinyML for intrusion detection on N-BaIoT in an IoT/edge/cloud architecture, using an outlier-resistant scaler, feature reduction and quantization [34]. We add an identically configured centralized and a local-only baseline on two datasets, a step-by-step analysis of compression without pooled data, missed-attack accounting, an analysis of quantization calibration, and the toolchain failures of Section 6.2. Outside federated learning, lightweight detectors run on gateways (Kitsune [38]) or programmable switches (HorusEye [39], NetBeacon [40]); we target the endpoint microcontroller.</w:t>
      </w:r>
    </w:p>
    <w:p>
      <w:pPr>
        <w:pStyle w:val="Heading2"/>
        <w:spacing w:after="140" w:before="260"/>
      </w:pPr>
      <w:r>
        <w:t xml:space="preserve">2.2 Federated Learning</w:t>
      </w:r>
    </w:p>
    <w:p>
      <w:pPr>
        <w:spacing w:after="160"/>
      </w:pPr>
      <w:r>
        <w:t xml:space="preserve">FedAvg [8] trains a shared model by iteratively aggregating client updates, and Konečný et al. study how to reduce its communication cost [7]. Client data is rarely IID. FedAvgM, which we use, adds server momentum to stabilize training under non-identical label distributions [10]. Zhao et al. characterize the degradation as client data becomes skewed [20], and FedProx adds a proximal term for the same reason [11]. Following this line of work, we evaluate a Dirichlet(α = 0.3) label partition alongside a near-IID one.</w:t>
      </w:r>
    </w:p>
    <w:p>
      <w:pPr>
        <w:pStyle w:val="Heading2"/>
        <w:spacing w:after="140" w:before="260"/>
      </w:pPr>
      <w:r>
        <w:t xml:space="preserve">2.3 TinyML and Model Compression</w:t>
      </w:r>
    </w:p>
    <w:p>
      <w:pPr>
        <w:spacing w:after="160"/>
      </w:pPr>
      <w:r>
        <w:t xml:space="preserve">TinyML enables inference directly on microcontrollers [2], and TensorFlow Lite Micro is the runtime we target [19]. Structured pruning removes redundant parameters [4], knowledge distillation transfers knowledge to a smaller student [5], and quantization reduces numerical precision [6]. Quantization-aware training (QAT) and post-training quantization (PTQ) are the two dominant routes to integer models. Gholami et al. survey them [18], Nagel et al. give practical guidance on when 8-bit PTQ suffices [17], and they also document oscillation-driven instability in QAT [16]. Section 5.6 reports a different, data-driven failure of QAT that arises when quantizer ranges are learned on heavy-tailed inputs.</w:t>
      </w:r>
    </w:p>
    <w:p>
      <w:pPr>
        <w:spacing w:after="160"/>
      </w:pPr>
      <w:r>
        <w:t xml:space="preserve">Calibration need not use the extremes of each activation: percentile and entropy (KL) calibration [25] and the MSE-optimal clip of ACIQ [26] clip the ranges, and Wu et al. recommend calibrating first and then fine-tuning with QAT [25]. PACT [27] and LSQ [28] learn the clip or the step size during QAT, and DFQ quantizes without data by equalizing weight ranges across layers (cross-layer equalization, CLE) [29]. Distillation has been combined with quantization before [30], and TensorFlow Model Optimization provides sparsity-preserving QAT because standard QAT re-densifies pruned weights [33]. In federated learning, quantization has mainly been used to compress model updates [31]; Gupta et al. train federated models that stay accurate under later quantization [32]. Our input clipping (Section 5.9) is an instance of clipped calibration; Section 5.15 compares it with these estimators and with QAT-range, data-free and learned-clipping variants on our models.</w:t>
      </w:r>
    </w:p>
    <w:p>
      <w:pPr>
        <w:spacing w:after="160"/>
      </w:pPr>
      <w:r>
        <w:t xml:space="preserve">MCUNet co-designs models and the inference engine for microcontrollers [41], Lin et al. train on 256 KB of memory [42], and SeeDot [46] and MinUn [45] compile fixed-point and mixed-precision models for microcontrollers. In federated learning, HeteroFL trains width-reduced submodels and aggregates BatchNorm statistics after training [43], and FedTiny prunes without pooled data during training [44]; we compress an already-trained federated model and use its BatchNorm statistics for INT8 calibration (Section 5.15).</w:t>
      </w:r>
    </w:p>
    <w:p>
      <w:pPr>
        <w:pStyle w:val="Heading2"/>
        <w:spacing w:after="140" w:before="260"/>
      </w:pPr>
      <w:r>
        <w:t xml:space="preserve">2.4 Adversarial Robustness of Compressed Models</w:t>
      </w:r>
    </w:p>
    <w:p>
      <w:pPr>
        <w:spacing w:after="160"/>
      </w:pPr>
      <w:r>
        <w:t xml:space="preserve">FGSM [3] and PGD [9] are the standard gradient-based attacks used to evaluate adversarial robustness. Lin et al. show that quantization can amplify adversarial noise [47]. Gorsline et al. study how quantization level affects robustness [21], Song et al. recover robustness lost to weight quantization [22], and Ayaz et al. study deeply quantized TinyML-scale networks [23]. We evaluate whether the federated model's robustness carries over to its compressed INT8 derivatives in a federated IDS setting.</w:t>
      </w:r>
    </w:p>
    <w:p>
      <w:pPr>
        <w:pStyle w:val="Heading2"/>
        <w:spacing w:after="140" w:before="260"/>
      </w:pPr>
      <w:r>
        <w:t xml:space="preserve">2.5 Positioning</w:t>
      </w:r>
    </w:p>
    <w:p>
      <w:pPr>
        <w:spacing w:after="160"/>
      </w:pPr>
      <w:r>
        <w:t xml:space="preserve">Few studies evaluate federated training, microcontroller-scale compression, and intrusion detection together under the constraint that compression must not use pooled data. This paper is an empirical characterization of that combination rather than a new algorithm. It reports what works (federated training close to centralized, compression without loss using one client's data), what does not (training-time QAT on heavy-tailed IDS features), and which toolchain pitfalls make the latter easy to miss.</w:t>
      </w:r>
    </w:p>
    <w:p>
      <w:pPr>
        <w:pStyle w:val="Heading1"/>
        <w:spacing w:after="160" w:before="320"/>
      </w:pPr>
      <w:r>
        <w:t xml:space="preserve">3. Approach</w:t>
      </w:r>
    </w:p>
    <w:p>
      <w:pPr>
        <w:pStyle w:val="Heading2"/>
        <w:spacing w:after="140" w:before="260"/>
      </w:pPr>
      <w:r>
        <w:t xml:space="preserve">3.1 Datasets and Preprocessing</w:t>
      </w:r>
    </w:p>
    <w:p>
      <w:pPr>
        <w:spacing w:after="160"/>
      </w:pPr>
      <w:r>
        <w:t xml:space="preserve">CIC-IDS2017 [13]: the eight MachineLearningCSV files (2,830,743 flows, 78 numeric features). Labels are binarized (BENIGN → 0, all attacks → 1), ±∞ are replaced, and non-numeric values are coerced and zero-filled. We remove duplicate rows before any split (331,200 removed; 2,499,543 unique flows, of which 425,863 are attacks). The pool is shuffled with a fixed seed and split 80/20 with stratification (test set: 499,909 flows at the natural class ratio). On the training split only, the majority class is undersampled to at most 4:1 (balance_ratio = 4.0), a StandardScaler is fitted, and SMOTE balances the classes.</w:t>
      </w:r>
    </w:p>
    <w:p>
      <w:pPr>
        <w:spacing w:after="160"/>
      </w:pPr>
      <w:r>
        <w:t xml:space="preserve">TON_IoT [15]: the network train/test file (211,043 records). To avoid shortcut features, we drop host identifiers and ephemeral ports (src_ip, dst_ip, src_port; the file has no timestamp column) and keep dst_port, which corresponds to CIC-IDS2017's Destination Port feature. Text columns with at most 50 distinct values (protocol, service, connection state, DNS/SSL/HTTP flags) are label-encoded. High-cardinality free text (DNS query, URI) is not used directly; instead we add six row-local features from it (length, digit count, and non-alphanumeric count of each field, 0 when absent), which cannot leak information across records, giving 43 features. Duplicates are removed (105,176 unique records: 24,106 normal, 81,070 attack) and the same split, scaling, and SMOTE steps are applied (test set: 21,036 records). These features and the TON_IoT focal-loss setting (Section 3.2) were selected on validation data (Section 5.14). Deduplication is keyed on the other 37 features, so the record set and the split do not depend on the text-derived features.</w:t>
      </w:r>
    </w:p>
    <w:p>
      <w:pPr>
        <w:pStyle w:val="Heading2"/>
        <w:spacing w:after="140" w:before="260"/>
      </w:pPr>
      <w:r>
        <w:t xml:space="preserve">3.2 Federated Learning Setup</w:t>
      </w:r>
    </w:p>
    <w:p>
      <w:pPr>
        <w:spacing w:after="160"/>
      </w:pPr>
      <w:r>
        <w:t xml:space="preserve">The model is an MLP (512→256→128, ReLU, each hidden layer followed by BatchNormalization and Dropout, sigmoid output). We train it with Flower using four clients, FedAvgM (server momentum 0.5, server learning rate 0.1) [10], 60 rounds × 3 local epochs, batch size 128, and Adam. The server broadcasts a cosine learning-rate schedule (10⁻³ → 10⁻⁴) so that all clients decay in lock-step. Class imbalance is further addressed with focal loss [12] (α = 0.35 for CIC-IDS2017, carried over from preliminary experiments in which larger α values were unstable; α = 0.5 for TON_IoT, where attacks are the majority class, selected on validation data in Section 5.14) and class weights. Client data is partitioned either near-IID (each class split evenly across clients) or with a Dirichlet(α = 0.3) label partition (Section 5.2). The centralized baseline trains the identical model and loss for the same total epoch budget (180 epochs) with the same per-round cosine schedule. Training-time QAT is off in the main pipeline; Section 5.6 explains why.</w:t>
      </w:r>
    </w:p>
    <w:p>
      <w:pPr>
        <w:pStyle w:val="Heading2"/>
        <w:spacing w:after="140" w:before="260"/>
      </w:pPr>
      <w:r>
        <w:t xml:space="preserve">3.3 FL-Faithful Compression</w:t>
      </w:r>
    </w:p>
    <w:p>
      <w:pPr>
        <w:spacing w:after="160"/>
      </w:pPr>
      <w:r>
        <w:t xml:space="preserve">After federated training, the server holds only the global float model. Compression proceeds in four steps. (1) BatchNorm is folded exactly. Because BatchNorm follows the ReLU in our architecture, each BatchNorm is an affine map h ↦ s·h + t that we fold into the next Dense layer rather than the preceding one (Appendix A; maximum output deviation ≤ 2·10⁻⁵ on our models). (2) Neuron-level structured pruning removes 50% of each hidden layer by weight magnitude. (3) One participating client fine-tunes the pruned model for 3 epochs on 10,000 samples of its own local data. (4) The same client performs 2 epochs of QAT fine-tuning, and the model is exported to INT8 TensorFlow Lite. For comparison we also report INT8 PTQ without pruning, pruning without fine-tuning, and fine-tuning on 10,000 pooled training samples. The pooled variant requires server-side data a real deployment would not have, so we report it only as an upper bound.</w:t>
      </w:r>
    </w:p>
    <w:p>
      <w:pPr>
        <w:pStyle w:val="Heading2"/>
        <w:spacing w:after="140" w:before="260"/>
      </w:pPr>
      <w:r>
        <w:t xml:space="preserve">3.4 Evaluation</w:t>
      </w:r>
    </w:p>
    <w:p>
      <w:pPr>
        <w:spacing w:after="160"/>
      </w:pPr>
      <w:r>
        <w:t xml:space="preserve">All metrics are computed on the held-out test split at a fixed decision threshold of 0.3 (prob ≥ 0.3 → attack), chosen before these experiments. We report accuracy, precision, Attack Recall, F1, and the false-alarm rate (FAR, the fraction of benign flows flagged). Robustness is measured with FGSM and PGD (ε = 0.1; PGD with 10 steps). Adversarial examples are generated white-box on the float federated model and transferred to the centralized model and to every compressed TFLite variant, so all models face the same perturbed inputs.</w:t>
      </w:r>
    </w:p>
    <w:p>
      <w:pPr>
        <w:pStyle w:val="Heading1"/>
        <w:spacing w:after="160" w:before="320"/>
      </w:pPr>
      <w:r>
        <w:t xml:space="preserve">4. Experimental Setup</w:t>
      </w:r>
    </w:p>
    <w:p>
      <w:pPr>
        <w:spacing w:after="160"/>
      </w:pPr>
      <w:r>
        <w:t xml:space="preserve">All experiments ran on a single desktop CPU (16 cores, WSL2; federated simulation runs clients on CPU by design). A full CIC-IDS2017 run (centralized baseline, federated training, compression) takes about 5.4 hours, the Dirichlet run about 2.7 hours, and TON_IoT runs about 25 minutes. Each configuration was run once with a fixed seed. Seed variance is not yet reported (Section 7). The code, configurations (config/paper_v12_float, config/paper_v12_toniot), per-run logs, and result files are in the project repository.</w:t>
      </w:r>
    </w:p>
    <w:p>
      <w:pPr>
        <w:pStyle w:val="Heading1"/>
        <w:spacing w:after="160" w:before="320"/>
      </w:pPr>
      <w:r>
        <w:t xml:space="preserve">5. Results</w:t>
      </w:r>
    </w:p>
    <w:p>
      <w:pPr>
        <w:pStyle w:val="Heading2"/>
        <w:spacing w:after="140" w:before="260"/>
      </w:pPr>
      <w:r>
        <w:t xml:space="preserve">5.1 Federated vs. Centralized Training</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600"/>
        <w:gridCol w:w="950"/>
        <w:gridCol w:w="950"/>
        <w:gridCol w:w="1000"/>
        <w:gridCol w:w="900"/>
        <w:gridCol w:w="850"/>
        <w:gridCol w:w="1900"/>
      </w:tblGrid>
      <w:tr>
        <w:trPr>
          <w:tblHeader/>
        </w:trPr>
        <w:tc>
          <w:tcPr>
            <w:tcW w:type="dxa" w:w="2600"/>
            <w:shd w:fill="D9E2F3" w:val="clear"/>
            <w:tcMar>
              <w:top w:type="dxa" w:w="60"/>
              <w:left w:type="dxa" w:w="100"/>
              <w:bottom w:type="dxa" w:w="60"/>
              <w:right w:type="dxa" w:w="100"/>
            </w:tcMar>
            <w:vAlign w:val="center"/>
          </w:tcPr>
          <w:p>
            <w:pPr>
              <w:jc w:val="center"/>
            </w:pPr>
            <w:r>
              <w:rPr>
                <w:b/>
                <w:bCs/>
                <w:sz w:val="20"/>
                <w:szCs w:val="20"/>
              </w:rPr>
              <w:t xml:space="preserve">Model (test split, threshold 0.3)</w:t>
            </w:r>
          </w:p>
        </w:tc>
        <w:tc>
          <w:tcPr>
            <w:tcW w:type="dxa" w:w="950"/>
            <w:shd w:fill="D9E2F3" w:val="clear"/>
            <w:tcMar>
              <w:top w:type="dxa" w:w="60"/>
              <w:left w:type="dxa" w:w="100"/>
              <w:bottom w:type="dxa" w:w="60"/>
              <w:right w:type="dxa" w:w="100"/>
            </w:tcMar>
            <w:vAlign w:val="center"/>
          </w:tcPr>
          <w:p>
            <w:pPr>
              <w:jc w:val="center"/>
            </w:pPr>
            <w:r>
              <w:rPr>
                <w:b/>
                <w:bCs/>
                <w:sz w:val="20"/>
                <w:szCs w:val="20"/>
              </w:rPr>
              <w:t xml:space="preserve">Accuracy</w:t>
            </w:r>
          </w:p>
        </w:tc>
        <w:tc>
          <w:tcPr>
            <w:tcW w:type="dxa" w:w="950"/>
            <w:shd w:fill="D9E2F3" w:val="clear"/>
            <w:tcMar>
              <w:top w:type="dxa" w:w="60"/>
              <w:left w:type="dxa" w:w="100"/>
              <w:bottom w:type="dxa" w:w="60"/>
              <w:right w:type="dxa" w:w="100"/>
            </w:tcMar>
            <w:vAlign w:val="center"/>
          </w:tcPr>
          <w:p>
            <w:pPr>
              <w:jc w:val="center"/>
            </w:pPr>
            <w:r>
              <w:rPr>
                <w:b/>
                <w:bCs/>
                <w:sz w:val="20"/>
                <w:szCs w:val="20"/>
              </w:rPr>
              <w:t xml:space="preserve">Precision</w:t>
            </w:r>
          </w:p>
        </w:tc>
        <w:tc>
          <w:tcPr>
            <w:tcW w:type="dxa" w:w="1000"/>
            <w:shd w:fill="D9E2F3" w:val="clear"/>
            <w:tcMar>
              <w:top w:type="dxa" w:w="60"/>
              <w:left w:type="dxa" w:w="100"/>
              <w:bottom w:type="dxa" w:w="60"/>
              <w:right w:type="dxa" w:w="100"/>
            </w:tcMar>
            <w:vAlign w:val="center"/>
          </w:tcPr>
          <w:p>
            <w:pPr>
              <w:jc w:val="center"/>
            </w:pPr>
            <w:r>
              <w:rPr>
                <w:b/>
                <w:bCs/>
                <w:sz w:val="20"/>
                <w:szCs w:val="20"/>
              </w:rPr>
              <w:t xml:space="preserve">Attack Recall</w:t>
            </w:r>
          </w:p>
        </w:tc>
        <w:tc>
          <w:tcPr>
            <w:tcW w:type="dxa" w:w="900"/>
            <w:shd w:fill="D9E2F3" w:val="clear"/>
            <w:tcMar>
              <w:top w:type="dxa" w:w="60"/>
              <w:left w:type="dxa" w:w="100"/>
              <w:bottom w:type="dxa" w:w="60"/>
              <w:right w:type="dxa" w:w="100"/>
            </w:tcMar>
            <w:vAlign w:val="center"/>
          </w:tcPr>
          <w:p>
            <w:pPr>
              <w:jc w:val="center"/>
            </w:pPr>
            <w:r>
              <w:rPr>
                <w:b/>
                <w:bCs/>
                <w:sz w:val="20"/>
                <w:szCs w:val="20"/>
              </w:rPr>
              <w:t xml:space="preserve">F1</w:t>
            </w:r>
          </w:p>
        </w:tc>
        <w:tc>
          <w:tcPr>
            <w:tcW w:type="dxa" w:w="850"/>
            <w:shd w:fill="D9E2F3" w:val="clear"/>
            <w:tcMar>
              <w:top w:type="dxa" w:w="60"/>
              <w:left w:type="dxa" w:w="100"/>
              <w:bottom w:type="dxa" w:w="60"/>
              <w:right w:type="dxa" w:w="100"/>
            </w:tcMar>
            <w:vAlign w:val="center"/>
          </w:tcPr>
          <w:p>
            <w:pPr>
              <w:jc w:val="center"/>
            </w:pPr>
            <w:r>
              <w:rPr>
                <w:b/>
                <w:bCs/>
                <w:sz w:val="20"/>
                <w:szCs w:val="20"/>
              </w:rPr>
              <w:t xml:space="preserve">FAR</w:t>
            </w:r>
          </w:p>
        </w:tc>
        <w:tc>
          <w:tcPr>
            <w:tcW w:type="dxa" w:w="1900"/>
            <w:shd w:fill="D9E2F3" w:val="clear"/>
            <w:tcMar>
              <w:top w:type="dxa" w:w="60"/>
              <w:left w:type="dxa" w:w="100"/>
              <w:bottom w:type="dxa" w:w="60"/>
              <w:right w:type="dxa" w:w="100"/>
            </w:tcMar>
            <w:vAlign w:val="center"/>
          </w:tcPr>
          <w:p>
            <w:pPr>
              <w:jc w:val="center"/>
            </w:pPr>
            <w:r>
              <w:rPr>
                <w:b/>
                <w:bCs/>
                <w:sz w:val="20"/>
                <w:szCs w:val="20"/>
              </w:rPr>
              <w:t xml:space="preserve">Missed attacks / all</w:t>
            </w:r>
          </w:p>
        </w:tc>
      </w:tr>
      <w:tr>
        <w:tc>
          <w:tcPr>
            <w:tcW w:type="dxa" w:w="2600"/>
            <w:tcMar>
              <w:top w:type="dxa" w:w="60"/>
              <w:left w:type="dxa" w:w="100"/>
              <w:bottom w:type="dxa" w:w="60"/>
              <w:right w:type="dxa" w:w="100"/>
            </w:tcMar>
            <w:vAlign w:val="center"/>
          </w:tcPr>
          <w:p>
            <w:pPr>
              <w:jc w:val="left"/>
            </w:pPr>
            <w:r>
              <w:rPr>
                <w:sz w:val="20"/>
                <w:szCs w:val="20"/>
              </w:rPr>
              <w:t xml:space="preserve">CIC-IDS2017 — centralized</w:t>
            </w:r>
          </w:p>
        </w:tc>
        <w:tc>
          <w:tcPr>
            <w:tcW w:type="dxa" w:w="950"/>
            <w:tcMar>
              <w:top w:type="dxa" w:w="60"/>
              <w:left w:type="dxa" w:w="100"/>
              <w:bottom w:type="dxa" w:w="60"/>
              <w:right w:type="dxa" w:w="100"/>
            </w:tcMar>
            <w:vAlign w:val="center"/>
          </w:tcPr>
          <w:p>
            <w:pPr>
              <w:jc w:val="center"/>
            </w:pPr>
            <w:r>
              <w:rPr>
                <w:sz w:val="20"/>
                <w:szCs w:val="20"/>
              </w:rPr>
              <w:t xml:space="preserve">95.07%</w:t>
            </w:r>
          </w:p>
        </w:tc>
        <w:tc>
          <w:tcPr>
            <w:tcW w:type="dxa" w:w="950"/>
            <w:tcMar>
              <w:top w:type="dxa" w:w="60"/>
              <w:left w:type="dxa" w:w="100"/>
              <w:bottom w:type="dxa" w:w="60"/>
              <w:right w:type="dxa" w:w="100"/>
            </w:tcMar>
            <w:vAlign w:val="center"/>
          </w:tcPr>
          <w:p>
            <w:pPr>
              <w:jc w:val="center"/>
            </w:pPr>
            <w:r>
              <w:rPr>
                <w:sz w:val="20"/>
                <w:szCs w:val="20"/>
              </w:rPr>
              <w:t xml:space="preserve">77.60%</w:t>
            </w:r>
          </w:p>
        </w:tc>
        <w:tc>
          <w:tcPr>
            <w:tcW w:type="dxa" w:w="1000"/>
            <w:tcMar>
              <w:top w:type="dxa" w:w="60"/>
              <w:left w:type="dxa" w:w="100"/>
              <w:bottom w:type="dxa" w:w="60"/>
              <w:right w:type="dxa" w:w="100"/>
            </w:tcMar>
            <w:vAlign w:val="center"/>
          </w:tcPr>
          <w:p>
            <w:pPr>
              <w:jc w:val="center"/>
            </w:pPr>
            <w:r>
              <w:rPr>
                <w:sz w:val="20"/>
                <w:szCs w:val="20"/>
              </w:rPr>
              <w:t xml:space="preserve">99.90%</w:t>
            </w:r>
          </w:p>
        </w:tc>
        <w:tc>
          <w:tcPr>
            <w:tcW w:type="dxa" w:w="900"/>
            <w:tcMar>
              <w:top w:type="dxa" w:w="60"/>
              <w:left w:type="dxa" w:w="100"/>
              <w:bottom w:type="dxa" w:w="60"/>
              <w:right w:type="dxa" w:w="100"/>
            </w:tcMar>
            <w:vAlign w:val="center"/>
          </w:tcPr>
          <w:p>
            <w:pPr>
              <w:jc w:val="center"/>
            </w:pPr>
            <w:r>
              <w:rPr>
                <w:sz w:val="20"/>
                <w:szCs w:val="20"/>
              </w:rPr>
              <w:t xml:space="preserve">87.35%</w:t>
            </w:r>
          </w:p>
        </w:tc>
        <w:tc>
          <w:tcPr>
            <w:tcW w:type="dxa" w:w="850"/>
            <w:tcMar>
              <w:top w:type="dxa" w:w="60"/>
              <w:left w:type="dxa" w:w="100"/>
              <w:bottom w:type="dxa" w:w="60"/>
              <w:right w:type="dxa" w:w="100"/>
            </w:tcMar>
            <w:vAlign w:val="center"/>
          </w:tcPr>
          <w:p>
            <w:pPr>
              <w:jc w:val="center"/>
            </w:pPr>
            <w:r>
              <w:rPr>
                <w:sz w:val="20"/>
                <w:szCs w:val="20"/>
              </w:rPr>
              <w:t xml:space="preserve">5.92%</w:t>
            </w:r>
          </w:p>
        </w:tc>
        <w:tc>
          <w:tcPr>
            <w:tcW w:type="dxa" w:w="1900"/>
            <w:tcMar>
              <w:top w:type="dxa" w:w="60"/>
              <w:left w:type="dxa" w:w="100"/>
              <w:bottom w:type="dxa" w:w="60"/>
              <w:right w:type="dxa" w:w="100"/>
            </w:tcMar>
            <w:vAlign w:val="center"/>
          </w:tcPr>
          <w:p>
            <w:pPr>
              <w:jc w:val="center"/>
            </w:pPr>
            <w:r>
              <w:rPr>
                <w:sz w:val="20"/>
                <w:szCs w:val="20"/>
              </w:rPr>
              <w:t xml:space="preserve">88 / 85,173 (0.10%)</w:t>
            </w:r>
          </w:p>
        </w:tc>
      </w:tr>
      <w:tr>
        <w:tc>
          <w:tcPr>
            <w:tcW w:type="dxa" w:w="2600"/>
            <w:tcMar>
              <w:top w:type="dxa" w:w="60"/>
              <w:left w:type="dxa" w:w="100"/>
              <w:bottom w:type="dxa" w:w="60"/>
              <w:right w:type="dxa" w:w="100"/>
            </w:tcMar>
            <w:vAlign w:val="center"/>
          </w:tcPr>
          <w:p>
            <w:pPr>
              <w:jc w:val="left"/>
            </w:pPr>
            <w:r>
              <w:rPr>
                <w:sz w:val="20"/>
                <w:szCs w:val="20"/>
              </w:rPr>
              <w:t xml:space="preserve">CIC-IDS2017 — federated (near-IID)</w:t>
            </w:r>
          </w:p>
        </w:tc>
        <w:tc>
          <w:tcPr>
            <w:tcW w:type="dxa" w:w="950"/>
            <w:tcMar>
              <w:top w:type="dxa" w:w="60"/>
              <w:left w:type="dxa" w:w="100"/>
              <w:bottom w:type="dxa" w:w="60"/>
              <w:right w:type="dxa" w:w="100"/>
            </w:tcMar>
            <w:vAlign w:val="center"/>
          </w:tcPr>
          <w:p>
            <w:pPr>
              <w:jc w:val="center"/>
            </w:pPr>
            <w:r>
              <w:rPr>
                <w:sz w:val="20"/>
                <w:szCs w:val="20"/>
              </w:rPr>
              <w:t xml:space="preserve">94.32%</w:t>
            </w:r>
          </w:p>
        </w:tc>
        <w:tc>
          <w:tcPr>
            <w:tcW w:type="dxa" w:w="950"/>
            <w:tcMar>
              <w:top w:type="dxa" w:w="60"/>
              <w:left w:type="dxa" w:w="100"/>
              <w:bottom w:type="dxa" w:w="60"/>
              <w:right w:type="dxa" w:w="100"/>
            </w:tcMar>
            <w:vAlign w:val="center"/>
          </w:tcPr>
          <w:p>
            <w:pPr>
              <w:jc w:val="center"/>
            </w:pPr>
            <w:r>
              <w:rPr>
                <w:sz w:val="20"/>
                <w:szCs w:val="20"/>
              </w:rPr>
              <w:t xml:space="preserve">75.01%</w:t>
            </w:r>
          </w:p>
        </w:tc>
        <w:tc>
          <w:tcPr>
            <w:tcW w:type="dxa" w:w="1000"/>
            <w:tcMar>
              <w:top w:type="dxa" w:w="60"/>
              <w:left w:type="dxa" w:w="100"/>
              <w:bottom w:type="dxa" w:w="60"/>
              <w:right w:type="dxa" w:w="100"/>
            </w:tcMar>
            <w:vAlign w:val="center"/>
          </w:tcPr>
          <w:p>
            <w:pPr>
              <w:jc w:val="center"/>
            </w:pPr>
            <w:r>
              <w:rPr>
                <w:sz w:val="20"/>
                <w:szCs w:val="20"/>
              </w:rPr>
              <w:t xml:space="preserve">99.94%</w:t>
            </w:r>
          </w:p>
        </w:tc>
        <w:tc>
          <w:tcPr>
            <w:tcW w:type="dxa" w:w="900"/>
            <w:tcMar>
              <w:top w:type="dxa" w:w="60"/>
              <w:left w:type="dxa" w:w="100"/>
              <w:bottom w:type="dxa" w:w="60"/>
              <w:right w:type="dxa" w:w="100"/>
            </w:tcMar>
            <w:vAlign w:val="center"/>
          </w:tcPr>
          <w:p>
            <w:pPr>
              <w:jc w:val="center"/>
            </w:pPr>
            <w:r>
              <w:rPr>
                <w:sz w:val="20"/>
                <w:szCs w:val="20"/>
              </w:rPr>
              <w:t xml:space="preserve">85.70%</w:t>
            </w:r>
          </w:p>
        </w:tc>
        <w:tc>
          <w:tcPr>
            <w:tcW w:type="dxa" w:w="850"/>
            <w:tcMar>
              <w:top w:type="dxa" w:w="60"/>
              <w:left w:type="dxa" w:w="100"/>
              <w:bottom w:type="dxa" w:w="60"/>
              <w:right w:type="dxa" w:w="100"/>
            </w:tcMar>
            <w:vAlign w:val="center"/>
          </w:tcPr>
          <w:p>
            <w:pPr>
              <w:jc w:val="center"/>
            </w:pPr>
            <w:r>
              <w:rPr>
                <w:sz w:val="20"/>
                <w:szCs w:val="20"/>
              </w:rPr>
              <w:t xml:space="preserve">6.84%</w:t>
            </w:r>
          </w:p>
        </w:tc>
        <w:tc>
          <w:tcPr>
            <w:tcW w:type="dxa" w:w="1900"/>
            <w:tcMar>
              <w:top w:type="dxa" w:w="60"/>
              <w:left w:type="dxa" w:w="100"/>
              <w:bottom w:type="dxa" w:w="60"/>
              <w:right w:type="dxa" w:w="100"/>
            </w:tcMar>
            <w:vAlign w:val="center"/>
          </w:tcPr>
          <w:p>
            <w:pPr>
              <w:jc w:val="center"/>
            </w:pPr>
            <w:r>
              <w:rPr>
                <w:sz w:val="20"/>
                <w:szCs w:val="20"/>
              </w:rPr>
              <w:t xml:space="preserve">52 / 85,173 (0.061%)</w:t>
            </w:r>
          </w:p>
        </w:tc>
      </w:tr>
      <w:tr>
        <w:tc>
          <w:tcPr>
            <w:tcW w:type="dxa" w:w="2600"/>
            <w:tcMar>
              <w:top w:type="dxa" w:w="60"/>
              <w:left w:type="dxa" w:w="100"/>
              <w:bottom w:type="dxa" w:w="60"/>
              <w:right w:type="dxa" w:w="100"/>
            </w:tcMar>
            <w:vAlign w:val="center"/>
          </w:tcPr>
          <w:p>
            <w:pPr>
              <w:jc w:val="left"/>
            </w:pPr>
            <w:r>
              <w:rPr>
                <w:sz w:val="20"/>
                <w:szCs w:val="20"/>
              </w:rPr>
              <w:t xml:space="preserve">CIC-IDS2017 — federated, fixed LR</w:t>
            </w:r>
          </w:p>
        </w:tc>
        <w:tc>
          <w:tcPr>
            <w:tcW w:type="dxa" w:w="950"/>
            <w:tcMar>
              <w:top w:type="dxa" w:w="60"/>
              <w:left w:type="dxa" w:w="100"/>
              <w:bottom w:type="dxa" w:w="60"/>
              <w:right w:type="dxa" w:w="100"/>
            </w:tcMar>
            <w:vAlign w:val="center"/>
          </w:tcPr>
          <w:p>
            <w:pPr>
              <w:jc w:val="center"/>
            </w:pPr>
            <w:r>
              <w:rPr>
                <w:sz w:val="20"/>
                <w:szCs w:val="20"/>
              </w:rPr>
              <w:t xml:space="preserve">95.01%</w:t>
            </w:r>
          </w:p>
        </w:tc>
        <w:tc>
          <w:tcPr>
            <w:tcW w:type="dxa" w:w="950"/>
            <w:tcMar>
              <w:top w:type="dxa" w:w="60"/>
              <w:left w:type="dxa" w:w="100"/>
              <w:bottom w:type="dxa" w:w="60"/>
              <w:right w:type="dxa" w:w="100"/>
            </w:tcMar>
            <w:vAlign w:val="center"/>
          </w:tcPr>
          <w:p>
            <w:pPr>
              <w:jc w:val="center"/>
            </w:pPr>
            <w:r>
              <w:rPr>
                <w:sz w:val="20"/>
                <w:szCs w:val="20"/>
              </w:rPr>
              <w:t xml:space="preserve">77.40%</w:t>
            </w:r>
          </w:p>
        </w:tc>
        <w:tc>
          <w:tcPr>
            <w:tcW w:type="dxa" w:w="1000"/>
            <w:tcMar>
              <w:top w:type="dxa" w:w="60"/>
              <w:left w:type="dxa" w:w="100"/>
              <w:bottom w:type="dxa" w:w="60"/>
              <w:right w:type="dxa" w:w="100"/>
            </w:tcMar>
            <w:vAlign w:val="center"/>
          </w:tcPr>
          <w:p>
            <w:pPr>
              <w:jc w:val="center"/>
            </w:pPr>
            <w:r>
              <w:rPr>
                <w:sz w:val="20"/>
                <w:szCs w:val="20"/>
              </w:rPr>
              <w:t xml:space="preserve">99.84%</w:t>
            </w:r>
          </w:p>
        </w:tc>
        <w:tc>
          <w:tcPr>
            <w:tcW w:type="dxa" w:w="900"/>
            <w:tcMar>
              <w:top w:type="dxa" w:w="60"/>
              <w:left w:type="dxa" w:w="100"/>
              <w:bottom w:type="dxa" w:w="60"/>
              <w:right w:type="dxa" w:w="100"/>
            </w:tcMar>
            <w:vAlign w:val="center"/>
          </w:tcPr>
          <w:p>
            <w:pPr>
              <w:jc w:val="center"/>
            </w:pPr>
            <w:r>
              <w:rPr>
                <w:sz w:val="20"/>
                <w:szCs w:val="20"/>
              </w:rPr>
              <w:t xml:space="preserve">87.20%</w:t>
            </w:r>
          </w:p>
        </w:tc>
        <w:tc>
          <w:tcPr>
            <w:tcW w:type="dxa" w:w="850"/>
            <w:tcMar>
              <w:top w:type="dxa" w:w="60"/>
              <w:left w:type="dxa" w:w="100"/>
              <w:bottom w:type="dxa" w:w="60"/>
              <w:right w:type="dxa" w:w="100"/>
            </w:tcMar>
            <w:vAlign w:val="center"/>
          </w:tcPr>
          <w:p>
            <w:pPr>
              <w:jc w:val="center"/>
            </w:pPr>
            <w:r>
              <w:rPr>
                <w:sz w:val="20"/>
                <w:szCs w:val="20"/>
              </w:rPr>
              <w:t xml:space="preserve">5.99%</w:t>
            </w:r>
          </w:p>
        </w:tc>
        <w:tc>
          <w:tcPr>
            <w:tcW w:type="dxa" w:w="1900"/>
            <w:tcMar>
              <w:top w:type="dxa" w:w="60"/>
              <w:left w:type="dxa" w:w="100"/>
              <w:bottom w:type="dxa" w:w="60"/>
              <w:right w:type="dxa" w:w="100"/>
            </w:tcMar>
            <w:vAlign w:val="center"/>
          </w:tcPr>
          <w:p>
            <w:pPr>
              <w:jc w:val="center"/>
            </w:pPr>
            <w:r>
              <w:rPr>
                <w:sz w:val="20"/>
                <w:szCs w:val="20"/>
              </w:rPr>
              <w:t xml:space="preserve">136 / 85,173 (0.16%)</w:t>
            </w:r>
          </w:p>
        </w:tc>
      </w:tr>
      <w:tr>
        <w:tc>
          <w:tcPr>
            <w:tcW w:type="dxa" w:w="2600"/>
            <w:tcMar>
              <w:top w:type="dxa" w:w="60"/>
              <w:left w:type="dxa" w:w="100"/>
              <w:bottom w:type="dxa" w:w="60"/>
              <w:right w:type="dxa" w:w="100"/>
            </w:tcMar>
            <w:vAlign w:val="center"/>
          </w:tcPr>
          <w:p>
            <w:pPr>
              <w:jc w:val="left"/>
            </w:pPr>
            <w:r>
              <w:rPr>
                <w:sz w:val="20"/>
                <w:szCs w:val="20"/>
              </w:rPr>
              <w:t xml:space="preserve">TON_IoT — centralized</w:t>
            </w:r>
          </w:p>
        </w:tc>
        <w:tc>
          <w:tcPr>
            <w:tcW w:type="dxa" w:w="950"/>
            <w:tcMar>
              <w:top w:type="dxa" w:w="60"/>
              <w:left w:type="dxa" w:w="100"/>
              <w:bottom w:type="dxa" w:w="60"/>
              <w:right w:type="dxa" w:w="100"/>
            </w:tcMar>
            <w:vAlign w:val="center"/>
          </w:tcPr>
          <w:p>
            <w:pPr>
              <w:jc w:val="center"/>
            </w:pPr>
            <w:r>
              <w:rPr>
                <w:sz w:val="20"/>
                <w:szCs w:val="20"/>
              </w:rPr>
              <w:t xml:space="preserve">99.51%</w:t>
            </w:r>
          </w:p>
        </w:tc>
        <w:tc>
          <w:tcPr>
            <w:tcW w:type="dxa" w:w="950"/>
            <w:tcMar>
              <w:top w:type="dxa" w:w="60"/>
              <w:left w:type="dxa" w:w="100"/>
              <w:bottom w:type="dxa" w:w="60"/>
              <w:right w:type="dxa" w:w="100"/>
            </w:tcMar>
            <w:vAlign w:val="center"/>
          </w:tcPr>
          <w:p>
            <w:pPr>
              <w:jc w:val="center"/>
            </w:pPr>
            <w:r>
              <w:rPr>
                <w:sz w:val="20"/>
                <w:szCs w:val="20"/>
              </w:rPr>
              <w:t xml:space="preserve">99.43%</w:t>
            </w:r>
          </w:p>
        </w:tc>
        <w:tc>
          <w:tcPr>
            <w:tcW w:type="dxa" w:w="1000"/>
            <w:tcMar>
              <w:top w:type="dxa" w:w="60"/>
              <w:left w:type="dxa" w:w="100"/>
              <w:bottom w:type="dxa" w:w="60"/>
              <w:right w:type="dxa" w:w="100"/>
            </w:tcMar>
            <w:vAlign w:val="center"/>
          </w:tcPr>
          <w:p>
            <w:pPr>
              <w:jc w:val="center"/>
            </w:pPr>
            <w:r>
              <w:rPr>
                <w:sz w:val="20"/>
                <w:szCs w:val="20"/>
              </w:rPr>
              <w:t xml:space="preserve">99.94%</w:t>
            </w:r>
          </w:p>
        </w:tc>
        <w:tc>
          <w:tcPr>
            <w:tcW w:type="dxa" w:w="900"/>
            <w:tcMar>
              <w:top w:type="dxa" w:w="60"/>
              <w:left w:type="dxa" w:w="100"/>
              <w:bottom w:type="dxa" w:w="60"/>
              <w:right w:type="dxa" w:w="100"/>
            </w:tcMar>
            <w:vAlign w:val="center"/>
          </w:tcPr>
          <w:p>
            <w:pPr>
              <w:jc w:val="center"/>
            </w:pPr>
            <w:r>
              <w:rPr>
                <w:sz w:val="20"/>
                <w:szCs w:val="20"/>
              </w:rPr>
              <w:t xml:space="preserve">99.68%</w:t>
            </w:r>
          </w:p>
        </w:tc>
        <w:tc>
          <w:tcPr>
            <w:tcW w:type="dxa" w:w="850"/>
            <w:tcMar>
              <w:top w:type="dxa" w:w="60"/>
              <w:left w:type="dxa" w:w="100"/>
              <w:bottom w:type="dxa" w:w="60"/>
              <w:right w:type="dxa" w:w="100"/>
            </w:tcMar>
            <w:vAlign w:val="center"/>
          </w:tcPr>
          <w:p>
            <w:pPr>
              <w:jc w:val="center"/>
            </w:pPr>
            <w:r>
              <w:rPr>
                <w:sz w:val="20"/>
                <w:szCs w:val="20"/>
              </w:rPr>
              <w:t xml:space="preserve">1.93%</w:t>
            </w:r>
          </w:p>
        </w:tc>
        <w:tc>
          <w:tcPr>
            <w:tcW w:type="dxa" w:w="1900"/>
            <w:tcMar>
              <w:top w:type="dxa" w:w="60"/>
              <w:left w:type="dxa" w:w="100"/>
              <w:bottom w:type="dxa" w:w="60"/>
              <w:right w:type="dxa" w:w="100"/>
            </w:tcMar>
            <w:vAlign w:val="center"/>
          </w:tcPr>
          <w:p>
            <w:pPr>
              <w:jc w:val="center"/>
            </w:pPr>
            <w:r>
              <w:rPr>
                <w:sz w:val="20"/>
                <w:szCs w:val="20"/>
              </w:rPr>
              <w:t xml:space="preserve">10 / 16,215 (0.062%)</w:t>
            </w:r>
          </w:p>
        </w:tc>
      </w:tr>
      <w:tr>
        <w:tc>
          <w:tcPr>
            <w:tcW w:type="dxa" w:w="2600"/>
            <w:tcMar>
              <w:top w:type="dxa" w:w="60"/>
              <w:left w:type="dxa" w:w="100"/>
              <w:bottom w:type="dxa" w:w="60"/>
              <w:right w:type="dxa" w:w="100"/>
            </w:tcMar>
            <w:vAlign w:val="center"/>
          </w:tcPr>
          <w:p>
            <w:pPr>
              <w:jc w:val="left"/>
            </w:pPr>
            <w:r>
              <w:rPr>
                <w:sz w:val="20"/>
                <w:szCs w:val="20"/>
              </w:rPr>
              <w:t xml:space="preserve">TON_IoT — federated (near-IID)</w:t>
            </w:r>
          </w:p>
        </w:tc>
        <w:tc>
          <w:tcPr>
            <w:tcW w:type="dxa" w:w="950"/>
            <w:tcMar>
              <w:top w:type="dxa" w:w="60"/>
              <w:left w:type="dxa" w:w="100"/>
              <w:bottom w:type="dxa" w:w="60"/>
              <w:right w:type="dxa" w:w="100"/>
            </w:tcMar>
            <w:vAlign w:val="center"/>
          </w:tcPr>
          <w:p>
            <w:pPr>
              <w:jc w:val="center"/>
            </w:pPr>
            <w:r>
              <w:rPr>
                <w:sz w:val="20"/>
                <w:szCs w:val="20"/>
              </w:rPr>
              <w:t xml:space="preserve">99.08%</w:t>
            </w:r>
          </w:p>
        </w:tc>
        <w:tc>
          <w:tcPr>
            <w:tcW w:type="dxa" w:w="950"/>
            <w:tcMar>
              <w:top w:type="dxa" w:w="60"/>
              <w:left w:type="dxa" w:w="100"/>
              <w:bottom w:type="dxa" w:w="60"/>
              <w:right w:type="dxa" w:w="100"/>
            </w:tcMar>
            <w:vAlign w:val="center"/>
          </w:tcPr>
          <w:p>
            <w:pPr>
              <w:jc w:val="center"/>
            </w:pPr>
            <w:r>
              <w:rPr>
                <w:sz w:val="20"/>
                <w:szCs w:val="20"/>
              </w:rPr>
              <w:t xml:space="preserve">98.94%</w:t>
            </w:r>
          </w:p>
        </w:tc>
        <w:tc>
          <w:tcPr>
            <w:tcW w:type="dxa" w:w="1000"/>
            <w:tcMar>
              <w:top w:type="dxa" w:w="60"/>
              <w:left w:type="dxa" w:w="100"/>
              <w:bottom w:type="dxa" w:w="60"/>
              <w:right w:type="dxa" w:w="100"/>
            </w:tcMar>
            <w:vAlign w:val="center"/>
          </w:tcPr>
          <w:p>
            <w:pPr>
              <w:jc w:val="center"/>
            </w:pPr>
            <w:r>
              <w:rPr>
                <w:sz w:val="20"/>
                <w:szCs w:val="20"/>
              </w:rPr>
              <w:t xml:space="preserve">99.88%</w:t>
            </w:r>
          </w:p>
        </w:tc>
        <w:tc>
          <w:tcPr>
            <w:tcW w:type="dxa" w:w="900"/>
            <w:tcMar>
              <w:top w:type="dxa" w:w="60"/>
              <w:left w:type="dxa" w:w="100"/>
              <w:bottom w:type="dxa" w:w="60"/>
              <w:right w:type="dxa" w:w="100"/>
            </w:tcMar>
            <w:vAlign w:val="center"/>
          </w:tcPr>
          <w:p>
            <w:pPr>
              <w:jc w:val="center"/>
            </w:pPr>
            <w:r>
              <w:rPr>
                <w:sz w:val="20"/>
                <w:szCs w:val="20"/>
              </w:rPr>
              <w:t xml:space="preserve">99.41%</w:t>
            </w:r>
          </w:p>
        </w:tc>
        <w:tc>
          <w:tcPr>
            <w:tcW w:type="dxa" w:w="850"/>
            <w:tcMar>
              <w:top w:type="dxa" w:w="60"/>
              <w:left w:type="dxa" w:w="100"/>
              <w:bottom w:type="dxa" w:w="60"/>
              <w:right w:type="dxa" w:w="100"/>
            </w:tcMar>
            <w:vAlign w:val="center"/>
          </w:tcPr>
          <w:p>
            <w:pPr>
              <w:jc w:val="center"/>
            </w:pPr>
            <w:r>
              <w:rPr>
                <w:sz w:val="20"/>
                <w:szCs w:val="20"/>
              </w:rPr>
              <w:t xml:space="preserve">3.61%</w:t>
            </w:r>
          </w:p>
        </w:tc>
        <w:tc>
          <w:tcPr>
            <w:tcW w:type="dxa" w:w="1900"/>
            <w:tcMar>
              <w:top w:type="dxa" w:w="60"/>
              <w:left w:type="dxa" w:w="100"/>
              <w:bottom w:type="dxa" w:w="60"/>
              <w:right w:type="dxa" w:w="100"/>
            </w:tcMar>
            <w:vAlign w:val="center"/>
          </w:tcPr>
          <w:p>
            <w:pPr>
              <w:jc w:val="center"/>
            </w:pPr>
            <w:r>
              <w:rPr>
                <w:sz w:val="20"/>
                <w:szCs w:val="20"/>
              </w:rPr>
              <w:t xml:space="preserve">19 / 16,215 (0.12%)</w:t>
            </w:r>
          </w:p>
        </w:tc>
      </w:tr>
      <w:tr>
        <w:tc>
          <w:tcPr>
            <w:tcW w:type="dxa" w:w="2600"/>
            <w:tcMar>
              <w:top w:type="dxa" w:w="60"/>
              <w:left w:type="dxa" w:w="100"/>
              <w:bottom w:type="dxa" w:w="60"/>
              <w:right w:type="dxa" w:w="100"/>
            </w:tcMar>
            <w:vAlign w:val="center"/>
          </w:tcPr>
          <w:p>
            <w:pPr>
              <w:jc w:val="left"/>
            </w:pPr>
            <w:r>
              <w:rPr>
                <w:sz w:val="20"/>
                <w:szCs w:val="20"/>
              </w:rPr>
              <w:t xml:space="preserve">TON_IoT — federated, second training run</w:t>
            </w:r>
          </w:p>
        </w:tc>
        <w:tc>
          <w:tcPr>
            <w:tcW w:type="dxa" w:w="950"/>
            <w:tcMar>
              <w:top w:type="dxa" w:w="60"/>
              <w:left w:type="dxa" w:w="100"/>
              <w:bottom w:type="dxa" w:w="60"/>
              <w:right w:type="dxa" w:w="100"/>
            </w:tcMar>
            <w:vAlign w:val="center"/>
          </w:tcPr>
          <w:p>
            <w:pPr>
              <w:jc w:val="center"/>
            </w:pPr>
            <w:r>
              <w:rPr>
                <w:sz w:val="20"/>
                <w:szCs w:val="20"/>
              </w:rPr>
              <w:t xml:space="preserve">99.04%</w:t>
            </w:r>
          </w:p>
        </w:tc>
        <w:tc>
          <w:tcPr>
            <w:tcW w:type="dxa" w:w="950"/>
            <w:tcMar>
              <w:top w:type="dxa" w:w="60"/>
              <w:left w:type="dxa" w:w="100"/>
              <w:bottom w:type="dxa" w:w="60"/>
              <w:right w:type="dxa" w:w="100"/>
            </w:tcMar>
            <w:vAlign w:val="center"/>
          </w:tcPr>
          <w:p>
            <w:pPr>
              <w:jc w:val="center"/>
            </w:pPr>
            <w:r>
              <w:rPr>
                <w:sz w:val="20"/>
                <w:szCs w:val="20"/>
              </w:rPr>
              <w:t xml:space="preserve">98.91%</w:t>
            </w:r>
          </w:p>
        </w:tc>
        <w:tc>
          <w:tcPr>
            <w:tcW w:type="dxa" w:w="1000"/>
            <w:tcMar>
              <w:top w:type="dxa" w:w="60"/>
              <w:left w:type="dxa" w:w="100"/>
              <w:bottom w:type="dxa" w:w="60"/>
              <w:right w:type="dxa" w:w="100"/>
            </w:tcMar>
            <w:vAlign w:val="center"/>
          </w:tcPr>
          <w:p>
            <w:pPr>
              <w:jc w:val="center"/>
            </w:pPr>
            <w:r>
              <w:rPr>
                <w:sz w:val="20"/>
                <w:szCs w:val="20"/>
              </w:rPr>
              <w:t xml:space="preserve">99.86%</w:t>
            </w:r>
          </w:p>
        </w:tc>
        <w:tc>
          <w:tcPr>
            <w:tcW w:type="dxa" w:w="900"/>
            <w:tcMar>
              <w:top w:type="dxa" w:w="60"/>
              <w:left w:type="dxa" w:w="100"/>
              <w:bottom w:type="dxa" w:w="60"/>
              <w:right w:type="dxa" w:w="100"/>
            </w:tcMar>
            <w:vAlign w:val="center"/>
          </w:tcPr>
          <w:p>
            <w:pPr>
              <w:jc w:val="center"/>
            </w:pPr>
            <w:r>
              <w:rPr>
                <w:sz w:val="20"/>
                <w:szCs w:val="20"/>
              </w:rPr>
              <w:t xml:space="preserve">99.38%</w:t>
            </w:r>
          </w:p>
        </w:tc>
        <w:tc>
          <w:tcPr>
            <w:tcW w:type="dxa" w:w="850"/>
            <w:tcMar>
              <w:top w:type="dxa" w:w="60"/>
              <w:left w:type="dxa" w:w="100"/>
              <w:bottom w:type="dxa" w:w="60"/>
              <w:right w:type="dxa" w:w="100"/>
            </w:tcMar>
            <w:vAlign w:val="center"/>
          </w:tcPr>
          <w:p>
            <w:pPr>
              <w:jc w:val="center"/>
            </w:pPr>
            <w:r>
              <w:rPr>
                <w:sz w:val="20"/>
                <w:szCs w:val="20"/>
              </w:rPr>
              <w:t xml:space="preserve">3.71%</w:t>
            </w:r>
          </w:p>
        </w:tc>
        <w:tc>
          <w:tcPr>
            <w:tcW w:type="dxa" w:w="1900"/>
            <w:tcMar>
              <w:top w:type="dxa" w:w="60"/>
              <w:left w:type="dxa" w:w="100"/>
              <w:bottom w:type="dxa" w:w="60"/>
              <w:right w:type="dxa" w:w="100"/>
            </w:tcMar>
            <w:vAlign w:val="center"/>
          </w:tcPr>
          <w:p>
            <w:pPr>
              <w:jc w:val="center"/>
            </w:pPr>
            <w:r>
              <w:rPr>
                <w:sz w:val="20"/>
                <w:szCs w:val="20"/>
              </w:rPr>
              <w:t xml:space="preserve">23 / 16,215 (0.14%)</w:t>
            </w:r>
          </w:p>
        </w:tc>
      </w:tr>
      <w:tr>
        <w:tc>
          <w:tcPr>
            <w:tcW w:type="dxa" w:w="2600"/>
            <w:tcMar>
              <w:top w:type="dxa" w:w="60"/>
              <w:left w:type="dxa" w:w="100"/>
              <w:bottom w:type="dxa" w:w="60"/>
              <w:right w:type="dxa" w:w="100"/>
            </w:tcMar>
            <w:vAlign w:val="center"/>
          </w:tcPr>
          <w:p>
            <w:pPr>
              <w:jc w:val="left"/>
            </w:pPr>
            <w:r>
              <w:rPr>
                <w:sz w:val="20"/>
                <w:szCs w:val="20"/>
              </w:rPr>
              <w:t xml:space="preserve">TON_IoT — federated, fixed LR</w:t>
            </w:r>
          </w:p>
        </w:tc>
        <w:tc>
          <w:tcPr>
            <w:tcW w:type="dxa" w:w="950"/>
            <w:tcMar>
              <w:top w:type="dxa" w:w="60"/>
              <w:left w:type="dxa" w:w="100"/>
              <w:bottom w:type="dxa" w:w="60"/>
              <w:right w:type="dxa" w:w="100"/>
            </w:tcMar>
            <w:vAlign w:val="center"/>
          </w:tcPr>
          <w:p>
            <w:pPr>
              <w:jc w:val="center"/>
            </w:pPr>
            <w:r>
              <w:rPr>
                <w:sz w:val="20"/>
                <w:szCs w:val="20"/>
              </w:rPr>
              <w:t xml:space="preserve">98.97%</w:t>
            </w:r>
          </w:p>
        </w:tc>
        <w:tc>
          <w:tcPr>
            <w:tcW w:type="dxa" w:w="950"/>
            <w:tcMar>
              <w:top w:type="dxa" w:w="60"/>
              <w:left w:type="dxa" w:w="100"/>
              <w:bottom w:type="dxa" w:w="60"/>
              <w:right w:type="dxa" w:w="100"/>
            </w:tcMar>
            <w:vAlign w:val="center"/>
          </w:tcPr>
          <w:p>
            <w:pPr>
              <w:jc w:val="center"/>
            </w:pPr>
            <w:r>
              <w:rPr>
                <w:sz w:val="20"/>
                <w:szCs w:val="20"/>
              </w:rPr>
              <w:t xml:space="preserve">98.82%</w:t>
            </w:r>
          </w:p>
        </w:tc>
        <w:tc>
          <w:tcPr>
            <w:tcW w:type="dxa" w:w="1000"/>
            <w:tcMar>
              <w:top w:type="dxa" w:w="60"/>
              <w:left w:type="dxa" w:w="100"/>
              <w:bottom w:type="dxa" w:w="60"/>
              <w:right w:type="dxa" w:w="100"/>
            </w:tcMar>
            <w:vAlign w:val="center"/>
          </w:tcPr>
          <w:p>
            <w:pPr>
              <w:jc w:val="center"/>
            </w:pPr>
            <w:r>
              <w:rPr>
                <w:sz w:val="20"/>
                <w:szCs w:val="20"/>
              </w:rPr>
              <w:t xml:space="preserve">99.86%</w:t>
            </w:r>
          </w:p>
        </w:tc>
        <w:tc>
          <w:tcPr>
            <w:tcW w:type="dxa" w:w="900"/>
            <w:tcMar>
              <w:top w:type="dxa" w:w="60"/>
              <w:left w:type="dxa" w:w="100"/>
              <w:bottom w:type="dxa" w:w="60"/>
              <w:right w:type="dxa" w:w="100"/>
            </w:tcMar>
            <w:vAlign w:val="center"/>
          </w:tcPr>
          <w:p>
            <w:pPr>
              <w:jc w:val="center"/>
            </w:pPr>
            <w:r>
              <w:rPr>
                <w:sz w:val="20"/>
                <w:szCs w:val="20"/>
              </w:rPr>
              <w:t xml:space="preserve">99.34%</w:t>
            </w:r>
          </w:p>
        </w:tc>
        <w:tc>
          <w:tcPr>
            <w:tcW w:type="dxa" w:w="850"/>
            <w:tcMar>
              <w:top w:type="dxa" w:w="60"/>
              <w:left w:type="dxa" w:w="100"/>
              <w:bottom w:type="dxa" w:w="60"/>
              <w:right w:type="dxa" w:w="100"/>
            </w:tcMar>
            <w:vAlign w:val="center"/>
          </w:tcPr>
          <w:p>
            <w:pPr>
              <w:jc w:val="center"/>
            </w:pPr>
            <w:r>
              <w:rPr>
                <w:sz w:val="20"/>
                <w:szCs w:val="20"/>
              </w:rPr>
              <w:t xml:space="preserve">4.00%</w:t>
            </w:r>
          </w:p>
        </w:tc>
        <w:tc>
          <w:tcPr>
            <w:tcW w:type="dxa" w:w="1900"/>
            <w:tcMar>
              <w:top w:type="dxa" w:w="60"/>
              <w:left w:type="dxa" w:w="100"/>
              <w:bottom w:type="dxa" w:w="60"/>
              <w:right w:type="dxa" w:w="100"/>
            </w:tcMar>
            <w:vAlign w:val="center"/>
          </w:tcPr>
          <w:p>
            <w:pPr>
              <w:jc w:val="center"/>
            </w:pPr>
            <w:r>
              <w:rPr>
                <w:sz w:val="20"/>
                <w:szCs w:val="20"/>
              </w:rPr>
              <w:t xml:space="preserve">23 / 16,215 (0.14%)</w:t>
            </w:r>
          </w:p>
        </w:tc>
      </w:tr>
    </w:tbl>
    <w:p>
      <w:pPr>
        <w:spacing w:after="240" w:before="80"/>
      </w:pPr>
      <w:r>
        <w:rPr>
          <w:i/>
          <w:iCs/>
          <w:sz w:val="20"/>
          <w:szCs w:val="20"/>
        </w:rPr>
        <w:t xml:space="preserve">Table 1. Federated vs. centralized training with the identical model, loss, and epoch budget (float models, before compression).</w:t>
      </w:r>
    </w:p>
    <w:p>
      <w:pPr>
        <w:spacing w:after="160"/>
      </w:pPr>
      <w:r>
        <w:t xml:space="preserve">Federated training comes within 1.65 F1 points of centralized training on CIC-IDS2017 and within 0.27 on TON_IoT. On both datasets the gap lies mostly in precision (FAR 6.84% vs. 5.92% and 3.61% vs. 1.93%); all four models detect more than 99.8% of attacks. A second, independent federated training run on TON_IoT reaches F1 99.38 (23 instead of 19 missed attacks), so run-to-run variation there is small compared with the effects we discuss. </w:t>
      </w:r>
      <w:r>
        <w:t xml:space="preserve">A fixed learning rate (10⁻³ throughout) does as well as the cosine schedule on both datasets: F1 87.20 vs. 85.70 on CIC-IDS2017 and 99.34 vs. 99.41 on TON_IoT. The WIP version attributed a jump in Attack Recall from 46.7% to 93.85% to the cosine schedule. With the weight-exchange error of Section 6.2 corrected, a fixed-LR federated model already reaches 99.84% Attack Recall, so that jump was an artifact of the erroneous pipeline and we withdraw the claim. We keep the cosine schedule only because the remaining experiments were run with it; it is not a contribution of this paper.</w:t>
      </w:r>
    </w:p>
    <w:p>
      <w:pPr>
        <w:pStyle w:val="Heading2"/>
        <w:spacing w:after="140" w:before="260"/>
      </w:pPr>
      <w:r>
        <w:t xml:space="preserve">5.2 Non-IID Clients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900"/>
        <w:gridCol w:w="800"/>
        <w:gridCol w:w="1000"/>
        <w:gridCol w:w="800"/>
        <w:gridCol w:w="1800"/>
      </w:tblGrid>
      <w:tr>
        <w:trPr>
          <w:tblHeader/>
        </w:trPr>
        <w:tc>
          <w:tcPr>
            <w:tcW w:type="dxa" w:w="2100"/>
            <w:shd w:fill="D9E2F3" w:val="clear"/>
            <w:tcMar>
              <w:top w:type="dxa" w:w="60"/>
              <w:left w:type="dxa" w:w="100"/>
              <w:bottom w:type="dxa" w:w="60"/>
              <w:right w:type="dxa" w:w="100"/>
            </w:tcMar>
            <w:vAlign w:val="center"/>
          </w:tcPr>
          <w:p>
            <w:pPr>
              <w:jc w:val="center"/>
            </w:pPr>
            <w:r>
              <w:rPr>
                <w:b/>
                <w:bCs/>
                <w:sz w:val="20"/>
                <w:szCs w:val="20"/>
              </w:rPr>
              <w:t xml:space="preserve">Model</w:t>
            </w:r>
          </w:p>
        </w:tc>
        <w:tc>
          <w:tcPr>
            <w:tcW w:type="dxa" w:w="2500"/>
            <w:shd w:fill="D9E2F3" w:val="clear"/>
            <w:tcMar>
              <w:top w:type="dxa" w:w="60"/>
              <w:left w:type="dxa" w:w="100"/>
              <w:bottom w:type="dxa" w:w="60"/>
              <w:right w:type="dxa" w:w="100"/>
            </w:tcMar>
            <w:vAlign w:val="center"/>
          </w:tcPr>
          <w:p>
            <w:pPr>
              <w:jc w:val="center"/>
            </w:pPr>
            <w:r>
              <w:rPr>
                <w:b/>
                <w:bCs/>
                <w:sz w:val="20"/>
                <w:szCs w:val="20"/>
              </w:rPr>
              <w:t xml:space="preserve">Client sizes (attack share)</w:t>
            </w:r>
          </w:p>
        </w:tc>
        <w:tc>
          <w:tcPr>
            <w:tcW w:type="dxa" w:w="900"/>
            <w:shd w:fill="D9E2F3" w:val="clear"/>
            <w:tcMar>
              <w:top w:type="dxa" w:w="60"/>
              <w:left w:type="dxa" w:w="100"/>
              <w:bottom w:type="dxa" w:w="60"/>
              <w:right w:type="dxa" w:w="100"/>
            </w:tcMar>
            <w:vAlign w:val="center"/>
          </w:tcPr>
          <w:p>
            <w:pPr>
              <w:jc w:val="center"/>
            </w:pPr>
            <w:r>
              <w:rPr>
                <w:b/>
                <w:bCs/>
                <w:sz w:val="20"/>
                <w:szCs w:val="20"/>
              </w:rPr>
              <w:t xml:space="preserve">Accuracy</w:t>
            </w:r>
          </w:p>
        </w:tc>
        <w:tc>
          <w:tcPr>
            <w:tcW w:type="dxa" w:w="800"/>
            <w:shd w:fill="D9E2F3" w:val="clear"/>
            <w:tcMar>
              <w:top w:type="dxa" w:w="60"/>
              <w:left w:type="dxa" w:w="100"/>
              <w:bottom w:type="dxa" w:w="60"/>
              <w:right w:type="dxa" w:w="100"/>
            </w:tcMar>
            <w:vAlign w:val="center"/>
          </w:tcPr>
          <w:p>
            <w:pPr>
              <w:jc w:val="center"/>
            </w:pPr>
            <w:r>
              <w:rPr>
                <w:b/>
                <w:bCs/>
                <w:sz w:val="20"/>
                <w:szCs w:val="20"/>
              </w:rPr>
              <w:t xml:space="preserve">F1</w:t>
            </w:r>
          </w:p>
        </w:tc>
        <w:tc>
          <w:tcPr>
            <w:tcW w:type="dxa" w:w="1000"/>
            <w:shd w:fill="D9E2F3" w:val="clear"/>
            <w:tcMar>
              <w:top w:type="dxa" w:w="60"/>
              <w:left w:type="dxa" w:w="100"/>
              <w:bottom w:type="dxa" w:w="60"/>
              <w:right w:type="dxa" w:w="100"/>
            </w:tcMar>
            <w:vAlign w:val="center"/>
          </w:tcPr>
          <w:p>
            <w:pPr>
              <w:jc w:val="center"/>
            </w:pPr>
            <w:r>
              <w:rPr>
                <w:b/>
                <w:bCs/>
                <w:sz w:val="20"/>
                <w:szCs w:val="20"/>
              </w:rPr>
              <w:t xml:space="preserve">Attack Recall</w:t>
            </w:r>
          </w:p>
        </w:tc>
        <w:tc>
          <w:tcPr>
            <w:tcW w:type="dxa" w:w="800"/>
            <w:shd w:fill="D9E2F3" w:val="clear"/>
            <w:tcMar>
              <w:top w:type="dxa" w:w="60"/>
              <w:left w:type="dxa" w:w="100"/>
              <w:bottom w:type="dxa" w:w="60"/>
              <w:right w:type="dxa" w:w="100"/>
            </w:tcMar>
            <w:vAlign w:val="center"/>
          </w:tcPr>
          <w:p>
            <w:pPr>
              <w:jc w:val="center"/>
            </w:pPr>
            <w:r>
              <w:rPr>
                <w:b/>
                <w:bCs/>
                <w:sz w:val="20"/>
                <w:szCs w:val="20"/>
              </w:rPr>
              <w:t xml:space="preserve">FAR</w:t>
            </w:r>
          </w:p>
        </w:tc>
        <w:tc>
          <w:tcPr>
            <w:tcW w:type="dxa" w:w="1800"/>
            <w:shd w:fill="D9E2F3" w:val="clear"/>
            <w:tcMar>
              <w:top w:type="dxa" w:w="60"/>
              <w:left w:type="dxa" w:w="100"/>
              <w:bottom w:type="dxa" w:w="60"/>
              <w:right w:type="dxa" w:w="100"/>
            </w:tcMar>
            <w:vAlign w:val="center"/>
          </w:tcPr>
          <w:p>
            <w:pPr>
              <w:jc w:val="center"/>
            </w:pPr>
            <w:r>
              <w:rPr>
                <w:b/>
                <w:bCs/>
                <w:sz w:val="20"/>
                <w:szCs w:val="20"/>
              </w:rPr>
              <w:t xml:space="preserve">Missed attacks / all</w:t>
            </w:r>
          </w:p>
        </w:tc>
      </w:tr>
      <w:tr>
        <w:tc>
          <w:tcPr>
            <w:tcW w:type="dxa" w:w="2100"/>
            <w:tcMar>
              <w:top w:type="dxa" w:w="60"/>
              <w:left w:type="dxa" w:w="100"/>
              <w:bottom w:type="dxa" w:w="60"/>
              <w:right w:type="dxa" w:w="100"/>
            </w:tcMar>
            <w:vAlign w:val="center"/>
          </w:tcPr>
          <w:p>
            <w:pPr>
              <w:jc w:val="left"/>
            </w:pPr>
            <w:r>
              <w:rPr>
                <w:sz w:val="20"/>
                <w:szCs w:val="20"/>
              </w:rPr>
              <w:t xml:space="preserve">CIC-IDS2017 — near-IID</w:t>
            </w:r>
          </w:p>
        </w:tc>
        <w:tc>
          <w:tcPr>
            <w:tcW w:type="dxa" w:w="2500"/>
            <w:tcMar>
              <w:top w:type="dxa" w:w="60"/>
              <w:left w:type="dxa" w:w="100"/>
              <w:bottom w:type="dxa" w:w="60"/>
              <w:right w:type="dxa" w:w="100"/>
            </w:tcMar>
            <w:vAlign w:val="center"/>
          </w:tcPr>
          <w:p>
            <w:pPr>
              <w:jc w:val="center"/>
            </w:pPr>
            <w:r>
              <w:rPr>
                <w:sz w:val="20"/>
                <w:szCs w:val="20"/>
              </w:rPr>
              <w:t xml:space="preserve">4 × equal (≈ class ratio)</w:t>
            </w:r>
          </w:p>
        </w:tc>
        <w:tc>
          <w:tcPr>
            <w:tcW w:type="dxa" w:w="900"/>
            <w:tcMar>
              <w:top w:type="dxa" w:w="60"/>
              <w:left w:type="dxa" w:w="100"/>
              <w:bottom w:type="dxa" w:w="60"/>
              <w:right w:type="dxa" w:w="100"/>
            </w:tcMar>
            <w:vAlign w:val="center"/>
          </w:tcPr>
          <w:p>
            <w:pPr>
              <w:jc w:val="center"/>
            </w:pPr>
            <w:r>
              <w:rPr>
                <w:sz w:val="20"/>
                <w:szCs w:val="20"/>
              </w:rPr>
              <w:t xml:space="preserve">94.32%</w:t>
            </w:r>
          </w:p>
        </w:tc>
        <w:tc>
          <w:tcPr>
            <w:tcW w:type="dxa" w:w="800"/>
            <w:tcMar>
              <w:top w:type="dxa" w:w="60"/>
              <w:left w:type="dxa" w:w="100"/>
              <w:bottom w:type="dxa" w:w="60"/>
              <w:right w:type="dxa" w:w="100"/>
            </w:tcMar>
            <w:vAlign w:val="center"/>
          </w:tcPr>
          <w:p>
            <w:pPr>
              <w:jc w:val="center"/>
            </w:pPr>
            <w:r>
              <w:rPr>
                <w:sz w:val="20"/>
                <w:szCs w:val="20"/>
              </w:rPr>
              <w:t xml:space="preserve">85.70%</w:t>
            </w:r>
          </w:p>
        </w:tc>
        <w:tc>
          <w:tcPr>
            <w:tcW w:type="dxa" w:w="1000"/>
            <w:tcMar>
              <w:top w:type="dxa" w:w="60"/>
              <w:left w:type="dxa" w:w="100"/>
              <w:bottom w:type="dxa" w:w="60"/>
              <w:right w:type="dxa" w:w="100"/>
            </w:tcMar>
            <w:vAlign w:val="center"/>
          </w:tcPr>
          <w:p>
            <w:pPr>
              <w:jc w:val="center"/>
            </w:pPr>
            <w:r>
              <w:rPr>
                <w:sz w:val="20"/>
                <w:szCs w:val="20"/>
              </w:rPr>
              <w:t xml:space="preserve">99.94%</w:t>
            </w:r>
          </w:p>
        </w:tc>
        <w:tc>
          <w:tcPr>
            <w:tcW w:type="dxa" w:w="800"/>
            <w:tcMar>
              <w:top w:type="dxa" w:w="60"/>
              <w:left w:type="dxa" w:w="100"/>
              <w:bottom w:type="dxa" w:w="60"/>
              <w:right w:type="dxa" w:w="100"/>
            </w:tcMar>
            <w:vAlign w:val="center"/>
          </w:tcPr>
          <w:p>
            <w:pPr>
              <w:jc w:val="center"/>
            </w:pPr>
            <w:r>
              <w:rPr>
                <w:sz w:val="20"/>
                <w:szCs w:val="20"/>
              </w:rPr>
              <w:t xml:space="preserve">6.84%</w:t>
            </w:r>
          </w:p>
        </w:tc>
        <w:tc>
          <w:tcPr>
            <w:tcW w:type="dxa" w:w="1800"/>
            <w:tcMar>
              <w:top w:type="dxa" w:w="60"/>
              <w:left w:type="dxa" w:w="100"/>
              <w:bottom w:type="dxa" w:w="60"/>
              <w:right w:type="dxa" w:w="100"/>
            </w:tcMar>
            <w:vAlign w:val="center"/>
          </w:tcPr>
          <w:p>
            <w:pPr>
              <w:jc w:val="center"/>
            </w:pPr>
            <w:r>
              <w:rPr>
                <w:sz w:val="20"/>
                <w:szCs w:val="20"/>
              </w:rPr>
              <w:t xml:space="preserve">52 / 85,173 (0.061%)</w:t>
            </w:r>
          </w:p>
        </w:tc>
      </w:tr>
      <w:tr>
        <w:tc>
          <w:tcPr>
            <w:tcW w:type="dxa" w:w="2100"/>
            <w:tcMar>
              <w:top w:type="dxa" w:w="60"/>
              <w:left w:type="dxa" w:w="100"/>
              <w:bottom w:type="dxa" w:w="60"/>
              <w:right w:type="dxa" w:w="100"/>
            </w:tcMar>
            <w:vAlign w:val="center"/>
          </w:tcPr>
          <w:p>
            <w:pPr>
              <w:jc w:val="left"/>
            </w:pPr>
            <w:r>
              <w:rPr>
                <w:sz w:val="20"/>
                <w:szCs w:val="20"/>
              </w:rPr>
              <w:t xml:space="preserve">CIC-IDS2017 — Dirichlet(0.3)</w:t>
            </w:r>
          </w:p>
        </w:tc>
        <w:tc>
          <w:tcPr>
            <w:tcW w:type="dxa" w:w="2500"/>
            <w:tcMar>
              <w:top w:type="dxa" w:w="60"/>
              <w:left w:type="dxa" w:w="100"/>
              <w:bottom w:type="dxa" w:w="60"/>
              <w:right w:type="dxa" w:w="100"/>
            </w:tcMar>
            <w:vAlign w:val="center"/>
          </w:tcPr>
          <w:p>
            <w:pPr>
              <w:jc w:val="center"/>
            </w:pPr>
            <w:r>
              <w:rPr>
                <w:sz w:val="20"/>
                <w:szCs w:val="20"/>
              </w:rPr>
              <w:t xml:space="preserve">9.4k (0.1%), 1.98M (59.5%), 6.7k (2.6%), 728k (25.1%)</w:t>
            </w:r>
          </w:p>
        </w:tc>
        <w:tc>
          <w:tcPr>
            <w:tcW w:type="dxa" w:w="900"/>
            <w:tcMar>
              <w:top w:type="dxa" w:w="60"/>
              <w:left w:type="dxa" w:w="100"/>
              <w:bottom w:type="dxa" w:w="60"/>
              <w:right w:type="dxa" w:w="100"/>
            </w:tcMar>
            <w:vAlign w:val="center"/>
          </w:tcPr>
          <w:p>
            <w:pPr>
              <w:jc w:val="center"/>
            </w:pPr>
            <w:r>
              <w:rPr>
                <w:sz w:val="20"/>
                <w:szCs w:val="20"/>
              </w:rPr>
              <w:t xml:space="preserve">94.27%</w:t>
            </w:r>
          </w:p>
        </w:tc>
        <w:tc>
          <w:tcPr>
            <w:tcW w:type="dxa" w:w="800"/>
            <w:tcMar>
              <w:top w:type="dxa" w:w="60"/>
              <w:left w:type="dxa" w:w="100"/>
              <w:bottom w:type="dxa" w:w="60"/>
              <w:right w:type="dxa" w:w="100"/>
            </w:tcMar>
            <w:vAlign w:val="center"/>
          </w:tcPr>
          <w:p>
            <w:pPr>
              <w:jc w:val="center"/>
            </w:pPr>
            <w:r>
              <w:rPr>
                <w:sz w:val="20"/>
                <w:szCs w:val="20"/>
              </w:rPr>
              <w:t xml:space="preserve">85.59%</w:t>
            </w:r>
          </w:p>
        </w:tc>
        <w:tc>
          <w:tcPr>
            <w:tcW w:type="dxa" w:w="1000"/>
            <w:tcMar>
              <w:top w:type="dxa" w:w="60"/>
              <w:left w:type="dxa" w:w="100"/>
              <w:bottom w:type="dxa" w:w="60"/>
              <w:right w:type="dxa" w:w="100"/>
            </w:tcMar>
            <w:vAlign w:val="center"/>
          </w:tcPr>
          <w:p>
            <w:pPr>
              <w:jc w:val="center"/>
            </w:pPr>
            <w:r>
              <w:rPr>
                <w:sz w:val="20"/>
                <w:szCs w:val="20"/>
              </w:rPr>
              <w:t xml:space="preserve">99.83%</w:t>
            </w:r>
          </w:p>
        </w:tc>
        <w:tc>
          <w:tcPr>
            <w:tcW w:type="dxa" w:w="800"/>
            <w:tcMar>
              <w:top w:type="dxa" w:w="60"/>
              <w:left w:type="dxa" w:w="100"/>
              <w:bottom w:type="dxa" w:w="60"/>
              <w:right w:type="dxa" w:w="100"/>
            </w:tcMar>
            <w:vAlign w:val="center"/>
          </w:tcPr>
          <w:p>
            <w:pPr>
              <w:jc w:val="center"/>
            </w:pPr>
            <w:r>
              <w:rPr>
                <w:sz w:val="20"/>
                <w:szCs w:val="20"/>
              </w:rPr>
              <w:t xml:space="preserve">6.87%</w:t>
            </w:r>
          </w:p>
        </w:tc>
        <w:tc>
          <w:tcPr>
            <w:tcW w:type="dxa" w:w="1800"/>
            <w:tcMar>
              <w:top w:type="dxa" w:w="60"/>
              <w:left w:type="dxa" w:w="100"/>
              <w:bottom w:type="dxa" w:w="60"/>
              <w:right w:type="dxa" w:w="100"/>
            </w:tcMar>
            <w:vAlign w:val="center"/>
          </w:tcPr>
          <w:p>
            <w:pPr>
              <w:jc w:val="center"/>
            </w:pPr>
            <w:r>
              <w:rPr>
                <w:sz w:val="20"/>
                <w:szCs w:val="20"/>
              </w:rPr>
              <w:t xml:space="preserve">144 / 85,173 (0.17%)</w:t>
            </w:r>
          </w:p>
        </w:tc>
      </w:tr>
      <w:tr>
        <w:tc>
          <w:tcPr>
            <w:tcW w:type="dxa" w:w="2100"/>
            <w:tcMar>
              <w:top w:type="dxa" w:w="60"/>
              <w:left w:type="dxa" w:w="100"/>
              <w:bottom w:type="dxa" w:w="60"/>
              <w:right w:type="dxa" w:w="100"/>
            </w:tcMar>
            <w:vAlign w:val="center"/>
          </w:tcPr>
          <w:p>
            <w:pPr>
              <w:jc w:val="left"/>
            </w:pPr>
            <w:r>
              <w:rPr>
                <w:sz w:val="20"/>
                <w:szCs w:val="20"/>
              </w:rPr>
              <w:t xml:space="preserve">TON_IoT — near-IID</w:t>
            </w:r>
          </w:p>
        </w:tc>
        <w:tc>
          <w:tcPr>
            <w:tcW w:type="dxa" w:w="2500"/>
            <w:tcMar>
              <w:top w:type="dxa" w:w="60"/>
              <w:left w:type="dxa" w:w="100"/>
              <w:bottom w:type="dxa" w:w="60"/>
              <w:right w:type="dxa" w:w="100"/>
            </w:tcMar>
            <w:vAlign w:val="center"/>
          </w:tcPr>
          <w:p>
            <w:pPr>
              <w:jc w:val="center"/>
            </w:pPr>
            <w:r>
              <w:rPr>
                <w:sz w:val="20"/>
                <w:szCs w:val="20"/>
              </w:rPr>
              <w:t xml:space="preserve">4 × equal (≈ class ratio)</w:t>
            </w:r>
          </w:p>
        </w:tc>
        <w:tc>
          <w:tcPr>
            <w:tcW w:type="dxa" w:w="900"/>
            <w:tcMar>
              <w:top w:type="dxa" w:w="60"/>
              <w:left w:type="dxa" w:w="100"/>
              <w:bottom w:type="dxa" w:w="60"/>
              <w:right w:type="dxa" w:w="100"/>
            </w:tcMar>
            <w:vAlign w:val="center"/>
          </w:tcPr>
          <w:p>
            <w:pPr>
              <w:jc w:val="center"/>
            </w:pPr>
            <w:r>
              <w:rPr>
                <w:sz w:val="20"/>
                <w:szCs w:val="20"/>
              </w:rPr>
              <w:t xml:space="preserve">99.08%</w:t>
            </w:r>
          </w:p>
        </w:tc>
        <w:tc>
          <w:tcPr>
            <w:tcW w:type="dxa" w:w="800"/>
            <w:tcMar>
              <w:top w:type="dxa" w:w="60"/>
              <w:left w:type="dxa" w:w="100"/>
              <w:bottom w:type="dxa" w:w="60"/>
              <w:right w:type="dxa" w:w="100"/>
            </w:tcMar>
            <w:vAlign w:val="center"/>
          </w:tcPr>
          <w:p>
            <w:pPr>
              <w:jc w:val="center"/>
            </w:pPr>
            <w:r>
              <w:rPr>
                <w:sz w:val="20"/>
                <w:szCs w:val="20"/>
              </w:rPr>
              <w:t xml:space="preserve">99.41%</w:t>
            </w:r>
          </w:p>
        </w:tc>
        <w:tc>
          <w:tcPr>
            <w:tcW w:type="dxa" w:w="1000"/>
            <w:tcMar>
              <w:top w:type="dxa" w:w="60"/>
              <w:left w:type="dxa" w:w="100"/>
              <w:bottom w:type="dxa" w:w="60"/>
              <w:right w:type="dxa" w:w="100"/>
            </w:tcMar>
            <w:vAlign w:val="center"/>
          </w:tcPr>
          <w:p>
            <w:pPr>
              <w:jc w:val="center"/>
            </w:pPr>
            <w:r>
              <w:rPr>
                <w:sz w:val="20"/>
                <w:szCs w:val="20"/>
              </w:rPr>
              <w:t xml:space="preserve">99.88%</w:t>
            </w:r>
          </w:p>
        </w:tc>
        <w:tc>
          <w:tcPr>
            <w:tcW w:type="dxa" w:w="800"/>
            <w:tcMar>
              <w:top w:type="dxa" w:w="60"/>
              <w:left w:type="dxa" w:w="100"/>
              <w:bottom w:type="dxa" w:w="60"/>
              <w:right w:type="dxa" w:w="100"/>
            </w:tcMar>
            <w:vAlign w:val="center"/>
          </w:tcPr>
          <w:p>
            <w:pPr>
              <w:jc w:val="center"/>
            </w:pPr>
            <w:r>
              <w:rPr>
                <w:sz w:val="20"/>
                <w:szCs w:val="20"/>
              </w:rPr>
              <w:t xml:space="preserve">3.61%</w:t>
            </w:r>
          </w:p>
        </w:tc>
        <w:tc>
          <w:tcPr>
            <w:tcW w:type="dxa" w:w="1800"/>
            <w:tcMar>
              <w:top w:type="dxa" w:w="60"/>
              <w:left w:type="dxa" w:w="100"/>
              <w:bottom w:type="dxa" w:w="60"/>
              <w:right w:type="dxa" w:w="100"/>
            </w:tcMar>
            <w:vAlign w:val="center"/>
          </w:tcPr>
          <w:p>
            <w:pPr>
              <w:jc w:val="center"/>
            </w:pPr>
            <w:r>
              <w:rPr>
                <w:sz w:val="20"/>
                <w:szCs w:val="20"/>
              </w:rPr>
              <w:t xml:space="preserve">19 / 16,215 (0.12%)</w:t>
            </w:r>
          </w:p>
        </w:tc>
      </w:tr>
      <w:tr>
        <w:tc>
          <w:tcPr>
            <w:tcW w:type="dxa" w:w="2100"/>
            <w:tcMar>
              <w:top w:type="dxa" w:w="60"/>
              <w:left w:type="dxa" w:w="100"/>
              <w:bottom w:type="dxa" w:w="60"/>
              <w:right w:type="dxa" w:w="100"/>
            </w:tcMar>
            <w:vAlign w:val="center"/>
          </w:tcPr>
          <w:p>
            <w:pPr>
              <w:jc w:val="left"/>
            </w:pPr>
            <w:r>
              <w:rPr>
                <w:sz w:val="20"/>
                <w:szCs w:val="20"/>
              </w:rPr>
              <w:t xml:space="preserve">TON_IoT — Dirichlet(0.3)</w:t>
            </w:r>
          </w:p>
        </w:tc>
        <w:tc>
          <w:tcPr>
            <w:tcW w:type="dxa" w:w="2500"/>
            <w:tcMar>
              <w:top w:type="dxa" w:w="60"/>
              <w:left w:type="dxa" w:w="100"/>
              <w:bottom w:type="dxa" w:w="60"/>
              <w:right w:type="dxa" w:w="100"/>
            </w:tcMar>
            <w:vAlign w:val="center"/>
          </w:tcPr>
          <w:p>
            <w:pPr>
              <w:jc w:val="center"/>
            </w:pPr>
            <w:r>
              <w:rPr>
                <w:sz w:val="20"/>
                <w:szCs w:val="20"/>
              </w:rPr>
              <w:t xml:space="preserve">49.9k (0.4%), 62.9k (92.8%), 8.6k (65.5%), 8.4k (8.5%)</w:t>
            </w:r>
          </w:p>
        </w:tc>
        <w:tc>
          <w:tcPr>
            <w:tcW w:type="dxa" w:w="900"/>
            <w:tcMar>
              <w:top w:type="dxa" w:w="60"/>
              <w:left w:type="dxa" w:w="100"/>
              <w:bottom w:type="dxa" w:w="60"/>
              <w:right w:type="dxa" w:w="100"/>
            </w:tcMar>
            <w:vAlign w:val="center"/>
          </w:tcPr>
          <w:p>
            <w:pPr>
              <w:jc w:val="center"/>
            </w:pPr>
            <w:r>
              <w:rPr>
                <w:sz w:val="20"/>
                <w:szCs w:val="20"/>
              </w:rPr>
              <w:t xml:space="preserve">97.81%</w:t>
            </w:r>
          </w:p>
        </w:tc>
        <w:tc>
          <w:tcPr>
            <w:tcW w:type="dxa" w:w="800"/>
            <w:tcMar>
              <w:top w:type="dxa" w:w="60"/>
              <w:left w:type="dxa" w:w="100"/>
              <w:bottom w:type="dxa" w:w="60"/>
              <w:right w:type="dxa" w:w="100"/>
            </w:tcMar>
            <w:vAlign w:val="center"/>
          </w:tcPr>
          <w:p>
            <w:pPr>
              <w:jc w:val="center"/>
            </w:pPr>
            <w:r>
              <w:rPr>
                <w:sz w:val="20"/>
                <w:szCs w:val="20"/>
              </w:rPr>
              <w:t xml:space="preserve">98.60%</w:t>
            </w:r>
          </w:p>
        </w:tc>
        <w:tc>
          <w:tcPr>
            <w:tcW w:type="dxa" w:w="1000"/>
            <w:tcMar>
              <w:top w:type="dxa" w:w="60"/>
              <w:left w:type="dxa" w:w="100"/>
              <w:bottom w:type="dxa" w:w="60"/>
              <w:right w:type="dxa" w:w="100"/>
            </w:tcMar>
            <w:vAlign w:val="center"/>
          </w:tcPr>
          <w:p>
            <w:pPr>
              <w:jc w:val="center"/>
            </w:pPr>
            <w:r>
              <w:rPr>
                <w:sz w:val="20"/>
                <w:szCs w:val="20"/>
              </w:rPr>
              <w:t xml:space="preserve">99.99%</w:t>
            </w:r>
          </w:p>
        </w:tc>
        <w:tc>
          <w:tcPr>
            <w:tcW w:type="dxa" w:w="800"/>
            <w:tcMar>
              <w:top w:type="dxa" w:w="60"/>
              <w:left w:type="dxa" w:w="100"/>
              <w:bottom w:type="dxa" w:w="60"/>
              <w:right w:type="dxa" w:w="100"/>
            </w:tcMar>
            <w:vAlign w:val="center"/>
          </w:tcPr>
          <w:p>
            <w:pPr>
              <w:jc w:val="center"/>
            </w:pPr>
            <w:r>
              <w:rPr>
                <w:sz w:val="20"/>
                <w:szCs w:val="20"/>
              </w:rPr>
              <w:t xml:space="preserve">9.52%</w:t>
            </w:r>
          </w:p>
        </w:tc>
        <w:tc>
          <w:tcPr>
            <w:tcW w:type="dxa" w:w="1800"/>
            <w:tcMar>
              <w:top w:type="dxa" w:w="60"/>
              <w:left w:type="dxa" w:w="100"/>
              <w:bottom w:type="dxa" w:w="60"/>
              <w:right w:type="dxa" w:w="100"/>
            </w:tcMar>
            <w:vAlign w:val="center"/>
          </w:tcPr>
          <w:p>
            <w:pPr>
              <w:jc w:val="center"/>
            </w:pPr>
            <w:r>
              <w:rPr>
                <w:sz w:val="20"/>
                <w:szCs w:val="20"/>
              </w:rPr>
              <w:t xml:space="preserve">1 / 16,215 (0.006%)</w:t>
            </w:r>
          </w:p>
        </w:tc>
      </w:tr>
    </w:tbl>
    <w:p>
      <w:pPr>
        <w:spacing w:after="240" w:before="80"/>
      </w:pPr>
      <w:r>
        <w:rPr>
          <w:i/>
          <w:iCs/>
          <w:sz w:val="20"/>
          <w:szCs w:val="20"/>
        </w:rPr>
        <w:t xml:space="preserve">Table 2. Effect of a Dirichlet(α = 0.3) label partition over four clients (float federated models). Client sizes are training samples after balancing and SMOTE.</w:t>
      </w:r>
    </w:p>
    <w:p>
      <w:pPr>
        <w:spacing w:after="160"/>
      </w:pPr>
      <w:r>
        <w:t xml:space="preserve">The Dirichlet partition is extreme: on CIC-IDS2017 one client holds 73% of the training data and two clients see almost no attacks. Still, FedAvgM with the shared cosine schedule loses only 0.11 F1 on CIC-IDS2017 and 0.81 F1 on TON_IoT, where the Dirichlet model becomes recall-heavy: it misses a single attack, but FAR rises from 3.61% to 9.52%. In the WIP-era runs, the non-IID partition appeared to collapse training (F1 63.5). That collapse was an artifact of the weight-exchange error described in Section 6.2.</w:t>
      </w:r>
    </w:p>
    <w:p>
      <w:pPr>
        <w:pStyle w:val="Heading2"/>
        <w:spacing w:after="140" w:before="260"/>
      </w:pPr>
      <w:r>
        <w:t xml:space="preserve">5.3 Compression Without Pooled Data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300"/>
        <w:gridCol w:w="1200"/>
        <w:gridCol w:w="900"/>
        <w:gridCol w:w="1300"/>
        <w:gridCol w:w="1200"/>
      </w:tblGrid>
      <w:tr>
        <w:trPr>
          <w:tblHeader/>
        </w:trPr>
        <w:tc>
          <w:tcPr>
            <w:tcW w:type="dxa" w:w="3000"/>
            <w:shd w:fill="D9E2F3" w:val="clear"/>
            <w:tcMar>
              <w:top w:type="dxa" w:w="60"/>
              <w:left w:type="dxa" w:w="100"/>
              <w:bottom w:type="dxa" w:w="60"/>
              <w:right w:type="dxa" w:w="100"/>
            </w:tcMar>
            <w:vAlign w:val="center"/>
          </w:tcPr>
          <w:p>
            <w:pPr>
              <w:jc w:val="center"/>
            </w:pPr>
            <w:r>
              <w:rPr>
                <w:b/>
                <w:bCs/>
                <w:sz w:val="20"/>
                <w:szCs w:val="20"/>
              </w:rPr>
              <w:t xml:space="preserve">Variant (from the near-IID federated model)</w:t>
            </w:r>
          </w:p>
        </w:tc>
        <w:tc>
          <w:tcPr>
            <w:tcW w:type="dxa" w:w="900"/>
            <w:shd w:fill="D9E2F3" w:val="clear"/>
            <w:tcMar>
              <w:top w:type="dxa" w:w="60"/>
              <w:left w:type="dxa" w:w="100"/>
              <w:bottom w:type="dxa" w:w="60"/>
              <w:right w:type="dxa" w:w="100"/>
            </w:tcMar>
            <w:vAlign w:val="center"/>
          </w:tcPr>
          <w:p>
            <w:pPr>
              <w:jc w:val="center"/>
            </w:pPr>
            <w:r>
              <w:rPr>
                <w:b/>
                <w:bCs/>
                <w:sz w:val="20"/>
                <w:szCs w:val="20"/>
              </w:rPr>
              <w:t xml:space="preserve">CIC size</w:t>
            </w:r>
          </w:p>
        </w:tc>
        <w:tc>
          <w:tcPr>
            <w:tcW w:type="dxa" w:w="1300"/>
            <w:shd w:fill="D9E2F3" w:val="clear"/>
            <w:tcMar>
              <w:top w:type="dxa" w:w="60"/>
              <w:left w:type="dxa" w:w="100"/>
              <w:bottom w:type="dxa" w:w="60"/>
              <w:right w:type="dxa" w:w="100"/>
            </w:tcMar>
            <w:vAlign w:val="center"/>
          </w:tcPr>
          <w:p>
            <w:pPr>
              <w:jc w:val="center"/>
            </w:pPr>
            <w:r>
              <w:rPr>
                <w:b/>
                <w:bCs/>
                <w:sz w:val="20"/>
                <w:szCs w:val="20"/>
              </w:rPr>
              <w:t xml:space="preserve">CIC F1 / FAR</w:t>
            </w:r>
          </w:p>
        </w:tc>
        <w:tc>
          <w:tcPr>
            <w:tcW w:type="dxa" w:w="1200"/>
            <w:shd w:fill="D9E2F3" w:val="clear"/>
            <w:tcMar>
              <w:top w:type="dxa" w:w="60"/>
              <w:left w:type="dxa" w:w="100"/>
              <w:bottom w:type="dxa" w:w="60"/>
              <w:right w:type="dxa" w:w="100"/>
            </w:tcMar>
            <w:vAlign w:val="center"/>
          </w:tcPr>
          <w:p>
            <w:pPr>
              <w:jc w:val="center"/>
            </w:pPr>
            <w:r>
              <w:rPr>
                <w:b/>
                <w:bCs/>
                <w:sz w:val="20"/>
                <w:szCs w:val="20"/>
              </w:rPr>
              <w:t xml:space="preserve">CIC missed of 85,173</w:t>
            </w:r>
          </w:p>
        </w:tc>
        <w:tc>
          <w:tcPr>
            <w:tcW w:type="dxa" w:w="900"/>
            <w:shd w:fill="D9E2F3" w:val="clear"/>
            <w:tcMar>
              <w:top w:type="dxa" w:w="60"/>
              <w:left w:type="dxa" w:w="100"/>
              <w:bottom w:type="dxa" w:w="60"/>
              <w:right w:type="dxa" w:w="100"/>
            </w:tcMar>
            <w:vAlign w:val="center"/>
          </w:tcPr>
          <w:p>
            <w:pPr>
              <w:jc w:val="center"/>
            </w:pPr>
            <w:r>
              <w:rPr>
                <w:b/>
                <w:bCs/>
                <w:sz w:val="20"/>
                <w:szCs w:val="20"/>
              </w:rPr>
              <w:t xml:space="preserve">TON size</w:t>
            </w:r>
          </w:p>
        </w:tc>
        <w:tc>
          <w:tcPr>
            <w:tcW w:type="dxa" w:w="1300"/>
            <w:shd w:fill="D9E2F3" w:val="clear"/>
            <w:tcMar>
              <w:top w:type="dxa" w:w="60"/>
              <w:left w:type="dxa" w:w="100"/>
              <w:bottom w:type="dxa" w:w="60"/>
              <w:right w:type="dxa" w:w="100"/>
            </w:tcMar>
            <w:vAlign w:val="center"/>
          </w:tcPr>
          <w:p>
            <w:pPr>
              <w:jc w:val="center"/>
            </w:pPr>
            <w:r>
              <w:rPr>
                <w:b/>
                <w:bCs/>
                <w:sz w:val="20"/>
                <w:szCs w:val="20"/>
              </w:rPr>
              <w:t xml:space="preserve">TON F1 / FAR</w:t>
            </w:r>
          </w:p>
        </w:tc>
        <w:tc>
          <w:tcPr>
            <w:tcW w:type="dxa" w:w="1200"/>
            <w:shd w:fill="D9E2F3" w:val="clear"/>
            <w:tcMar>
              <w:top w:type="dxa" w:w="60"/>
              <w:left w:type="dxa" w:w="100"/>
              <w:bottom w:type="dxa" w:w="60"/>
              <w:right w:type="dxa" w:w="100"/>
            </w:tcMar>
            <w:vAlign w:val="center"/>
          </w:tcPr>
          <w:p>
            <w:pPr>
              <w:jc w:val="center"/>
            </w:pPr>
            <w:r>
              <w:rPr>
                <w:b/>
                <w:bCs/>
                <w:sz w:val="20"/>
                <w:szCs w:val="20"/>
              </w:rPr>
              <w:t xml:space="preserve">TON missed of 16,215</w:t>
            </w:r>
          </w:p>
        </w:tc>
      </w:tr>
      <w:tr>
        <w:tc>
          <w:tcPr>
            <w:tcW w:type="dxa" w:w="3000"/>
            <w:tcMar>
              <w:top w:type="dxa" w:w="60"/>
              <w:left w:type="dxa" w:w="100"/>
              <w:bottom w:type="dxa" w:w="60"/>
              <w:right w:type="dxa" w:w="100"/>
            </w:tcMar>
            <w:vAlign w:val="center"/>
          </w:tcPr>
          <w:p>
            <w:pPr>
              <w:jc w:val="left"/>
            </w:pPr>
            <w:r>
              <w:rPr>
                <w:sz w:val="20"/>
                <w:szCs w:val="20"/>
              </w:rPr>
              <w:t xml:space="preserve">FP32 federated model (TFLite)</w:t>
            </w:r>
          </w:p>
        </w:tc>
        <w:tc>
          <w:tcPr>
            <w:tcW w:type="dxa" w:w="900"/>
            <w:tcMar>
              <w:top w:type="dxa" w:w="60"/>
              <w:left w:type="dxa" w:w="100"/>
              <w:bottom w:type="dxa" w:w="60"/>
              <w:right w:type="dxa" w:w="100"/>
            </w:tcMar>
            <w:vAlign w:val="center"/>
          </w:tcPr>
          <w:p>
            <w:pPr>
              <w:jc w:val="center"/>
            </w:pPr>
            <w:r>
              <w:rPr>
                <w:sz w:val="20"/>
                <w:szCs w:val="20"/>
              </w:rPr>
              <w:t xml:space="preserve">802.5 KB</w:t>
            </w:r>
          </w:p>
        </w:tc>
        <w:tc>
          <w:tcPr>
            <w:tcW w:type="dxa" w:w="1300"/>
            <w:tcMar>
              <w:top w:type="dxa" w:w="60"/>
              <w:left w:type="dxa" w:w="100"/>
              <w:bottom w:type="dxa" w:w="60"/>
              <w:right w:type="dxa" w:w="100"/>
            </w:tcMar>
            <w:vAlign w:val="center"/>
          </w:tcPr>
          <w:p>
            <w:pPr>
              <w:jc w:val="center"/>
            </w:pPr>
            <w:r>
              <w:rPr>
                <w:sz w:val="20"/>
                <w:szCs w:val="20"/>
              </w:rPr>
              <w:t xml:space="preserve">85.70 / 6.84%</w:t>
            </w:r>
          </w:p>
        </w:tc>
        <w:tc>
          <w:tcPr>
            <w:tcW w:type="dxa" w:w="1200"/>
            <w:tcMar>
              <w:top w:type="dxa" w:w="60"/>
              <w:left w:type="dxa" w:w="100"/>
              <w:bottom w:type="dxa" w:w="60"/>
              <w:right w:type="dxa" w:w="100"/>
            </w:tcMar>
            <w:vAlign w:val="center"/>
          </w:tcPr>
          <w:p>
            <w:pPr>
              <w:jc w:val="center"/>
            </w:pPr>
            <w:r>
              <w:rPr>
                <w:sz w:val="20"/>
                <w:szCs w:val="20"/>
              </w:rPr>
              <w:t xml:space="preserve">52 (0.061%)</w:t>
            </w:r>
          </w:p>
        </w:tc>
        <w:tc>
          <w:tcPr>
            <w:tcW w:type="dxa" w:w="900"/>
            <w:tcMar>
              <w:top w:type="dxa" w:w="60"/>
              <w:left w:type="dxa" w:w="100"/>
              <w:bottom w:type="dxa" w:w="60"/>
              <w:right w:type="dxa" w:w="100"/>
            </w:tcMar>
            <w:vAlign w:val="center"/>
          </w:tcPr>
          <w:p>
            <w:pPr>
              <w:jc w:val="center"/>
            </w:pPr>
            <w:r>
              <w:rPr>
                <w:sz w:val="20"/>
                <w:szCs w:val="20"/>
              </w:rPr>
              <w:t xml:space="preserve">732.4 KB</w:t>
            </w:r>
          </w:p>
        </w:tc>
        <w:tc>
          <w:tcPr>
            <w:tcW w:type="dxa" w:w="1300"/>
            <w:tcMar>
              <w:top w:type="dxa" w:w="60"/>
              <w:left w:type="dxa" w:w="100"/>
              <w:bottom w:type="dxa" w:w="60"/>
              <w:right w:type="dxa" w:w="100"/>
            </w:tcMar>
            <w:vAlign w:val="center"/>
          </w:tcPr>
          <w:p>
            <w:pPr>
              <w:jc w:val="center"/>
            </w:pPr>
            <w:r>
              <w:rPr>
                <w:sz w:val="20"/>
                <w:szCs w:val="20"/>
              </w:rPr>
              <w:t xml:space="preserve">99.41 / 3.61%</w:t>
            </w:r>
          </w:p>
        </w:tc>
        <w:tc>
          <w:tcPr>
            <w:tcW w:type="dxa" w:w="1200"/>
            <w:tcMar>
              <w:top w:type="dxa" w:w="60"/>
              <w:left w:type="dxa" w:w="100"/>
              <w:bottom w:type="dxa" w:w="60"/>
              <w:right w:type="dxa" w:w="100"/>
            </w:tcMar>
            <w:vAlign w:val="center"/>
          </w:tcPr>
          <w:p>
            <w:pPr>
              <w:jc w:val="center"/>
            </w:pPr>
            <w:r>
              <w:rPr>
                <w:sz w:val="20"/>
                <w:szCs w:val="20"/>
              </w:rPr>
              <w:t xml:space="preserve">19 (0.12%)</w:t>
            </w:r>
          </w:p>
        </w:tc>
      </w:tr>
      <w:tr>
        <w:tc>
          <w:tcPr>
            <w:tcW w:type="dxa" w:w="3000"/>
            <w:tcMar>
              <w:top w:type="dxa" w:w="60"/>
              <w:left w:type="dxa" w:w="100"/>
              <w:bottom w:type="dxa" w:w="60"/>
              <w:right w:type="dxa" w:w="100"/>
            </w:tcMar>
            <w:vAlign w:val="center"/>
          </w:tcPr>
          <w:p>
            <w:pPr>
              <w:jc w:val="left"/>
            </w:pPr>
            <w:r>
              <w:rPr>
                <w:sz w:val="20"/>
                <w:szCs w:val="20"/>
              </w:rPr>
              <w:t xml:space="preserve">INT8 PTQ only (no pruning)</w:t>
            </w:r>
          </w:p>
        </w:tc>
        <w:tc>
          <w:tcPr>
            <w:tcW w:type="dxa" w:w="900"/>
            <w:tcMar>
              <w:top w:type="dxa" w:w="60"/>
              <w:left w:type="dxa" w:w="100"/>
              <w:bottom w:type="dxa" w:w="60"/>
              <w:right w:type="dxa" w:w="100"/>
            </w:tcMar>
            <w:vAlign w:val="center"/>
          </w:tcPr>
          <w:p>
            <w:pPr>
              <w:jc w:val="center"/>
            </w:pPr>
            <w:r>
              <w:rPr>
                <w:sz w:val="20"/>
                <w:szCs w:val="20"/>
              </w:rPr>
              <w:t xml:space="preserve">226.9 KB</w:t>
            </w:r>
          </w:p>
        </w:tc>
        <w:tc>
          <w:tcPr>
            <w:tcW w:type="dxa" w:w="1300"/>
            <w:tcMar>
              <w:top w:type="dxa" w:w="60"/>
              <w:left w:type="dxa" w:w="100"/>
              <w:bottom w:type="dxa" w:w="60"/>
              <w:right w:type="dxa" w:w="100"/>
            </w:tcMar>
            <w:vAlign w:val="center"/>
          </w:tcPr>
          <w:p>
            <w:pPr>
              <w:jc w:val="center"/>
            </w:pPr>
            <w:r>
              <w:rPr>
                <w:sz w:val="20"/>
                <w:szCs w:val="20"/>
              </w:rPr>
              <w:t xml:space="preserve">84.75 / 7.37%</w:t>
            </w:r>
          </w:p>
        </w:tc>
        <w:tc>
          <w:tcPr>
            <w:tcW w:type="dxa" w:w="1200"/>
            <w:tcMar>
              <w:top w:type="dxa" w:w="60"/>
              <w:left w:type="dxa" w:w="100"/>
              <w:bottom w:type="dxa" w:w="60"/>
              <w:right w:type="dxa" w:w="100"/>
            </w:tcMar>
            <w:vAlign w:val="center"/>
          </w:tcPr>
          <w:p>
            <w:pPr>
              <w:jc w:val="center"/>
            </w:pPr>
            <w:r>
              <w:rPr>
                <w:sz w:val="20"/>
                <w:szCs w:val="20"/>
              </w:rPr>
              <w:t xml:space="preserve">74 (0.087%)</w:t>
            </w:r>
          </w:p>
        </w:tc>
        <w:tc>
          <w:tcPr>
            <w:tcW w:type="dxa" w:w="900"/>
            <w:tcMar>
              <w:top w:type="dxa" w:w="60"/>
              <w:left w:type="dxa" w:w="100"/>
              <w:bottom w:type="dxa" w:w="60"/>
              <w:right w:type="dxa" w:w="100"/>
            </w:tcMar>
            <w:vAlign w:val="center"/>
          </w:tcPr>
          <w:p>
            <w:pPr>
              <w:jc w:val="center"/>
            </w:pPr>
            <w:r>
              <w:rPr>
                <w:sz w:val="20"/>
                <w:szCs w:val="20"/>
              </w:rPr>
              <w:t xml:space="preserve">209.4 KB</w:t>
            </w:r>
          </w:p>
        </w:tc>
        <w:tc>
          <w:tcPr>
            <w:tcW w:type="dxa" w:w="1300"/>
            <w:tcMar>
              <w:top w:type="dxa" w:w="60"/>
              <w:left w:type="dxa" w:w="100"/>
              <w:bottom w:type="dxa" w:w="60"/>
              <w:right w:type="dxa" w:w="100"/>
            </w:tcMar>
            <w:vAlign w:val="center"/>
          </w:tcPr>
          <w:p>
            <w:pPr>
              <w:jc w:val="center"/>
            </w:pPr>
            <w:r>
              <w:rPr>
                <w:sz w:val="20"/>
                <w:szCs w:val="20"/>
              </w:rPr>
              <w:t xml:space="preserve">98.96 / 3.86%</w:t>
            </w:r>
          </w:p>
        </w:tc>
        <w:tc>
          <w:tcPr>
            <w:tcW w:type="dxa" w:w="1200"/>
            <w:tcMar>
              <w:top w:type="dxa" w:w="60"/>
              <w:left w:type="dxa" w:w="100"/>
              <w:bottom w:type="dxa" w:w="60"/>
              <w:right w:type="dxa" w:w="100"/>
            </w:tcMar>
            <w:vAlign w:val="center"/>
          </w:tcPr>
          <w:p>
            <w:pPr>
              <w:jc w:val="center"/>
            </w:pPr>
            <w:r>
              <w:rPr>
                <w:sz w:val="20"/>
                <w:szCs w:val="20"/>
              </w:rPr>
              <w:t xml:space="preserve">153 (0.94%)</w:t>
            </w:r>
          </w:p>
        </w:tc>
      </w:tr>
      <w:tr>
        <w:tc>
          <w:tcPr>
            <w:tcW w:type="dxa" w:w="3000"/>
            <w:tcMar>
              <w:top w:type="dxa" w:w="60"/>
              <w:left w:type="dxa" w:w="100"/>
              <w:bottom w:type="dxa" w:w="60"/>
              <w:right w:type="dxa" w:w="100"/>
            </w:tcMar>
            <w:vAlign w:val="center"/>
          </w:tcPr>
          <w:p>
            <w:pPr>
              <w:jc w:val="left"/>
            </w:pPr>
            <w:r>
              <w:rPr>
                <w:sz w:val="20"/>
                <w:szCs w:val="20"/>
              </w:rPr>
              <w:t xml:space="preserve">Prune 50%, no fine-tuning → PTQ</w:t>
            </w:r>
          </w:p>
        </w:tc>
        <w:tc>
          <w:tcPr>
            <w:tcW w:type="dxa" w:w="900"/>
            <w:tcMar>
              <w:top w:type="dxa" w:w="60"/>
              <w:left w:type="dxa" w:w="100"/>
              <w:bottom w:type="dxa" w:w="60"/>
              <w:right w:type="dxa" w:w="100"/>
            </w:tcMar>
            <w:vAlign w:val="center"/>
          </w:tcPr>
          <w:p>
            <w:pPr>
              <w:jc w:val="center"/>
            </w:pPr>
            <w:r>
              <w:rPr>
                <w:sz w:val="20"/>
                <w:szCs w:val="20"/>
              </w:rPr>
              <w:t xml:space="preserve">75.1 KB</w:t>
            </w:r>
          </w:p>
        </w:tc>
        <w:tc>
          <w:tcPr>
            <w:tcW w:type="dxa" w:w="1300"/>
            <w:tcMar>
              <w:top w:type="dxa" w:w="60"/>
              <w:left w:type="dxa" w:w="100"/>
              <w:bottom w:type="dxa" w:w="60"/>
              <w:right w:type="dxa" w:w="100"/>
            </w:tcMar>
            <w:vAlign w:val="center"/>
          </w:tcPr>
          <w:p>
            <w:pPr>
              <w:jc w:val="center"/>
            </w:pPr>
            <w:r>
              <w:rPr>
                <w:sz w:val="20"/>
                <w:szCs w:val="20"/>
              </w:rPr>
              <w:t xml:space="preserve">42.28 / 56.04%</w:t>
            </w:r>
          </w:p>
        </w:tc>
        <w:tc>
          <w:tcPr>
            <w:tcW w:type="dxa" w:w="1200"/>
            <w:tcMar>
              <w:top w:type="dxa" w:w="60"/>
              <w:left w:type="dxa" w:w="100"/>
              <w:bottom w:type="dxa" w:w="60"/>
              <w:right w:type="dxa" w:w="100"/>
            </w:tcMar>
            <w:vAlign w:val="center"/>
          </w:tcPr>
          <w:p>
            <w:pPr>
              <w:jc w:val="center"/>
            </w:pPr>
            <w:r>
              <w:rPr>
                <w:sz w:val="20"/>
                <w:szCs w:val="20"/>
              </w:rPr>
              <w:t xml:space="preserve">46 (0.054%)</w:t>
            </w:r>
          </w:p>
        </w:tc>
        <w:tc>
          <w:tcPr>
            <w:tcW w:type="dxa" w:w="900"/>
            <w:tcMar>
              <w:top w:type="dxa" w:w="60"/>
              <w:left w:type="dxa" w:w="100"/>
              <w:bottom w:type="dxa" w:w="60"/>
              <w:right w:type="dxa" w:w="100"/>
            </w:tcMar>
            <w:vAlign w:val="center"/>
          </w:tcPr>
          <w:p>
            <w:pPr>
              <w:jc w:val="center"/>
            </w:pPr>
            <w:r>
              <w:rPr>
                <w:sz w:val="20"/>
                <w:szCs w:val="20"/>
              </w:rPr>
              <w:t xml:space="preserve">66.3 KB</w:t>
            </w:r>
          </w:p>
        </w:tc>
        <w:tc>
          <w:tcPr>
            <w:tcW w:type="dxa" w:w="1300"/>
            <w:tcMar>
              <w:top w:type="dxa" w:w="60"/>
              <w:left w:type="dxa" w:w="100"/>
              <w:bottom w:type="dxa" w:w="60"/>
              <w:right w:type="dxa" w:w="100"/>
            </w:tcMar>
            <w:vAlign w:val="center"/>
          </w:tcPr>
          <w:p>
            <w:pPr>
              <w:jc w:val="center"/>
            </w:pPr>
            <w:r>
              <w:rPr>
                <w:sz w:val="20"/>
                <w:szCs w:val="20"/>
              </w:rPr>
              <w:t xml:space="preserve">95.30 / 30.20%</w:t>
            </w:r>
          </w:p>
        </w:tc>
        <w:tc>
          <w:tcPr>
            <w:tcW w:type="dxa" w:w="1200"/>
            <w:tcMar>
              <w:top w:type="dxa" w:w="60"/>
              <w:left w:type="dxa" w:w="100"/>
              <w:bottom w:type="dxa" w:w="60"/>
              <w:right w:type="dxa" w:w="100"/>
            </w:tcMar>
            <w:vAlign w:val="center"/>
          </w:tcPr>
          <w:p>
            <w:pPr>
              <w:jc w:val="center"/>
            </w:pPr>
            <w:r>
              <w:rPr>
                <w:sz w:val="20"/>
                <w:szCs w:val="20"/>
              </w:rPr>
              <w:t xml:space="preserve">129 (0.80%)</w:t>
            </w:r>
          </w:p>
        </w:tc>
      </w:tr>
      <w:tr>
        <w:tc>
          <w:tcPr>
            <w:tcW w:type="dxa" w:w="3000"/>
            <w:tcMar>
              <w:top w:type="dxa" w:w="60"/>
              <w:left w:type="dxa" w:w="100"/>
              <w:bottom w:type="dxa" w:w="60"/>
              <w:right w:type="dxa" w:w="100"/>
            </w:tcMar>
            <w:vAlign w:val="center"/>
          </w:tcPr>
          <w:p>
            <w:pPr>
              <w:jc w:val="left"/>
            </w:pPr>
            <w:r>
              <w:rPr>
                <w:sz w:val="20"/>
                <w:szCs w:val="20"/>
              </w:rPr>
              <w:t xml:space="preserve">Prune 50% → client FT → PTQ</w:t>
            </w:r>
          </w:p>
        </w:tc>
        <w:tc>
          <w:tcPr>
            <w:tcW w:type="dxa" w:w="900"/>
            <w:tcMar>
              <w:top w:type="dxa" w:w="60"/>
              <w:left w:type="dxa" w:w="100"/>
              <w:bottom w:type="dxa" w:w="60"/>
              <w:right w:type="dxa" w:w="100"/>
            </w:tcMar>
            <w:vAlign w:val="center"/>
          </w:tcPr>
          <w:p>
            <w:pPr>
              <w:jc w:val="center"/>
            </w:pPr>
            <w:r>
              <w:rPr>
                <w:sz w:val="20"/>
                <w:szCs w:val="20"/>
              </w:rPr>
              <w:t xml:space="preserve">75.1 KB</w:t>
            </w:r>
          </w:p>
        </w:tc>
        <w:tc>
          <w:tcPr>
            <w:tcW w:type="dxa" w:w="1300"/>
            <w:tcMar>
              <w:top w:type="dxa" w:w="60"/>
              <w:left w:type="dxa" w:w="100"/>
              <w:bottom w:type="dxa" w:w="60"/>
              <w:right w:type="dxa" w:w="100"/>
            </w:tcMar>
            <w:vAlign w:val="center"/>
          </w:tcPr>
          <w:p>
            <w:pPr>
              <w:jc w:val="center"/>
            </w:pPr>
            <w:r>
              <w:rPr>
                <w:sz w:val="20"/>
                <w:szCs w:val="20"/>
              </w:rPr>
              <w:t xml:space="preserve">86.90 / 6.08%</w:t>
            </w:r>
          </w:p>
        </w:tc>
        <w:tc>
          <w:tcPr>
            <w:tcW w:type="dxa" w:w="1200"/>
            <w:tcMar>
              <w:top w:type="dxa" w:w="60"/>
              <w:left w:type="dxa" w:w="100"/>
              <w:bottom w:type="dxa" w:w="60"/>
              <w:right w:type="dxa" w:w="100"/>
            </w:tcMar>
            <w:vAlign w:val="center"/>
          </w:tcPr>
          <w:p>
            <w:pPr>
              <w:jc w:val="center"/>
            </w:pPr>
            <w:r>
              <w:rPr>
                <w:sz w:val="20"/>
                <w:szCs w:val="20"/>
              </w:rPr>
              <w:t xml:space="preserve">346 (0.41%)</w:t>
            </w:r>
          </w:p>
        </w:tc>
        <w:tc>
          <w:tcPr>
            <w:tcW w:type="dxa" w:w="900"/>
            <w:tcMar>
              <w:top w:type="dxa" w:w="60"/>
              <w:left w:type="dxa" w:w="100"/>
              <w:bottom w:type="dxa" w:w="60"/>
              <w:right w:type="dxa" w:w="100"/>
            </w:tcMar>
            <w:vAlign w:val="center"/>
          </w:tcPr>
          <w:p>
            <w:pPr>
              <w:jc w:val="center"/>
            </w:pPr>
            <w:r>
              <w:rPr>
                <w:sz w:val="20"/>
                <w:szCs w:val="20"/>
              </w:rPr>
              <w:t xml:space="preserve">66.3 KB</w:t>
            </w:r>
          </w:p>
        </w:tc>
        <w:tc>
          <w:tcPr>
            <w:tcW w:type="dxa" w:w="1300"/>
            <w:tcMar>
              <w:top w:type="dxa" w:w="60"/>
              <w:left w:type="dxa" w:w="100"/>
              <w:bottom w:type="dxa" w:w="60"/>
              <w:right w:type="dxa" w:w="100"/>
            </w:tcMar>
            <w:vAlign w:val="center"/>
          </w:tcPr>
          <w:p>
            <w:pPr>
              <w:jc w:val="center"/>
            </w:pPr>
            <w:r>
              <w:rPr>
                <w:sz w:val="20"/>
                <w:szCs w:val="20"/>
              </w:rPr>
              <w:t xml:space="preserve">90.20 / 13.23%</w:t>
            </w:r>
          </w:p>
        </w:tc>
        <w:tc>
          <w:tcPr>
            <w:tcW w:type="dxa" w:w="1200"/>
            <w:tcMar>
              <w:top w:type="dxa" w:w="60"/>
              <w:left w:type="dxa" w:w="100"/>
              <w:bottom w:type="dxa" w:w="60"/>
              <w:right w:type="dxa" w:w="100"/>
            </w:tcMar>
            <w:vAlign w:val="center"/>
          </w:tcPr>
          <w:p>
            <w:pPr>
              <w:jc w:val="center"/>
            </w:pPr>
            <w:r>
              <w:rPr>
                <w:sz w:val="20"/>
                <w:szCs w:val="20"/>
              </w:rPr>
              <w:t xml:space="preserve">2,369 (14.61%)</w:t>
            </w:r>
          </w:p>
        </w:tc>
      </w:tr>
      <w:tr>
        <w:tc>
          <w:tcPr>
            <w:tcW w:type="dxa" w:w="3000"/>
            <w:tcMar>
              <w:top w:type="dxa" w:w="60"/>
              <w:left w:type="dxa" w:w="100"/>
              <w:bottom w:type="dxa" w:w="60"/>
              <w:right w:type="dxa" w:w="100"/>
            </w:tcMar>
            <w:vAlign w:val="center"/>
          </w:tcPr>
          <w:p>
            <w:pPr>
              <w:jc w:val="left"/>
            </w:pPr>
            <w:r>
              <w:rPr>
                <w:sz w:val="20"/>
                <w:szCs w:val="20"/>
              </w:rPr>
              <w:t xml:space="preserve">Prune 50% → client FT → QAT FT → INT8 (base recipe)</w:t>
            </w:r>
          </w:p>
        </w:tc>
        <w:tc>
          <w:tcPr>
            <w:tcW w:type="dxa" w:w="900"/>
            <w:tcMar>
              <w:top w:type="dxa" w:w="60"/>
              <w:left w:type="dxa" w:w="100"/>
              <w:bottom w:type="dxa" w:w="60"/>
              <w:right w:type="dxa" w:w="100"/>
            </w:tcMar>
            <w:vAlign w:val="center"/>
          </w:tcPr>
          <w:p>
            <w:pPr>
              <w:jc w:val="center"/>
            </w:pPr>
            <w:r>
              <w:rPr>
                <w:sz w:val="20"/>
                <w:szCs w:val="20"/>
              </w:rPr>
              <w:t xml:space="preserve">65.4 KB</w:t>
            </w:r>
          </w:p>
        </w:tc>
        <w:tc>
          <w:tcPr>
            <w:tcW w:type="dxa" w:w="1300"/>
            <w:tcMar>
              <w:top w:type="dxa" w:w="60"/>
              <w:left w:type="dxa" w:w="100"/>
              <w:bottom w:type="dxa" w:w="60"/>
              <w:right w:type="dxa" w:w="100"/>
            </w:tcMar>
            <w:vAlign w:val="center"/>
          </w:tcPr>
          <w:p>
            <w:pPr>
              <w:jc w:val="center"/>
            </w:pPr>
            <w:r>
              <w:rPr>
                <w:sz w:val="20"/>
                <w:szCs w:val="20"/>
              </w:rPr>
              <w:t xml:space="preserve">85.59 / 6.82%</w:t>
            </w:r>
          </w:p>
        </w:tc>
        <w:tc>
          <w:tcPr>
            <w:tcW w:type="dxa" w:w="1200"/>
            <w:tcMar>
              <w:top w:type="dxa" w:w="60"/>
              <w:left w:type="dxa" w:w="100"/>
              <w:bottom w:type="dxa" w:w="60"/>
              <w:right w:type="dxa" w:w="100"/>
            </w:tcMar>
            <w:vAlign w:val="center"/>
          </w:tcPr>
          <w:p>
            <w:pPr>
              <w:jc w:val="center"/>
            </w:pPr>
            <w:r>
              <w:rPr>
                <w:sz w:val="20"/>
                <w:szCs w:val="20"/>
              </w:rPr>
              <w:t xml:space="preserve">291 (0.34%)</w:t>
            </w:r>
          </w:p>
        </w:tc>
        <w:tc>
          <w:tcPr>
            <w:tcW w:type="dxa" w:w="900"/>
            <w:tcMar>
              <w:top w:type="dxa" w:w="60"/>
              <w:left w:type="dxa" w:w="100"/>
              <w:bottom w:type="dxa" w:w="60"/>
              <w:right w:type="dxa" w:w="100"/>
            </w:tcMar>
            <w:vAlign w:val="center"/>
          </w:tcPr>
          <w:p>
            <w:pPr>
              <w:jc w:val="center"/>
            </w:pPr>
            <w:r>
              <w:rPr>
                <w:sz w:val="20"/>
                <w:szCs w:val="20"/>
              </w:rPr>
              <w:t xml:space="preserve">56.7 KB</w:t>
            </w:r>
          </w:p>
        </w:tc>
        <w:tc>
          <w:tcPr>
            <w:tcW w:type="dxa" w:w="1300"/>
            <w:tcMar>
              <w:top w:type="dxa" w:w="60"/>
              <w:left w:type="dxa" w:w="100"/>
              <w:bottom w:type="dxa" w:w="60"/>
              <w:right w:type="dxa" w:w="100"/>
            </w:tcMar>
            <w:vAlign w:val="center"/>
          </w:tcPr>
          <w:p>
            <w:pPr>
              <w:jc w:val="center"/>
            </w:pPr>
            <w:r>
              <w:rPr>
                <w:sz w:val="20"/>
                <w:szCs w:val="20"/>
              </w:rPr>
              <w:t xml:space="preserve">98.67 / 2.26%</w:t>
            </w:r>
          </w:p>
        </w:tc>
        <w:tc>
          <w:tcPr>
            <w:tcW w:type="dxa" w:w="1200"/>
            <w:tcMar>
              <w:top w:type="dxa" w:w="60"/>
              <w:left w:type="dxa" w:w="100"/>
              <w:bottom w:type="dxa" w:w="60"/>
              <w:right w:type="dxa" w:w="100"/>
            </w:tcMar>
            <w:vAlign w:val="center"/>
          </w:tcPr>
          <w:p>
            <w:pPr>
              <w:jc w:val="center"/>
            </w:pPr>
            <w:r>
              <w:rPr>
                <w:sz w:val="20"/>
                <w:szCs w:val="20"/>
              </w:rPr>
              <w:t xml:space="preserve">319 (1.97%)</w:t>
            </w:r>
          </w:p>
        </w:tc>
      </w:tr>
      <w:tr>
        <w:tc>
          <w:tcPr>
            <w:tcW w:type="dxa" w:w="3000"/>
            <w:tcMar>
              <w:top w:type="dxa" w:w="60"/>
              <w:left w:type="dxa" w:w="100"/>
              <w:bottom w:type="dxa" w:w="60"/>
              <w:right w:type="dxa" w:w="100"/>
            </w:tcMar>
            <w:vAlign w:val="center"/>
          </w:tcPr>
          <w:p>
            <w:pPr>
              <w:jc w:val="left"/>
            </w:pPr>
            <w:r>
              <w:rPr>
                <w:sz w:val="20"/>
                <w:szCs w:val="20"/>
              </w:rPr>
              <w:t xml:space="preserve">Same, but fine-tuned on pooled data (upper bound)</w:t>
            </w:r>
          </w:p>
        </w:tc>
        <w:tc>
          <w:tcPr>
            <w:tcW w:type="dxa" w:w="900"/>
            <w:tcMar>
              <w:top w:type="dxa" w:w="60"/>
              <w:left w:type="dxa" w:w="100"/>
              <w:bottom w:type="dxa" w:w="60"/>
              <w:right w:type="dxa" w:w="100"/>
            </w:tcMar>
            <w:vAlign w:val="center"/>
          </w:tcPr>
          <w:p>
            <w:pPr>
              <w:jc w:val="center"/>
            </w:pPr>
            <w:r>
              <w:rPr>
                <w:sz w:val="20"/>
                <w:szCs w:val="20"/>
              </w:rPr>
              <w:t xml:space="preserve">65.4 KB</w:t>
            </w:r>
          </w:p>
        </w:tc>
        <w:tc>
          <w:tcPr>
            <w:tcW w:type="dxa" w:w="1300"/>
            <w:tcMar>
              <w:top w:type="dxa" w:w="60"/>
              <w:left w:type="dxa" w:w="100"/>
              <w:bottom w:type="dxa" w:w="60"/>
              <w:right w:type="dxa" w:w="100"/>
            </w:tcMar>
            <w:vAlign w:val="center"/>
          </w:tcPr>
          <w:p>
            <w:pPr>
              <w:jc w:val="center"/>
            </w:pPr>
            <w:r>
              <w:rPr>
                <w:sz w:val="20"/>
                <w:szCs w:val="20"/>
              </w:rPr>
              <w:t xml:space="preserve">90.72 / 2.98%</w:t>
            </w:r>
          </w:p>
        </w:tc>
        <w:tc>
          <w:tcPr>
            <w:tcW w:type="dxa" w:w="1200"/>
            <w:tcMar>
              <w:top w:type="dxa" w:w="60"/>
              <w:left w:type="dxa" w:w="100"/>
              <w:bottom w:type="dxa" w:w="60"/>
              <w:right w:type="dxa" w:w="100"/>
            </w:tcMar>
            <w:vAlign w:val="center"/>
          </w:tcPr>
          <w:p>
            <w:pPr>
              <w:jc w:val="center"/>
            </w:pPr>
            <w:r>
              <w:rPr>
                <w:sz w:val="20"/>
                <w:szCs w:val="20"/>
              </w:rPr>
              <w:t xml:space="preserve">4,216 (4.95%)</w:t>
            </w:r>
          </w:p>
        </w:tc>
        <w:tc>
          <w:tcPr>
            <w:tcW w:type="dxa" w:w="900"/>
            <w:tcMar>
              <w:top w:type="dxa" w:w="60"/>
              <w:left w:type="dxa" w:w="100"/>
              <w:bottom w:type="dxa" w:w="60"/>
              <w:right w:type="dxa" w:w="100"/>
            </w:tcMar>
            <w:vAlign w:val="center"/>
          </w:tcPr>
          <w:p>
            <w:pPr>
              <w:jc w:val="center"/>
            </w:pPr>
            <w:r>
              <w:rPr>
                <w:sz w:val="20"/>
                <w:szCs w:val="20"/>
              </w:rPr>
              <w:t xml:space="preserve">56.7 KB</w:t>
            </w:r>
          </w:p>
        </w:tc>
        <w:tc>
          <w:tcPr>
            <w:tcW w:type="dxa" w:w="1300"/>
            <w:tcMar>
              <w:top w:type="dxa" w:w="60"/>
              <w:left w:type="dxa" w:w="100"/>
              <w:bottom w:type="dxa" w:w="60"/>
              <w:right w:type="dxa" w:w="100"/>
            </w:tcMar>
            <w:vAlign w:val="center"/>
          </w:tcPr>
          <w:p>
            <w:pPr>
              <w:jc w:val="center"/>
            </w:pPr>
            <w:r>
              <w:rPr>
                <w:sz w:val="20"/>
                <w:szCs w:val="20"/>
              </w:rPr>
              <w:t xml:space="preserve">99.16 / 3.48%</w:t>
            </w:r>
          </w:p>
        </w:tc>
        <w:tc>
          <w:tcPr>
            <w:tcW w:type="dxa" w:w="1200"/>
            <w:tcMar>
              <w:top w:type="dxa" w:w="60"/>
              <w:left w:type="dxa" w:w="100"/>
              <w:bottom w:type="dxa" w:w="60"/>
              <w:right w:type="dxa" w:w="100"/>
            </w:tcMar>
            <w:vAlign w:val="center"/>
          </w:tcPr>
          <w:p>
            <w:pPr>
              <w:jc w:val="center"/>
            </w:pPr>
            <w:r>
              <w:rPr>
                <w:sz w:val="20"/>
                <w:szCs w:val="20"/>
              </w:rPr>
              <w:t xml:space="preserve">105 (0.65%)</w:t>
            </w:r>
          </w:p>
        </w:tc>
      </w:tr>
    </w:tbl>
    <w:p>
      <w:pPr>
        <w:spacing w:after="240" w:before="80"/>
      </w:pPr>
      <w:r>
        <w:rPr>
          <w:i/>
          <w:iCs/>
          <w:sz w:val="20"/>
          <w:szCs w:val="20"/>
        </w:rPr>
        <w:t xml:space="preserve">Table 3. Compression of the federated model. "Client FT" uses 10,000 samples from one participating client's own partition (client 0); "pooled" uses 10,000 pooled training samples and is not available in a real federated deployment. The two rows without fine-tuning calibrate INT8 on 500 pooled samples (one draw; Section 5.9 shows how much full-integer PTQ varies across calibration draws).</w:t>
      </w:r>
    </w:p>
    <w:p>
      <w:pPr>
        <w:spacing w:after="160"/>
      </w:pPr>
      <w:r>
        <w:t xml:space="preserve">INT8 PTQ alone gives 3.5× at a cost of about one F1 point on both datasets for the calibration draw used here, but that cost varies widely from draw to draw (Section 5.9). Pruning half of each hidden layer gives a further 3.5×, but only if the pruned model is fine-tuned. Without fine-tuning, the pruned model breaks down (F1 42.28 on CIC-IDS2017, FAR 30% on TON_IoT). With fine-tuning and QAT fine-tuning on one client's local data, the resulting INT8 model is 65.4 KB on CIC-IDS2017 (802.5 / 65.4 = 12.27×) and 56.7 KB on TON_IoT (12.92×), and it stays close to the float federated model (F1 85.59 vs. 85.70 and 98.67 vs. 99.41). This CIC-IDS2017 model has 94.28% accuracy, 75.00% precision, and 99.66% Attack Recall. The QAT fine-tuning step matters on TON_IoT, where client-fine-tuned PTQ reaches only F1 90.20.</w:t>
      </w:r>
    </w:p>
    <w:p>
      <w:pPr>
        <w:spacing w:after="160"/>
      </w:pPr>
      <w:r>
        <w:t xml:space="preserve">Pooled fine-tuning scores higher on CIC-IDS2017 (F1 90.72), but only by shifting the operating point toward precision (FAR 2.98%): it misses 4,216 of 85,173 attacks (4.95%), against 291 for the client-fine-tuned model. The pooled sample's 20% attack share is closer to the test distribution than client 0's 50%. We treat this as an upper bound that requires server-held data, not as a federated result.</w:t>
      </w:r>
    </w:p>
    <w:p>
      <w:pPr>
        <w:pStyle w:val="Heading2"/>
        <w:spacing w:after="140" w:before="260"/>
      </w:pPr>
      <w:r>
        <w:t xml:space="preserve">5.4 Which Client Fine-Tunes Matters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1200"/>
        <w:gridCol w:w="900"/>
        <w:gridCol w:w="2000"/>
      </w:tblGrid>
      <w:tr>
        <w:trPr>
          <w:tblHeader/>
        </w:trPr>
        <w:tc>
          <w:tcPr>
            <w:tcW w:type="dxa" w:w="2900"/>
            <w:shd w:fill="D9E2F3" w:val="clear"/>
            <w:tcMar>
              <w:top w:type="dxa" w:w="60"/>
              <w:left w:type="dxa" w:w="100"/>
              <w:bottom w:type="dxa" w:w="60"/>
              <w:right w:type="dxa" w:w="100"/>
            </w:tcMar>
            <w:vAlign w:val="center"/>
          </w:tcPr>
          <w:p>
            <w:pPr>
              <w:jc w:val="center"/>
            </w:pPr>
            <w:r>
              <w:rPr>
                <w:b/>
                <w:bCs/>
                <w:sz w:val="20"/>
                <w:szCs w:val="20"/>
              </w:rPr>
              <w:t xml:space="preserve">Federated model</w:t>
            </w:r>
          </w:p>
        </w:tc>
        <w:tc>
          <w:tcPr>
            <w:tcW w:type="dxa" w:w="2300"/>
            <w:shd w:fill="D9E2F3" w:val="clear"/>
            <w:tcMar>
              <w:top w:type="dxa" w:w="60"/>
              <w:left w:type="dxa" w:w="100"/>
              <w:bottom w:type="dxa" w:w="60"/>
              <w:right w:type="dxa" w:w="100"/>
            </w:tcMar>
            <w:vAlign w:val="center"/>
          </w:tcPr>
          <w:p>
            <w:pPr>
              <w:jc w:val="center"/>
            </w:pPr>
            <w:r>
              <w:rPr>
                <w:b/>
                <w:bCs/>
                <w:sz w:val="20"/>
                <w:szCs w:val="20"/>
              </w:rPr>
              <w:t xml:space="preserve">Fine-tuning client (attack share)</w:t>
            </w:r>
          </w:p>
        </w:tc>
        <w:tc>
          <w:tcPr>
            <w:tcW w:type="dxa" w:w="1200"/>
            <w:shd w:fill="D9E2F3" w:val="clear"/>
            <w:tcMar>
              <w:top w:type="dxa" w:w="60"/>
              <w:left w:type="dxa" w:w="100"/>
              <w:bottom w:type="dxa" w:w="60"/>
              <w:right w:type="dxa" w:w="100"/>
            </w:tcMar>
            <w:vAlign w:val="center"/>
          </w:tcPr>
          <w:p>
            <w:pPr>
              <w:jc w:val="center"/>
            </w:pPr>
            <w:r>
              <w:rPr>
                <w:b/>
                <w:bCs/>
                <w:sz w:val="20"/>
                <w:szCs w:val="20"/>
              </w:rPr>
              <w:t xml:space="preserve">INT8 F1 (base recipe)</w:t>
            </w:r>
          </w:p>
        </w:tc>
        <w:tc>
          <w:tcPr>
            <w:tcW w:type="dxa" w:w="900"/>
            <w:shd w:fill="D9E2F3" w:val="clear"/>
            <w:tcMar>
              <w:top w:type="dxa" w:w="60"/>
              <w:left w:type="dxa" w:w="100"/>
              <w:bottom w:type="dxa" w:w="60"/>
              <w:right w:type="dxa" w:w="100"/>
            </w:tcMar>
            <w:vAlign w:val="center"/>
          </w:tcPr>
          <w:p>
            <w:pPr>
              <w:jc w:val="center"/>
            </w:pPr>
            <w:r>
              <w:rPr>
                <w:b/>
                <w:bCs/>
                <w:sz w:val="20"/>
                <w:szCs w:val="20"/>
              </w:rPr>
              <w:t xml:space="preserve">FAR</w:t>
            </w:r>
          </w:p>
        </w:tc>
        <w:tc>
          <w:tcPr>
            <w:tcW w:type="dxa" w:w="2000"/>
            <w:shd w:fill="D9E2F3" w:val="clear"/>
            <w:tcMar>
              <w:top w:type="dxa" w:w="60"/>
              <w:left w:type="dxa" w:w="100"/>
              <w:bottom w:type="dxa" w:w="60"/>
              <w:right w:type="dxa" w:w="100"/>
            </w:tcMar>
            <w:vAlign w:val="center"/>
          </w:tcPr>
          <w:p>
            <w:pPr>
              <w:jc w:val="center"/>
            </w:pPr>
            <w:r>
              <w:rPr>
                <w:b/>
                <w:bCs/>
                <w:sz w:val="20"/>
                <w:szCs w:val="20"/>
              </w:rPr>
              <w:t xml:space="preserve">Missed attacks / all</w:t>
            </w:r>
          </w:p>
        </w:tc>
      </w:tr>
      <w:tr>
        <w:tc>
          <w:tcPr>
            <w:tcW w:type="dxa" w:w="2900"/>
            <w:tcMar>
              <w:top w:type="dxa" w:w="60"/>
              <w:left w:type="dxa" w:w="100"/>
              <w:bottom w:type="dxa" w:w="60"/>
              <w:right w:type="dxa" w:w="100"/>
            </w:tcMar>
            <w:vAlign w:val="center"/>
          </w:tcPr>
          <w:p>
            <w:pPr>
              <w:jc w:val="left"/>
            </w:pPr>
            <w:r>
              <w:rPr>
                <w:sz w:val="20"/>
                <w:szCs w:val="20"/>
              </w:rPr>
              <w:t xml:space="preserve">CIC-IDS2017 near-IID</w:t>
            </w:r>
          </w:p>
        </w:tc>
        <w:tc>
          <w:tcPr>
            <w:tcW w:type="dxa" w:w="2300"/>
            <w:tcMar>
              <w:top w:type="dxa" w:w="60"/>
              <w:left w:type="dxa" w:w="100"/>
              <w:bottom w:type="dxa" w:w="60"/>
              <w:right w:type="dxa" w:w="100"/>
            </w:tcMar>
            <w:vAlign w:val="center"/>
          </w:tcPr>
          <w:p>
            <w:pPr>
              <w:jc w:val="center"/>
            </w:pPr>
            <w:r>
              <w:rPr>
                <w:sz w:val="20"/>
                <w:szCs w:val="20"/>
              </w:rPr>
              <w:t xml:space="preserve">client 0 (50.4%)</w:t>
            </w:r>
          </w:p>
        </w:tc>
        <w:tc>
          <w:tcPr>
            <w:tcW w:type="dxa" w:w="1200"/>
            <w:tcMar>
              <w:top w:type="dxa" w:w="60"/>
              <w:left w:type="dxa" w:w="100"/>
              <w:bottom w:type="dxa" w:w="60"/>
              <w:right w:type="dxa" w:w="100"/>
            </w:tcMar>
            <w:vAlign w:val="center"/>
          </w:tcPr>
          <w:p>
            <w:pPr>
              <w:jc w:val="center"/>
            </w:pPr>
            <w:r>
              <w:rPr>
                <w:sz w:val="20"/>
                <w:szCs w:val="20"/>
              </w:rPr>
              <w:t xml:space="preserve">85.59</w:t>
            </w:r>
          </w:p>
        </w:tc>
        <w:tc>
          <w:tcPr>
            <w:tcW w:type="dxa" w:w="900"/>
            <w:tcMar>
              <w:top w:type="dxa" w:w="60"/>
              <w:left w:type="dxa" w:w="100"/>
              <w:bottom w:type="dxa" w:w="60"/>
              <w:right w:type="dxa" w:w="100"/>
            </w:tcMar>
            <w:vAlign w:val="center"/>
          </w:tcPr>
          <w:p>
            <w:pPr>
              <w:jc w:val="center"/>
            </w:pPr>
            <w:r>
              <w:rPr>
                <w:sz w:val="20"/>
                <w:szCs w:val="20"/>
              </w:rPr>
              <w:t xml:space="preserve">6.82%</w:t>
            </w:r>
          </w:p>
        </w:tc>
        <w:tc>
          <w:tcPr>
            <w:tcW w:type="dxa" w:w="2000"/>
            <w:tcMar>
              <w:top w:type="dxa" w:w="60"/>
              <w:left w:type="dxa" w:w="100"/>
              <w:bottom w:type="dxa" w:w="60"/>
              <w:right w:type="dxa" w:w="100"/>
            </w:tcMar>
            <w:vAlign w:val="center"/>
          </w:tcPr>
          <w:p>
            <w:pPr>
              <w:jc w:val="center"/>
            </w:pPr>
            <w:r>
              <w:rPr>
                <w:sz w:val="20"/>
                <w:szCs w:val="20"/>
              </w:rPr>
              <w:t xml:space="preserve">291 / 85,173 (0.34%)</w:t>
            </w:r>
          </w:p>
        </w:tc>
      </w:tr>
      <w:tr>
        <w:tc>
          <w:tcPr>
            <w:tcW w:type="dxa" w:w="2900"/>
            <w:tcMar>
              <w:top w:type="dxa" w:w="60"/>
              <w:left w:type="dxa" w:w="100"/>
              <w:bottom w:type="dxa" w:w="60"/>
              <w:right w:type="dxa" w:w="100"/>
            </w:tcMar>
            <w:vAlign w:val="center"/>
          </w:tcPr>
          <w:p>
            <w:pPr>
              <w:jc w:val="left"/>
            </w:pPr>
            <w:r>
              <w:rPr>
                <w:sz w:val="20"/>
                <w:szCs w:val="20"/>
              </w:rPr>
              <w:t xml:space="preserve">CIC-IDS2017 Dirichlet(0.3)</w:t>
            </w:r>
          </w:p>
        </w:tc>
        <w:tc>
          <w:tcPr>
            <w:tcW w:type="dxa" w:w="2300"/>
            <w:tcMar>
              <w:top w:type="dxa" w:w="60"/>
              <w:left w:type="dxa" w:w="100"/>
              <w:bottom w:type="dxa" w:w="60"/>
              <w:right w:type="dxa" w:w="100"/>
            </w:tcMar>
            <w:vAlign w:val="center"/>
          </w:tcPr>
          <w:p>
            <w:pPr>
              <w:jc w:val="center"/>
            </w:pPr>
            <w:r>
              <w:rPr>
                <w:sz w:val="20"/>
                <w:szCs w:val="20"/>
              </w:rPr>
              <w:t xml:space="preserve">client 3 (24.9%)</w:t>
            </w:r>
          </w:p>
        </w:tc>
        <w:tc>
          <w:tcPr>
            <w:tcW w:type="dxa" w:w="1200"/>
            <w:tcMar>
              <w:top w:type="dxa" w:w="60"/>
              <w:left w:type="dxa" w:w="100"/>
              <w:bottom w:type="dxa" w:w="60"/>
              <w:right w:type="dxa" w:w="100"/>
            </w:tcMar>
            <w:vAlign w:val="center"/>
          </w:tcPr>
          <w:p>
            <w:pPr>
              <w:jc w:val="center"/>
            </w:pPr>
            <w:r>
              <w:rPr>
                <w:sz w:val="20"/>
                <w:szCs w:val="20"/>
              </w:rPr>
              <w:t xml:space="preserve">91.08</w:t>
            </w:r>
          </w:p>
        </w:tc>
        <w:tc>
          <w:tcPr>
            <w:tcW w:type="dxa" w:w="900"/>
            <w:tcMar>
              <w:top w:type="dxa" w:w="60"/>
              <w:left w:type="dxa" w:w="100"/>
              <w:bottom w:type="dxa" w:w="60"/>
              <w:right w:type="dxa" w:w="100"/>
            </w:tcMar>
            <w:vAlign w:val="center"/>
          </w:tcPr>
          <w:p>
            <w:pPr>
              <w:jc w:val="center"/>
            </w:pPr>
            <w:r>
              <w:rPr>
                <w:sz w:val="20"/>
                <w:szCs w:val="20"/>
              </w:rPr>
              <w:t xml:space="preserve">2.75%</w:t>
            </w:r>
          </w:p>
        </w:tc>
        <w:tc>
          <w:tcPr>
            <w:tcW w:type="dxa" w:w="2000"/>
            <w:tcMar>
              <w:top w:type="dxa" w:w="60"/>
              <w:left w:type="dxa" w:w="100"/>
              <w:bottom w:type="dxa" w:w="60"/>
              <w:right w:type="dxa" w:w="100"/>
            </w:tcMar>
            <w:vAlign w:val="center"/>
          </w:tcPr>
          <w:p>
            <w:pPr>
              <w:jc w:val="center"/>
            </w:pPr>
            <w:r>
              <w:rPr>
                <w:sz w:val="20"/>
                <w:szCs w:val="20"/>
              </w:rPr>
              <w:t xml:space="preserve">4,415 / 85,173 (5.18%)</w:t>
            </w:r>
          </w:p>
        </w:tc>
      </w:tr>
      <w:tr>
        <w:tc>
          <w:tcPr>
            <w:tcW w:type="dxa" w:w="2900"/>
            <w:tcMar>
              <w:top w:type="dxa" w:w="60"/>
              <w:left w:type="dxa" w:w="100"/>
              <w:bottom w:type="dxa" w:w="60"/>
              <w:right w:type="dxa" w:w="100"/>
            </w:tcMar>
            <w:vAlign w:val="center"/>
          </w:tcPr>
          <w:p>
            <w:pPr>
              <w:jc w:val="left"/>
            </w:pPr>
            <w:r>
              <w:rPr>
                <w:sz w:val="20"/>
                <w:szCs w:val="20"/>
              </w:rPr>
              <w:t xml:space="preserve">CIC-IDS2017 centralized model (reference)</w:t>
            </w:r>
          </w:p>
        </w:tc>
        <w:tc>
          <w:tcPr>
            <w:tcW w:type="dxa" w:w="2300"/>
            <w:tcMar>
              <w:top w:type="dxa" w:w="60"/>
              <w:left w:type="dxa" w:w="100"/>
              <w:bottom w:type="dxa" w:w="60"/>
              <w:right w:type="dxa" w:w="100"/>
            </w:tcMar>
            <w:vAlign w:val="center"/>
          </w:tcPr>
          <w:p>
            <w:pPr>
              <w:jc w:val="center"/>
            </w:pPr>
            <w:r>
              <w:rPr>
                <w:sz w:val="20"/>
                <w:szCs w:val="20"/>
              </w:rPr>
              <w:t xml:space="preserve">client 0 (50.4%)</w:t>
            </w:r>
          </w:p>
        </w:tc>
        <w:tc>
          <w:tcPr>
            <w:tcW w:type="dxa" w:w="1200"/>
            <w:tcMar>
              <w:top w:type="dxa" w:w="60"/>
              <w:left w:type="dxa" w:w="100"/>
              <w:bottom w:type="dxa" w:w="60"/>
              <w:right w:type="dxa" w:w="100"/>
            </w:tcMar>
            <w:vAlign w:val="center"/>
          </w:tcPr>
          <w:p>
            <w:pPr>
              <w:jc w:val="center"/>
            </w:pPr>
            <w:r>
              <w:rPr>
                <w:sz w:val="20"/>
                <w:szCs w:val="20"/>
              </w:rPr>
              <w:t xml:space="preserve">81.84</w:t>
            </w:r>
          </w:p>
        </w:tc>
        <w:tc>
          <w:tcPr>
            <w:tcW w:type="dxa" w:w="900"/>
            <w:tcMar>
              <w:top w:type="dxa" w:w="60"/>
              <w:left w:type="dxa" w:w="100"/>
              <w:bottom w:type="dxa" w:w="60"/>
              <w:right w:type="dxa" w:w="100"/>
            </w:tcMar>
            <w:vAlign w:val="center"/>
          </w:tcPr>
          <w:p>
            <w:pPr>
              <w:jc w:val="center"/>
            </w:pPr>
            <w:r>
              <w:rPr>
                <w:sz w:val="20"/>
                <w:szCs w:val="20"/>
              </w:rPr>
              <w:t xml:space="preserve">8.84%</w:t>
            </w:r>
          </w:p>
        </w:tc>
        <w:tc>
          <w:tcPr>
            <w:tcW w:type="dxa" w:w="2000"/>
            <w:tcMar>
              <w:top w:type="dxa" w:w="60"/>
              <w:left w:type="dxa" w:w="100"/>
              <w:bottom w:type="dxa" w:w="60"/>
              <w:right w:type="dxa" w:w="100"/>
            </w:tcMar>
            <w:vAlign w:val="center"/>
          </w:tcPr>
          <w:p>
            <w:pPr>
              <w:jc w:val="center"/>
            </w:pPr>
            <w:r>
              <w:rPr>
                <w:sz w:val="20"/>
                <w:szCs w:val="20"/>
              </w:rPr>
              <w:t xml:space="preserve">771 / 85,173 (0.91%)</w:t>
            </w:r>
          </w:p>
        </w:tc>
      </w:tr>
      <w:tr>
        <w:tc>
          <w:tcPr>
            <w:tcW w:type="dxa" w:w="2900"/>
            <w:tcMar>
              <w:top w:type="dxa" w:w="60"/>
              <w:left w:type="dxa" w:w="100"/>
              <w:bottom w:type="dxa" w:w="60"/>
              <w:right w:type="dxa" w:w="100"/>
            </w:tcMar>
            <w:vAlign w:val="center"/>
          </w:tcPr>
          <w:p>
            <w:pPr>
              <w:jc w:val="left"/>
            </w:pPr>
            <w:r>
              <w:rPr>
                <w:sz w:val="20"/>
                <w:szCs w:val="20"/>
              </w:rPr>
              <w:t xml:space="preserve">TON_IoT near-IID</w:t>
            </w:r>
          </w:p>
        </w:tc>
        <w:tc>
          <w:tcPr>
            <w:tcW w:type="dxa" w:w="2300"/>
            <w:tcMar>
              <w:top w:type="dxa" w:w="60"/>
              <w:left w:type="dxa" w:w="100"/>
              <w:bottom w:type="dxa" w:w="60"/>
              <w:right w:type="dxa" w:w="100"/>
            </w:tcMar>
            <w:vAlign w:val="center"/>
          </w:tcPr>
          <w:p>
            <w:pPr>
              <w:jc w:val="center"/>
            </w:pPr>
            <w:r>
              <w:rPr>
                <w:sz w:val="20"/>
                <w:szCs w:val="20"/>
              </w:rPr>
              <w:t xml:space="preserve">client 0 (50.1%)</w:t>
            </w:r>
          </w:p>
        </w:tc>
        <w:tc>
          <w:tcPr>
            <w:tcW w:type="dxa" w:w="1200"/>
            <w:tcMar>
              <w:top w:type="dxa" w:w="60"/>
              <w:left w:type="dxa" w:w="100"/>
              <w:bottom w:type="dxa" w:w="60"/>
              <w:right w:type="dxa" w:w="100"/>
            </w:tcMar>
            <w:vAlign w:val="center"/>
          </w:tcPr>
          <w:p>
            <w:pPr>
              <w:jc w:val="center"/>
            </w:pPr>
            <w:r>
              <w:rPr>
                <w:sz w:val="20"/>
                <w:szCs w:val="20"/>
              </w:rPr>
              <w:t xml:space="preserve">98.67</w:t>
            </w:r>
          </w:p>
        </w:tc>
        <w:tc>
          <w:tcPr>
            <w:tcW w:type="dxa" w:w="900"/>
            <w:tcMar>
              <w:top w:type="dxa" w:w="60"/>
              <w:left w:type="dxa" w:w="100"/>
              <w:bottom w:type="dxa" w:w="60"/>
              <w:right w:type="dxa" w:w="100"/>
            </w:tcMar>
            <w:vAlign w:val="center"/>
          </w:tcPr>
          <w:p>
            <w:pPr>
              <w:jc w:val="center"/>
            </w:pPr>
            <w:r>
              <w:rPr>
                <w:sz w:val="20"/>
                <w:szCs w:val="20"/>
              </w:rPr>
              <w:t xml:space="preserve">2.26%</w:t>
            </w:r>
          </w:p>
        </w:tc>
        <w:tc>
          <w:tcPr>
            <w:tcW w:type="dxa" w:w="2000"/>
            <w:tcMar>
              <w:top w:type="dxa" w:w="60"/>
              <w:left w:type="dxa" w:w="100"/>
              <w:bottom w:type="dxa" w:w="60"/>
              <w:right w:type="dxa" w:w="100"/>
            </w:tcMar>
            <w:vAlign w:val="center"/>
          </w:tcPr>
          <w:p>
            <w:pPr>
              <w:jc w:val="center"/>
            </w:pPr>
            <w:r>
              <w:rPr>
                <w:sz w:val="20"/>
                <w:szCs w:val="20"/>
              </w:rPr>
              <w:t xml:space="preserve">319 / 16,215 (1.97%)</w:t>
            </w:r>
          </w:p>
        </w:tc>
      </w:tr>
      <w:tr>
        <w:tc>
          <w:tcPr>
            <w:tcW w:type="dxa" w:w="2900"/>
            <w:tcMar>
              <w:top w:type="dxa" w:w="60"/>
              <w:left w:type="dxa" w:w="100"/>
              <w:bottom w:type="dxa" w:w="60"/>
              <w:right w:type="dxa" w:w="100"/>
            </w:tcMar>
            <w:vAlign w:val="center"/>
          </w:tcPr>
          <w:p>
            <w:pPr>
              <w:jc w:val="left"/>
            </w:pPr>
            <w:r>
              <w:rPr>
                <w:sz w:val="20"/>
                <w:szCs w:val="20"/>
              </w:rPr>
              <w:t xml:space="preserve">TON_IoT Dirichlet(0.3)</w:t>
            </w:r>
          </w:p>
        </w:tc>
        <w:tc>
          <w:tcPr>
            <w:tcW w:type="dxa" w:w="2300"/>
            <w:tcMar>
              <w:top w:type="dxa" w:w="60"/>
              <w:left w:type="dxa" w:w="100"/>
              <w:bottom w:type="dxa" w:w="60"/>
              <w:right w:type="dxa" w:w="100"/>
            </w:tcMar>
            <w:vAlign w:val="center"/>
          </w:tcPr>
          <w:p>
            <w:pPr>
              <w:jc w:val="center"/>
            </w:pPr>
            <w:r>
              <w:rPr>
                <w:sz w:val="20"/>
                <w:szCs w:val="20"/>
              </w:rPr>
              <w:t xml:space="preserve">client 2 (65.5%)</w:t>
            </w:r>
          </w:p>
        </w:tc>
        <w:tc>
          <w:tcPr>
            <w:tcW w:type="dxa" w:w="1200"/>
            <w:tcMar>
              <w:top w:type="dxa" w:w="60"/>
              <w:left w:type="dxa" w:w="100"/>
              <w:bottom w:type="dxa" w:w="60"/>
              <w:right w:type="dxa" w:w="100"/>
            </w:tcMar>
            <w:vAlign w:val="center"/>
          </w:tcPr>
          <w:p>
            <w:pPr>
              <w:jc w:val="center"/>
            </w:pPr>
            <w:r>
              <w:rPr>
                <w:sz w:val="20"/>
                <w:szCs w:val="20"/>
              </w:rPr>
              <w:t xml:space="preserve">98.80</w:t>
            </w:r>
          </w:p>
        </w:tc>
        <w:tc>
          <w:tcPr>
            <w:tcW w:type="dxa" w:w="900"/>
            <w:tcMar>
              <w:top w:type="dxa" w:w="60"/>
              <w:left w:type="dxa" w:w="100"/>
              <w:bottom w:type="dxa" w:w="60"/>
              <w:right w:type="dxa" w:w="100"/>
            </w:tcMar>
            <w:vAlign w:val="center"/>
          </w:tcPr>
          <w:p>
            <w:pPr>
              <w:jc w:val="center"/>
            </w:pPr>
            <w:r>
              <w:rPr>
                <w:sz w:val="20"/>
                <w:szCs w:val="20"/>
              </w:rPr>
              <w:t xml:space="preserve">2.88%</w:t>
            </w:r>
          </w:p>
        </w:tc>
        <w:tc>
          <w:tcPr>
            <w:tcW w:type="dxa" w:w="2000"/>
            <w:tcMar>
              <w:top w:type="dxa" w:w="60"/>
              <w:left w:type="dxa" w:w="100"/>
              <w:bottom w:type="dxa" w:w="60"/>
              <w:right w:type="dxa" w:w="100"/>
            </w:tcMar>
            <w:vAlign w:val="center"/>
          </w:tcPr>
          <w:p>
            <w:pPr>
              <w:jc w:val="center"/>
            </w:pPr>
            <w:r>
              <w:rPr>
                <w:sz w:val="20"/>
                <w:szCs w:val="20"/>
              </w:rPr>
              <w:t xml:space="preserve">248 / 16,215 (1.53%)</w:t>
            </w:r>
          </w:p>
        </w:tc>
      </w:tr>
    </w:tbl>
    <w:p>
      <w:pPr>
        <w:spacing w:after="240" w:before="80"/>
      </w:pPr>
      <w:r>
        <w:rPr>
          <w:i/>
          <w:iCs/>
          <w:sz w:val="20"/>
          <w:szCs w:val="20"/>
        </w:rPr>
        <w:t xml:space="preserve">Table 4. Compressed-model quality as a function of the client that performs fine-tuning (prune 50% → client FT → QAT FT → INT8).</w:t>
      </w:r>
    </w:p>
    <w:p>
      <w:pPr>
        <w:spacing w:after="160"/>
      </w:pPr>
      <w:r>
        <w:t xml:space="preserve">The short fine-tuning phase recalibrates the decision boundary toward the fine-tuning client's class mix. A client whose attack share is close to the deployment distribution (client 3 of the CIC-IDS2017 Dirichlet run, 24.9% attacks) yields the highest F1 we observed (91.08, FAR 2.75%), but it misses 4,415 of 85,173 attacks (5.18%), fifteen times as many as the near-IID model fine-tuned on a 50%-attack client (291). A 50%-attack client yields a recall-heavy operating point. The choice of fine-tuning client is therefore a deployment decision that should consider class mix, and it should be reported. We did not tune it on the test set: the clients in Table 4 were chosen a priori by attack share.</w:t>
      </w:r>
    </w:p>
    <w:p>
      <w:pPr>
        <w:pStyle w:val="Heading2"/>
        <w:spacing w:after="140" w:before="260"/>
      </w:pPr>
      <w:r>
        <w:t xml:space="preserve">5.5 Compression Strength</w:t>
      </w:r>
    </w:p>
    <w:p>
      <w:pPr>
        <w:spacing w:after="160"/>
      </w:pPr>
      <w:r>
        <w:t xml:space="preserve">We sweep the structured-pruning ratio from 30% to 90% on the near-IID federated models. Each ratio is tested with no fine-tuning, client fine-tuning + PTQ, and client fine-tuning + QAT fine-tuning (Figure 1). This replaces the 48-configuration sweep of the WIP version, which was produced by the erroneous pipeline. Without fine-tuning, pruning breaks the CIC-IDS2017 model from 50% onward (from 70% it predicts every flow as an attack) and degrades the TON_IoT model until, from 85%, it too predicts every record as an attack. With client fine-tuning, CIC-IDS2017 degrades gracefully: 30% pruning (112–126 KB) gives F1 87.6–89.7, 70% pruning (31 KB, 26×) gives 84.4–85.0, 85% (14 KB, 57×) gives 81.3–82.9, and 90% (9.9 KB, 81×) gives 78.0. PTQ and QAT fine-tuning track each other closely. On TON_IoT, client fine-tuning + QAT holds F1 between 98.65 and 98.74 all the way to 90% pruning (8.2 KB, 90× smaller than FP32), whereas client fine-tuning + PTQ stays between 87.7 and 91.5. QAT fine-tuning is therefore the choice that is reliable on both datasets. On CIC-IDS2017 the useful range ends around 70% pruning (31 KB) if F1 within about 1.3 points of the federated model is required.</w:t>
      </w:r>
    </w:p>
    <w:p>
      <w:pPr>
        <w:spacing w:after="40" w:before="160"/>
        <w:jc w:val="center"/>
      </w:pPr>
      <w:r>
        <w:drawing>
          <wp:inline distT="0" distB="0" distL="0" distR="0">
            <wp:extent cx="5715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71725"/>
                    </a:xfrm>
                    <a:prstGeom prst="rect">
                      <a:avLst/>
                    </a:prstGeom>
                  </pic:spPr>
                </pic:pic>
              </a:graphicData>
            </a:graphic>
          </wp:inline>
        </w:drawing>
      </w:r>
    </w:p>
    <w:p>
      <w:pPr>
        <w:spacing w:after="240" w:before="80"/>
      </w:pPr>
      <w:r>
        <w:rPr>
          <w:i/>
          <w:iCs/>
          <w:sz w:val="20"/>
          <w:szCs w:val="20"/>
        </w:rPr>
        <w:t xml:space="preserve">Figure 1. F1 vs. INT8 model size for structured-pruning ratios 30–90% (labels), with fine-tuning on one client's local data followed by QAT fine-tuning or PTQ, and without fine-tuning. Dashed line: the uncompressed federated model.</w:t>
      </w:r>
    </w:p>
    <w:p>
      <w:pPr>
        <w:pStyle w:val="Heading2"/>
        <w:spacing w:after="140" w:before="260"/>
      </w:pPr>
      <w:r>
        <w:t xml:space="preserve">5.6 Training-Time QAT Inside FL: a Negative Result</w:t>
      </w:r>
    </w:p>
    <w:p>
      <w:pPr>
        <w:spacing w:after="160"/>
      </w:pPr>
      <w:r>
        <w:t xml:space="preserve">The WIP version reported that training-time QAT (fake quantization from the first federated round) helps at aggressive compression and hurts at moderate compression. That observation came from runs affected by the weight-exchange and QAT-stripping errors of Section 6.2. With both corrected, training-time QAT inside FL fails on CIC-IDS2017. The federated QAT model reaches 34.74% accuracy (F1 34.30, FAR 78.7%), and its float weights reach only F1 46.8. The reason is visible in the learned quantizer state. The input quantizer's moving-average range is [−1231, 405], and activation ranges reach 2342, because standardized CIC-IDS2017 features are heavy-tailed (rare flows lie hundreds to thousands of standard deviations from the mean). One INT8 step then spans about 6.4 standard deviations, so ordinary inputs collapse to the zero point. On TON_IoT, whose features are less extreme, the same procedure works (federated QAT model: accuracy 98.14%, F1 98.79, 166 of 16,215 attacks missed). PTQ of a float federated model does not collapse on either dataset (Table 3), although Section 5.9 shows that its accuracy varies widely across calibration draws, and neither does QAT fine-tuning of a pruned float model, because its calibration happens on a small fine-tuning set after training. We therefore use post-training QAT fine-tuning, not training-time QAT, in the compression pipeline. Robust input scaling (clipping or a log transform before standardization) is a plausible fix for training-time QAT that we have not evaluated.</w:t>
      </w:r>
    </w:p>
    <w:p>
      <w:pPr>
        <w:pStyle w:val="Heading2"/>
        <w:spacing w:after="140" w:before="260"/>
      </w:pPr>
      <w:r>
        <w:t xml:space="preserve">5.7 Adversarial Robustness</w:t>
      </w:r>
    </w:p>
    <w:p>
      <w:pPr>
        <w:spacing w:after="160"/>
      </w:pPr>
      <w:r>
        <w:t xml:space="preserve">Table 5 reports accuracy on 20,000 test samples before and after FGSM and PGD (ε = 0.1 in standardized feature space; PGD with 10 steps). The perturbations are computed white-box on the float federated model and applied unchanged to every other model. The FGSM/FGM/GA/PGD table and the PGD adversarial-training study of the WIP version were computed on the erroneous compressed models and are withdrawn.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950"/>
        <w:gridCol w:w="950"/>
        <w:gridCol w:w="950"/>
        <w:gridCol w:w="950"/>
        <w:gridCol w:w="950"/>
        <w:gridCol w:w="950"/>
      </w:tblGrid>
      <w:tr>
        <w:trPr>
          <w:tblHeader/>
        </w:trPr>
        <w:tc>
          <w:tcPr>
            <w:tcW w:type="dxa" w:w="3200"/>
            <w:shd w:fill="D9E2F3" w:val="clear"/>
            <w:tcMar>
              <w:top w:type="dxa" w:w="60"/>
              <w:left w:type="dxa" w:w="100"/>
              <w:bottom w:type="dxa" w:w="60"/>
              <w:right w:type="dxa" w:w="100"/>
            </w:tcMar>
            <w:vAlign w:val="center"/>
          </w:tcPr>
          <w:p>
            <w:pPr>
              <w:jc w:val="center"/>
            </w:pPr>
            <w:r>
              <w:rPr>
                <w:b/>
                <w:bCs/>
                <w:sz w:val="20"/>
                <w:szCs w:val="20"/>
              </w:rPr>
              <w:t xml:space="preserve">Model</w:t>
            </w:r>
          </w:p>
        </w:tc>
        <w:tc>
          <w:tcPr>
            <w:tcW w:type="dxa" w:w="950"/>
            <w:shd w:fill="D9E2F3" w:val="clear"/>
            <w:tcMar>
              <w:top w:type="dxa" w:w="60"/>
              <w:left w:type="dxa" w:w="100"/>
              <w:bottom w:type="dxa" w:w="60"/>
              <w:right w:type="dxa" w:w="100"/>
            </w:tcMar>
            <w:vAlign w:val="center"/>
          </w:tcPr>
          <w:p>
            <w:pPr>
              <w:jc w:val="center"/>
            </w:pPr>
            <w:r>
              <w:rPr>
                <w:b/>
                <w:bCs/>
                <w:sz w:val="20"/>
                <w:szCs w:val="20"/>
              </w:rPr>
              <w:t xml:space="preserve">CIC clean</w:t>
            </w:r>
          </w:p>
        </w:tc>
        <w:tc>
          <w:tcPr>
            <w:tcW w:type="dxa" w:w="950"/>
            <w:shd w:fill="D9E2F3" w:val="clear"/>
            <w:tcMar>
              <w:top w:type="dxa" w:w="60"/>
              <w:left w:type="dxa" w:w="100"/>
              <w:bottom w:type="dxa" w:w="60"/>
              <w:right w:type="dxa" w:w="100"/>
            </w:tcMar>
            <w:vAlign w:val="center"/>
          </w:tcPr>
          <w:p>
            <w:pPr>
              <w:jc w:val="center"/>
            </w:pPr>
            <w:r>
              <w:rPr>
                <w:b/>
                <w:bCs/>
                <w:sz w:val="20"/>
                <w:szCs w:val="20"/>
              </w:rPr>
              <w:t xml:space="preserve">CIC FGSM</w:t>
            </w:r>
          </w:p>
        </w:tc>
        <w:tc>
          <w:tcPr>
            <w:tcW w:type="dxa" w:w="950"/>
            <w:shd w:fill="D9E2F3" w:val="clear"/>
            <w:tcMar>
              <w:top w:type="dxa" w:w="60"/>
              <w:left w:type="dxa" w:w="100"/>
              <w:bottom w:type="dxa" w:w="60"/>
              <w:right w:type="dxa" w:w="100"/>
            </w:tcMar>
            <w:vAlign w:val="center"/>
          </w:tcPr>
          <w:p>
            <w:pPr>
              <w:jc w:val="center"/>
            </w:pPr>
            <w:r>
              <w:rPr>
                <w:b/>
                <w:bCs/>
                <w:sz w:val="20"/>
                <w:szCs w:val="20"/>
              </w:rPr>
              <w:t xml:space="preserve">CIC PGD</w:t>
            </w:r>
          </w:p>
        </w:tc>
        <w:tc>
          <w:tcPr>
            <w:tcW w:type="dxa" w:w="950"/>
            <w:shd w:fill="D9E2F3" w:val="clear"/>
            <w:tcMar>
              <w:top w:type="dxa" w:w="60"/>
              <w:left w:type="dxa" w:w="100"/>
              <w:bottom w:type="dxa" w:w="60"/>
              <w:right w:type="dxa" w:w="100"/>
            </w:tcMar>
            <w:vAlign w:val="center"/>
          </w:tcPr>
          <w:p>
            <w:pPr>
              <w:jc w:val="center"/>
            </w:pPr>
            <w:r>
              <w:rPr>
                <w:b/>
                <w:bCs/>
                <w:sz w:val="20"/>
                <w:szCs w:val="20"/>
              </w:rPr>
              <w:t xml:space="preserve">TON clean</w:t>
            </w:r>
          </w:p>
        </w:tc>
        <w:tc>
          <w:tcPr>
            <w:tcW w:type="dxa" w:w="950"/>
            <w:shd w:fill="D9E2F3" w:val="clear"/>
            <w:tcMar>
              <w:top w:type="dxa" w:w="60"/>
              <w:left w:type="dxa" w:w="100"/>
              <w:bottom w:type="dxa" w:w="60"/>
              <w:right w:type="dxa" w:w="100"/>
            </w:tcMar>
            <w:vAlign w:val="center"/>
          </w:tcPr>
          <w:p>
            <w:pPr>
              <w:jc w:val="center"/>
            </w:pPr>
            <w:r>
              <w:rPr>
                <w:b/>
                <w:bCs/>
                <w:sz w:val="20"/>
                <w:szCs w:val="20"/>
              </w:rPr>
              <w:t xml:space="preserve">TON FGSM</w:t>
            </w:r>
          </w:p>
        </w:tc>
        <w:tc>
          <w:tcPr>
            <w:tcW w:type="dxa" w:w="950"/>
            <w:shd w:fill="D9E2F3" w:val="clear"/>
            <w:tcMar>
              <w:top w:type="dxa" w:w="60"/>
              <w:left w:type="dxa" w:w="100"/>
              <w:bottom w:type="dxa" w:w="60"/>
              <w:right w:type="dxa" w:w="100"/>
            </w:tcMar>
            <w:vAlign w:val="center"/>
          </w:tcPr>
          <w:p>
            <w:pPr>
              <w:jc w:val="center"/>
            </w:pPr>
            <w:r>
              <w:rPr>
                <w:b/>
                <w:bCs/>
                <w:sz w:val="20"/>
                <w:szCs w:val="20"/>
              </w:rPr>
              <w:t xml:space="preserve">TON PGD</w:t>
            </w:r>
          </w:p>
        </w:tc>
      </w:tr>
      <w:tr>
        <w:tc>
          <w:tcPr>
            <w:tcW w:type="dxa" w:w="3200"/>
            <w:tcMar>
              <w:top w:type="dxa" w:w="60"/>
              <w:left w:type="dxa" w:w="100"/>
              <w:bottom w:type="dxa" w:w="60"/>
              <w:right w:type="dxa" w:w="100"/>
            </w:tcMar>
            <w:vAlign w:val="center"/>
          </w:tcPr>
          <w:p>
            <w:pPr>
              <w:jc w:val="left"/>
            </w:pPr>
            <w:r>
              <w:rPr>
                <w:sz w:val="20"/>
                <w:szCs w:val="20"/>
              </w:rPr>
              <w:t xml:space="preserve">Federated FP32 (attack source)</w:t>
            </w:r>
          </w:p>
        </w:tc>
        <w:tc>
          <w:tcPr>
            <w:tcW w:type="dxa" w:w="950"/>
            <w:tcMar>
              <w:top w:type="dxa" w:w="60"/>
              <w:left w:type="dxa" w:w="100"/>
              <w:bottom w:type="dxa" w:w="60"/>
              <w:right w:type="dxa" w:w="100"/>
            </w:tcMar>
            <w:vAlign w:val="center"/>
          </w:tcPr>
          <w:p>
            <w:pPr>
              <w:jc w:val="center"/>
            </w:pPr>
            <w:r>
              <w:rPr>
                <w:sz w:val="20"/>
                <w:szCs w:val="20"/>
              </w:rPr>
              <w:t xml:space="preserve">94.3%</w:t>
            </w:r>
          </w:p>
        </w:tc>
        <w:tc>
          <w:tcPr>
            <w:tcW w:type="dxa" w:w="950"/>
            <w:tcMar>
              <w:top w:type="dxa" w:w="60"/>
              <w:left w:type="dxa" w:w="100"/>
              <w:bottom w:type="dxa" w:w="60"/>
              <w:right w:type="dxa" w:w="100"/>
            </w:tcMar>
            <w:vAlign w:val="center"/>
          </w:tcPr>
          <w:p>
            <w:pPr>
              <w:jc w:val="center"/>
            </w:pPr>
            <w:r>
              <w:rPr>
                <w:sz w:val="20"/>
                <w:szCs w:val="20"/>
              </w:rPr>
              <w:t xml:space="preserve">68.6%</w:t>
            </w:r>
          </w:p>
        </w:tc>
        <w:tc>
          <w:tcPr>
            <w:tcW w:type="dxa" w:w="950"/>
            <w:tcMar>
              <w:top w:type="dxa" w:w="60"/>
              <w:left w:type="dxa" w:w="100"/>
              <w:bottom w:type="dxa" w:w="60"/>
              <w:right w:type="dxa" w:w="100"/>
            </w:tcMar>
            <w:vAlign w:val="center"/>
          </w:tcPr>
          <w:p>
            <w:pPr>
              <w:jc w:val="center"/>
            </w:pPr>
            <w:r>
              <w:rPr>
                <w:sz w:val="20"/>
                <w:szCs w:val="20"/>
              </w:rPr>
              <w:t xml:space="preserve">55.6%</w:t>
            </w:r>
          </w:p>
        </w:tc>
        <w:tc>
          <w:tcPr>
            <w:tcW w:type="dxa" w:w="950"/>
            <w:tcMar>
              <w:top w:type="dxa" w:w="60"/>
              <w:left w:type="dxa" w:w="100"/>
              <w:bottom w:type="dxa" w:w="60"/>
              <w:right w:type="dxa" w:w="100"/>
            </w:tcMar>
            <w:vAlign w:val="center"/>
          </w:tcPr>
          <w:p>
            <w:pPr>
              <w:jc w:val="center"/>
            </w:pPr>
            <w:r>
              <w:rPr>
                <w:sz w:val="20"/>
                <w:szCs w:val="20"/>
              </w:rPr>
              <w:t xml:space="preserve">99.1%</w:t>
            </w:r>
          </w:p>
        </w:tc>
        <w:tc>
          <w:tcPr>
            <w:tcW w:type="dxa" w:w="950"/>
            <w:tcMar>
              <w:top w:type="dxa" w:w="60"/>
              <w:left w:type="dxa" w:w="100"/>
              <w:bottom w:type="dxa" w:w="60"/>
              <w:right w:type="dxa" w:w="100"/>
            </w:tcMar>
            <w:vAlign w:val="center"/>
          </w:tcPr>
          <w:p>
            <w:pPr>
              <w:jc w:val="center"/>
            </w:pPr>
            <w:r>
              <w:rPr>
                <w:sz w:val="20"/>
                <w:szCs w:val="20"/>
              </w:rPr>
              <w:t xml:space="preserve">23.0%</w:t>
            </w:r>
          </w:p>
        </w:tc>
        <w:tc>
          <w:tcPr>
            <w:tcW w:type="dxa" w:w="950"/>
            <w:tcMar>
              <w:top w:type="dxa" w:w="60"/>
              <w:left w:type="dxa" w:w="100"/>
              <w:bottom w:type="dxa" w:w="60"/>
              <w:right w:type="dxa" w:w="100"/>
            </w:tcMar>
            <w:vAlign w:val="center"/>
          </w:tcPr>
          <w:p>
            <w:pPr>
              <w:jc w:val="center"/>
            </w:pPr>
            <w:r>
              <w:rPr>
                <w:sz w:val="20"/>
                <w:szCs w:val="20"/>
              </w:rPr>
              <w:t xml:space="preserve">22.9%</w:t>
            </w:r>
          </w:p>
        </w:tc>
      </w:tr>
      <w:tr>
        <w:tc>
          <w:tcPr>
            <w:tcW w:type="dxa" w:w="3200"/>
            <w:tcMar>
              <w:top w:type="dxa" w:w="60"/>
              <w:left w:type="dxa" w:w="100"/>
              <w:bottom w:type="dxa" w:w="60"/>
              <w:right w:type="dxa" w:w="100"/>
            </w:tcMar>
            <w:vAlign w:val="center"/>
          </w:tcPr>
          <w:p>
            <w:pPr>
              <w:jc w:val="left"/>
            </w:pPr>
            <w:r>
              <w:rPr>
                <w:sz w:val="20"/>
                <w:szCs w:val="20"/>
              </w:rPr>
              <w:t xml:space="preserve">Centralized FP32 (transfer)</w:t>
            </w:r>
          </w:p>
        </w:tc>
        <w:tc>
          <w:tcPr>
            <w:tcW w:type="dxa" w:w="950"/>
            <w:tcMar>
              <w:top w:type="dxa" w:w="60"/>
              <w:left w:type="dxa" w:w="100"/>
              <w:bottom w:type="dxa" w:w="60"/>
              <w:right w:type="dxa" w:w="100"/>
            </w:tcMar>
            <w:vAlign w:val="center"/>
          </w:tcPr>
          <w:p>
            <w:pPr>
              <w:jc w:val="center"/>
            </w:pPr>
            <w:r>
              <w:rPr>
                <w:sz w:val="20"/>
                <w:szCs w:val="20"/>
              </w:rPr>
              <w:t xml:space="preserve">95.1%</w:t>
            </w:r>
          </w:p>
        </w:tc>
        <w:tc>
          <w:tcPr>
            <w:tcW w:type="dxa" w:w="950"/>
            <w:tcMar>
              <w:top w:type="dxa" w:w="60"/>
              <w:left w:type="dxa" w:w="100"/>
              <w:bottom w:type="dxa" w:w="60"/>
              <w:right w:type="dxa" w:w="100"/>
            </w:tcMar>
            <w:vAlign w:val="center"/>
          </w:tcPr>
          <w:p>
            <w:pPr>
              <w:jc w:val="center"/>
            </w:pPr>
            <w:r>
              <w:rPr>
                <w:sz w:val="20"/>
                <w:szCs w:val="20"/>
              </w:rPr>
              <w:t xml:space="preserve">30.8%</w:t>
            </w:r>
          </w:p>
        </w:tc>
        <w:tc>
          <w:tcPr>
            <w:tcW w:type="dxa" w:w="950"/>
            <w:tcMar>
              <w:top w:type="dxa" w:w="60"/>
              <w:left w:type="dxa" w:w="100"/>
              <w:bottom w:type="dxa" w:w="60"/>
              <w:right w:type="dxa" w:w="100"/>
            </w:tcMar>
            <w:vAlign w:val="center"/>
          </w:tcPr>
          <w:p>
            <w:pPr>
              <w:jc w:val="center"/>
            </w:pPr>
            <w:r>
              <w:rPr>
                <w:sz w:val="20"/>
                <w:szCs w:val="20"/>
              </w:rPr>
              <w:t xml:space="preserve">29.0%</w:t>
            </w:r>
          </w:p>
        </w:tc>
        <w:tc>
          <w:tcPr>
            <w:tcW w:type="dxa" w:w="950"/>
            <w:tcMar>
              <w:top w:type="dxa" w:w="60"/>
              <w:left w:type="dxa" w:w="100"/>
              <w:bottom w:type="dxa" w:w="60"/>
              <w:right w:type="dxa" w:w="100"/>
            </w:tcMar>
            <w:vAlign w:val="center"/>
          </w:tcPr>
          <w:p>
            <w:pPr>
              <w:jc w:val="center"/>
            </w:pPr>
            <w:r>
              <w:rPr>
                <w:sz w:val="20"/>
                <w:szCs w:val="20"/>
              </w:rPr>
              <w:t xml:space="preserve">99.5%</w:t>
            </w:r>
          </w:p>
        </w:tc>
        <w:tc>
          <w:tcPr>
            <w:tcW w:type="dxa" w:w="950"/>
            <w:tcMar>
              <w:top w:type="dxa" w:w="60"/>
              <w:left w:type="dxa" w:w="100"/>
              <w:bottom w:type="dxa" w:w="60"/>
              <w:right w:type="dxa" w:w="100"/>
            </w:tcMar>
            <w:vAlign w:val="center"/>
          </w:tcPr>
          <w:p>
            <w:pPr>
              <w:jc w:val="center"/>
            </w:pPr>
            <w:r>
              <w:rPr>
                <w:sz w:val="20"/>
                <w:szCs w:val="20"/>
              </w:rPr>
              <w:t xml:space="preserve">23.0%</w:t>
            </w:r>
          </w:p>
        </w:tc>
        <w:tc>
          <w:tcPr>
            <w:tcW w:type="dxa" w:w="950"/>
            <w:tcMar>
              <w:top w:type="dxa" w:w="60"/>
              <w:left w:type="dxa" w:w="100"/>
              <w:bottom w:type="dxa" w:w="60"/>
              <w:right w:type="dxa" w:w="100"/>
            </w:tcMar>
            <w:vAlign w:val="center"/>
          </w:tcPr>
          <w:p>
            <w:pPr>
              <w:jc w:val="center"/>
            </w:pPr>
            <w:r>
              <w:rPr>
                <w:sz w:val="20"/>
                <w:szCs w:val="20"/>
              </w:rPr>
              <w:t xml:space="preserve">23.0%</w:t>
            </w:r>
          </w:p>
        </w:tc>
      </w:tr>
      <w:tr>
        <w:tc>
          <w:tcPr>
            <w:tcW w:type="dxa" w:w="3200"/>
            <w:tcMar>
              <w:top w:type="dxa" w:w="60"/>
              <w:left w:type="dxa" w:w="100"/>
              <w:bottom w:type="dxa" w:w="60"/>
              <w:right w:type="dxa" w:w="100"/>
            </w:tcMar>
            <w:vAlign w:val="center"/>
          </w:tcPr>
          <w:p>
            <w:pPr>
              <w:jc w:val="left"/>
            </w:pPr>
            <w:r>
              <w:rPr>
                <w:sz w:val="20"/>
                <w:szCs w:val="20"/>
              </w:rPr>
              <w:t xml:space="preserve">INT8 PTQ only</w:t>
            </w:r>
          </w:p>
        </w:tc>
        <w:tc>
          <w:tcPr>
            <w:tcW w:type="dxa" w:w="950"/>
            <w:tcMar>
              <w:top w:type="dxa" w:w="60"/>
              <w:left w:type="dxa" w:w="100"/>
              <w:bottom w:type="dxa" w:w="60"/>
              <w:right w:type="dxa" w:w="100"/>
            </w:tcMar>
            <w:vAlign w:val="center"/>
          </w:tcPr>
          <w:p>
            <w:pPr>
              <w:jc w:val="center"/>
            </w:pPr>
            <w:r>
              <w:rPr>
                <w:sz w:val="20"/>
                <w:szCs w:val="20"/>
              </w:rPr>
              <w:t xml:space="preserve">93.9%</w:t>
            </w:r>
          </w:p>
        </w:tc>
        <w:tc>
          <w:tcPr>
            <w:tcW w:type="dxa" w:w="950"/>
            <w:tcMar>
              <w:top w:type="dxa" w:w="60"/>
              <w:left w:type="dxa" w:w="100"/>
              <w:bottom w:type="dxa" w:w="60"/>
              <w:right w:type="dxa" w:w="100"/>
            </w:tcMar>
            <w:vAlign w:val="center"/>
          </w:tcPr>
          <w:p>
            <w:pPr>
              <w:jc w:val="center"/>
            </w:pPr>
            <w:r>
              <w:rPr>
                <w:sz w:val="20"/>
                <w:szCs w:val="20"/>
              </w:rPr>
              <w:t xml:space="preserve">70.4%</w:t>
            </w:r>
          </w:p>
        </w:tc>
        <w:tc>
          <w:tcPr>
            <w:tcW w:type="dxa" w:w="950"/>
            <w:tcMar>
              <w:top w:type="dxa" w:w="60"/>
              <w:left w:type="dxa" w:w="100"/>
              <w:bottom w:type="dxa" w:w="60"/>
              <w:right w:type="dxa" w:w="100"/>
            </w:tcMar>
            <w:vAlign w:val="center"/>
          </w:tcPr>
          <w:p>
            <w:pPr>
              <w:jc w:val="center"/>
            </w:pPr>
            <w:r>
              <w:rPr>
                <w:sz w:val="20"/>
                <w:szCs w:val="20"/>
              </w:rPr>
              <w:t xml:space="preserve">60.4%</w:t>
            </w:r>
          </w:p>
        </w:tc>
        <w:tc>
          <w:tcPr>
            <w:tcW w:type="dxa" w:w="950"/>
            <w:tcMar>
              <w:top w:type="dxa" w:w="60"/>
              <w:left w:type="dxa" w:w="100"/>
              <w:bottom w:type="dxa" w:w="60"/>
              <w:right w:type="dxa" w:w="100"/>
            </w:tcMar>
            <w:vAlign w:val="center"/>
          </w:tcPr>
          <w:p>
            <w:pPr>
              <w:jc w:val="center"/>
            </w:pPr>
            <w:r>
              <w:rPr>
                <w:sz w:val="20"/>
                <w:szCs w:val="20"/>
              </w:rPr>
              <w:t xml:space="preserve">98.4%</w:t>
            </w:r>
          </w:p>
        </w:tc>
        <w:tc>
          <w:tcPr>
            <w:tcW w:type="dxa" w:w="950"/>
            <w:tcMar>
              <w:top w:type="dxa" w:w="60"/>
              <w:left w:type="dxa" w:w="100"/>
              <w:bottom w:type="dxa" w:w="60"/>
              <w:right w:type="dxa" w:w="100"/>
            </w:tcMar>
            <w:vAlign w:val="center"/>
          </w:tcPr>
          <w:p>
            <w:pPr>
              <w:jc w:val="center"/>
            </w:pPr>
            <w:r>
              <w:rPr>
                <w:sz w:val="20"/>
                <w:szCs w:val="20"/>
              </w:rPr>
              <w:t xml:space="preserve">23.0%</w:t>
            </w:r>
          </w:p>
        </w:tc>
        <w:tc>
          <w:tcPr>
            <w:tcW w:type="dxa" w:w="950"/>
            <w:tcMar>
              <w:top w:type="dxa" w:w="60"/>
              <w:left w:type="dxa" w:w="100"/>
              <w:bottom w:type="dxa" w:w="60"/>
              <w:right w:type="dxa" w:w="100"/>
            </w:tcMar>
            <w:vAlign w:val="center"/>
          </w:tcPr>
          <w:p>
            <w:pPr>
              <w:jc w:val="center"/>
            </w:pPr>
            <w:r>
              <w:rPr>
                <w:sz w:val="20"/>
                <w:szCs w:val="20"/>
              </w:rPr>
              <w:t xml:space="preserve">22.9%</w:t>
            </w:r>
          </w:p>
        </w:tc>
      </w:tr>
      <w:tr>
        <w:tc>
          <w:tcPr>
            <w:tcW w:type="dxa" w:w="3200"/>
            <w:tcMar>
              <w:top w:type="dxa" w:w="60"/>
              <w:left w:type="dxa" w:w="100"/>
              <w:bottom w:type="dxa" w:w="60"/>
              <w:right w:type="dxa" w:w="100"/>
            </w:tcMar>
            <w:vAlign w:val="center"/>
          </w:tcPr>
          <w:p>
            <w:pPr>
              <w:jc w:val="left"/>
            </w:pPr>
            <w:r>
              <w:rPr>
                <w:sz w:val="20"/>
                <w:szCs w:val="20"/>
              </w:rPr>
              <w:t xml:space="preserve">Prune 50% → client FT → PTQ</w:t>
            </w:r>
          </w:p>
        </w:tc>
        <w:tc>
          <w:tcPr>
            <w:tcW w:type="dxa" w:w="950"/>
            <w:tcMar>
              <w:top w:type="dxa" w:w="60"/>
              <w:left w:type="dxa" w:w="100"/>
              <w:bottom w:type="dxa" w:w="60"/>
              <w:right w:type="dxa" w:w="100"/>
            </w:tcMar>
            <w:vAlign w:val="center"/>
          </w:tcPr>
          <w:p>
            <w:pPr>
              <w:jc w:val="center"/>
            </w:pPr>
            <w:r>
              <w:rPr>
                <w:sz w:val="20"/>
                <w:szCs w:val="20"/>
              </w:rPr>
              <w:t xml:space="preserve">94.8%</w:t>
            </w:r>
          </w:p>
        </w:tc>
        <w:tc>
          <w:tcPr>
            <w:tcW w:type="dxa" w:w="950"/>
            <w:tcMar>
              <w:top w:type="dxa" w:w="60"/>
              <w:left w:type="dxa" w:w="100"/>
              <w:bottom w:type="dxa" w:w="60"/>
              <w:right w:type="dxa" w:w="100"/>
            </w:tcMar>
            <w:vAlign w:val="center"/>
          </w:tcPr>
          <w:p>
            <w:pPr>
              <w:jc w:val="center"/>
            </w:pPr>
            <w:r>
              <w:rPr>
                <w:sz w:val="20"/>
                <w:szCs w:val="20"/>
              </w:rPr>
              <w:t xml:space="preserve">32.5%</w:t>
            </w:r>
          </w:p>
        </w:tc>
        <w:tc>
          <w:tcPr>
            <w:tcW w:type="dxa" w:w="950"/>
            <w:tcMar>
              <w:top w:type="dxa" w:w="60"/>
              <w:left w:type="dxa" w:w="100"/>
              <w:bottom w:type="dxa" w:w="60"/>
              <w:right w:type="dxa" w:w="100"/>
            </w:tcMar>
            <w:vAlign w:val="center"/>
          </w:tcPr>
          <w:p>
            <w:pPr>
              <w:jc w:val="center"/>
            </w:pPr>
            <w:r>
              <w:rPr>
                <w:sz w:val="20"/>
                <w:szCs w:val="20"/>
              </w:rPr>
              <w:t xml:space="preserve">23.9%</w:t>
            </w:r>
          </w:p>
        </w:tc>
        <w:tc>
          <w:tcPr>
            <w:tcW w:type="dxa" w:w="950"/>
            <w:tcMar>
              <w:top w:type="dxa" w:w="60"/>
              <w:left w:type="dxa" w:w="100"/>
              <w:bottom w:type="dxa" w:w="60"/>
              <w:right w:type="dxa" w:w="100"/>
            </w:tcMar>
            <w:vAlign w:val="center"/>
          </w:tcPr>
          <w:p>
            <w:pPr>
              <w:jc w:val="center"/>
            </w:pPr>
            <w:r>
              <w:rPr>
                <w:sz w:val="20"/>
                <w:szCs w:val="20"/>
              </w:rPr>
              <w:t xml:space="preserve">85.7%</w:t>
            </w:r>
          </w:p>
        </w:tc>
        <w:tc>
          <w:tcPr>
            <w:tcW w:type="dxa" w:w="950"/>
            <w:tcMar>
              <w:top w:type="dxa" w:w="60"/>
              <w:left w:type="dxa" w:w="100"/>
              <w:bottom w:type="dxa" w:w="60"/>
              <w:right w:type="dxa" w:w="100"/>
            </w:tcMar>
            <w:vAlign w:val="center"/>
          </w:tcPr>
          <w:p>
            <w:pPr>
              <w:jc w:val="center"/>
            </w:pPr>
            <w:r>
              <w:rPr>
                <w:sz w:val="20"/>
                <w:szCs w:val="20"/>
              </w:rPr>
              <w:t xml:space="preserve">23.0%</w:t>
            </w:r>
          </w:p>
        </w:tc>
        <w:tc>
          <w:tcPr>
            <w:tcW w:type="dxa" w:w="950"/>
            <w:tcMar>
              <w:top w:type="dxa" w:w="60"/>
              <w:left w:type="dxa" w:w="100"/>
              <w:bottom w:type="dxa" w:w="60"/>
              <w:right w:type="dxa" w:w="100"/>
            </w:tcMar>
            <w:vAlign w:val="center"/>
          </w:tcPr>
          <w:p>
            <w:pPr>
              <w:jc w:val="center"/>
            </w:pPr>
            <w:r>
              <w:rPr>
                <w:sz w:val="20"/>
                <w:szCs w:val="20"/>
              </w:rPr>
              <w:t xml:space="preserve">23.0%</w:t>
            </w:r>
          </w:p>
        </w:tc>
      </w:tr>
      <w:tr>
        <w:tc>
          <w:tcPr>
            <w:tcW w:type="dxa" w:w="3200"/>
            <w:tcMar>
              <w:top w:type="dxa" w:w="60"/>
              <w:left w:type="dxa" w:w="100"/>
              <w:bottom w:type="dxa" w:w="60"/>
              <w:right w:type="dxa" w:w="100"/>
            </w:tcMar>
            <w:vAlign w:val="center"/>
          </w:tcPr>
          <w:p>
            <w:pPr>
              <w:jc w:val="left"/>
            </w:pPr>
            <w:r>
              <w:rPr>
                <w:sz w:val="20"/>
                <w:szCs w:val="20"/>
              </w:rPr>
              <w:t xml:space="preserve">Prune 50% → client FT → QAT FT (base recipe)</w:t>
            </w:r>
          </w:p>
        </w:tc>
        <w:tc>
          <w:tcPr>
            <w:tcW w:type="dxa" w:w="950"/>
            <w:tcMar>
              <w:top w:type="dxa" w:w="60"/>
              <w:left w:type="dxa" w:w="100"/>
              <w:bottom w:type="dxa" w:w="60"/>
              <w:right w:type="dxa" w:w="100"/>
            </w:tcMar>
            <w:vAlign w:val="center"/>
          </w:tcPr>
          <w:p>
            <w:pPr>
              <w:jc w:val="center"/>
            </w:pPr>
            <w:r>
              <w:rPr>
                <w:sz w:val="20"/>
                <w:szCs w:val="20"/>
              </w:rPr>
              <w:t xml:space="preserve">94.2%</w:t>
            </w:r>
          </w:p>
        </w:tc>
        <w:tc>
          <w:tcPr>
            <w:tcW w:type="dxa" w:w="950"/>
            <w:tcMar>
              <w:top w:type="dxa" w:w="60"/>
              <w:left w:type="dxa" w:w="100"/>
              <w:bottom w:type="dxa" w:w="60"/>
              <w:right w:type="dxa" w:w="100"/>
            </w:tcMar>
            <w:vAlign w:val="center"/>
          </w:tcPr>
          <w:p>
            <w:pPr>
              <w:jc w:val="center"/>
            </w:pPr>
            <w:r>
              <w:rPr>
                <w:sz w:val="20"/>
                <w:szCs w:val="20"/>
              </w:rPr>
              <w:t xml:space="preserve">44.3%</w:t>
            </w:r>
          </w:p>
        </w:tc>
        <w:tc>
          <w:tcPr>
            <w:tcW w:type="dxa" w:w="950"/>
            <w:tcMar>
              <w:top w:type="dxa" w:w="60"/>
              <w:left w:type="dxa" w:w="100"/>
              <w:bottom w:type="dxa" w:w="60"/>
              <w:right w:type="dxa" w:w="100"/>
            </w:tcMar>
            <w:vAlign w:val="center"/>
          </w:tcPr>
          <w:p>
            <w:pPr>
              <w:jc w:val="center"/>
            </w:pPr>
            <w:r>
              <w:rPr>
                <w:sz w:val="20"/>
                <w:szCs w:val="20"/>
              </w:rPr>
              <w:t xml:space="preserve">45.6%</w:t>
            </w:r>
          </w:p>
        </w:tc>
        <w:tc>
          <w:tcPr>
            <w:tcW w:type="dxa" w:w="950"/>
            <w:tcMar>
              <w:top w:type="dxa" w:w="60"/>
              <w:left w:type="dxa" w:w="100"/>
              <w:bottom w:type="dxa" w:w="60"/>
              <w:right w:type="dxa" w:w="100"/>
            </w:tcMar>
            <w:vAlign w:val="center"/>
          </w:tcPr>
          <w:p>
            <w:pPr>
              <w:jc w:val="center"/>
            </w:pPr>
            <w:r>
              <w:rPr>
                <w:sz w:val="20"/>
                <w:szCs w:val="20"/>
              </w:rPr>
              <w:t xml:space="preserve">98.0%</w:t>
            </w:r>
          </w:p>
        </w:tc>
        <w:tc>
          <w:tcPr>
            <w:tcW w:type="dxa" w:w="950"/>
            <w:tcMar>
              <w:top w:type="dxa" w:w="60"/>
              <w:left w:type="dxa" w:w="100"/>
              <w:bottom w:type="dxa" w:w="60"/>
              <w:right w:type="dxa" w:w="100"/>
            </w:tcMar>
            <w:vAlign w:val="center"/>
          </w:tcPr>
          <w:p>
            <w:pPr>
              <w:jc w:val="center"/>
            </w:pPr>
            <w:r>
              <w:rPr>
                <w:sz w:val="20"/>
                <w:szCs w:val="20"/>
              </w:rPr>
              <w:t xml:space="preserve">23.0%</w:t>
            </w:r>
          </w:p>
        </w:tc>
        <w:tc>
          <w:tcPr>
            <w:tcW w:type="dxa" w:w="950"/>
            <w:tcMar>
              <w:top w:type="dxa" w:w="60"/>
              <w:left w:type="dxa" w:w="100"/>
              <w:bottom w:type="dxa" w:w="60"/>
              <w:right w:type="dxa" w:w="100"/>
            </w:tcMar>
            <w:vAlign w:val="center"/>
          </w:tcPr>
          <w:p>
            <w:pPr>
              <w:jc w:val="center"/>
            </w:pPr>
            <w:r>
              <w:rPr>
                <w:sz w:val="20"/>
                <w:szCs w:val="20"/>
              </w:rPr>
              <w:t xml:space="preserve">23.0%</w:t>
            </w:r>
          </w:p>
        </w:tc>
      </w:tr>
      <w:tr>
        <w:tc>
          <w:tcPr>
            <w:tcW w:type="dxa" w:w="3200"/>
            <w:tcMar>
              <w:top w:type="dxa" w:w="60"/>
              <w:left w:type="dxa" w:w="100"/>
              <w:bottom w:type="dxa" w:w="60"/>
              <w:right w:type="dxa" w:w="100"/>
            </w:tcMar>
            <w:vAlign w:val="center"/>
          </w:tcPr>
          <w:p>
            <w:pPr>
              <w:jc w:val="left"/>
            </w:pPr>
            <w:r>
              <w:rPr>
                <w:sz w:val="20"/>
                <w:szCs w:val="20"/>
              </w:rPr>
              <w:t xml:space="preserve">Prune 50% → pooled FT → QAT FT (upper bound)</w:t>
            </w:r>
          </w:p>
        </w:tc>
        <w:tc>
          <w:tcPr>
            <w:tcW w:type="dxa" w:w="950"/>
            <w:tcMar>
              <w:top w:type="dxa" w:w="60"/>
              <w:left w:type="dxa" w:w="100"/>
              <w:bottom w:type="dxa" w:w="60"/>
              <w:right w:type="dxa" w:w="100"/>
            </w:tcMar>
            <w:vAlign w:val="center"/>
          </w:tcPr>
          <w:p>
            <w:pPr>
              <w:jc w:val="center"/>
            </w:pPr>
            <w:r>
              <w:rPr>
                <w:sz w:val="20"/>
                <w:szCs w:val="20"/>
              </w:rPr>
              <w:t xml:space="preserve">96.3%</w:t>
            </w:r>
          </w:p>
        </w:tc>
        <w:tc>
          <w:tcPr>
            <w:tcW w:type="dxa" w:w="950"/>
            <w:tcMar>
              <w:top w:type="dxa" w:w="60"/>
              <w:left w:type="dxa" w:w="100"/>
              <w:bottom w:type="dxa" w:w="60"/>
              <w:right w:type="dxa" w:w="100"/>
            </w:tcMar>
            <w:vAlign w:val="center"/>
          </w:tcPr>
          <w:p>
            <w:pPr>
              <w:jc w:val="center"/>
            </w:pPr>
            <w:r>
              <w:rPr>
                <w:sz w:val="20"/>
                <w:szCs w:val="20"/>
              </w:rPr>
              <w:t xml:space="preserve">44.7%</w:t>
            </w:r>
          </w:p>
        </w:tc>
        <w:tc>
          <w:tcPr>
            <w:tcW w:type="dxa" w:w="950"/>
            <w:tcMar>
              <w:top w:type="dxa" w:w="60"/>
              <w:left w:type="dxa" w:w="100"/>
              <w:bottom w:type="dxa" w:w="60"/>
              <w:right w:type="dxa" w:w="100"/>
            </w:tcMar>
            <w:vAlign w:val="center"/>
          </w:tcPr>
          <w:p>
            <w:pPr>
              <w:jc w:val="center"/>
            </w:pPr>
            <w:r>
              <w:rPr>
                <w:sz w:val="20"/>
                <w:szCs w:val="20"/>
              </w:rPr>
              <w:t xml:space="preserve">46.2%</w:t>
            </w:r>
          </w:p>
        </w:tc>
        <w:tc>
          <w:tcPr>
            <w:tcW w:type="dxa" w:w="950"/>
            <w:tcMar>
              <w:top w:type="dxa" w:w="60"/>
              <w:left w:type="dxa" w:w="100"/>
              <w:bottom w:type="dxa" w:w="60"/>
              <w:right w:type="dxa" w:w="100"/>
            </w:tcMar>
            <w:vAlign w:val="center"/>
          </w:tcPr>
          <w:p>
            <w:pPr>
              <w:jc w:val="center"/>
            </w:pPr>
            <w:r>
              <w:rPr>
                <w:sz w:val="20"/>
                <w:szCs w:val="20"/>
              </w:rPr>
              <w:t xml:space="preserve">98.7%</w:t>
            </w:r>
          </w:p>
        </w:tc>
        <w:tc>
          <w:tcPr>
            <w:tcW w:type="dxa" w:w="950"/>
            <w:tcMar>
              <w:top w:type="dxa" w:w="60"/>
              <w:left w:type="dxa" w:w="100"/>
              <w:bottom w:type="dxa" w:w="60"/>
              <w:right w:type="dxa" w:w="100"/>
            </w:tcMar>
            <w:vAlign w:val="center"/>
          </w:tcPr>
          <w:p>
            <w:pPr>
              <w:jc w:val="center"/>
            </w:pPr>
            <w:r>
              <w:rPr>
                <w:sz w:val="20"/>
                <w:szCs w:val="20"/>
              </w:rPr>
              <w:t xml:space="preserve">91.1%</w:t>
            </w:r>
          </w:p>
        </w:tc>
        <w:tc>
          <w:tcPr>
            <w:tcW w:type="dxa" w:w="950"/>
            <w:tcMar>
              <w:top w:type="dxa" w:w="60"/>
              <w:left w:type="dxa" w:w="100"/>
              <w:bottom w:type="dxa" w:w="60"/>
              <w:right w:type="dxa" w:w="100"/>
            </w:tcMar>
            <w:vAlign w:val="center"/>
          </w:tcPr>
          <w:p>
            <w:pPr>
              <w:jc w:val="center"/>
            </w:pPr>
            <w:r>
              <w:rPr>
                <w:sz w:val="20"/>
                <w:szCs w:val="20"/>
              </w:rPr>
              <w:t xml:space="preserve">91.1%</w:t>
            </w:r>
          </w:p>
        </w:tc>
      </w:tr>
    </w:tbl>
    <w:p>
      <w:pPr>
        <w:spacing w:after="240" w:before="80"/>
      </w:pPr>
      <w:r>
        <w:rPr>
          <w:i/>
          <w:iCs/>
          <w:sz w:val="20"/>
          <w:szCs w:val="20"/>
        </w:rPr>
        <w:t xml:space="preserve">Table 5. Accuracy under FGSM and PGD (ε = 0.1, standardized features), perturbations computed on the federated FP32 model and transferred to the other models. On TON_IoT, 23.0% equals the benign share of the test set: those models label every perturbed record benign.</w:t>
      </w:r>
    </w:p>
    <w:p>
      <w:pPr>
        <w:spacing w:after="160"/>
      </w:pPr>
      <w:r>
        <w:t xml:space="preserve">On CIC-IDS2017, INT8 PTQ preserves the federated model's robustness (PGD 55.6% → 60.4%). Pruning followed by fine-tuning reduces it. Of the pruned models, the QAT-fine-tuned deployment model (PGD 45.6%) is clearly more robust than the PTQ one (23.9%), which echoes the quantization-robustness interaction reported in [21–23]. The centralized model is markedly more fragile (PGD 29.0%) even though it is attacked only by transfer. On TON_IoT, ε = 0.1 is strong enough that every model except the pooled-fine-tuned one predicts all perturbed records as benign; the pooled-fine-tuned model keeps 91.1% accuracy, but it uses server-held data and is therefore only an upper bound. Two caveats apply. First, these are unconstrained L∞ perturbations in standardized feature space that ignore feature semantics (integer counts, encoded categories), so they overstate what a network attacker can realize. Second, the per-model differences come from a single seed, and the PTQ rows from a single calibration draw (Section 5.9). We report them as relative robustness under a common perturbation, not as absolute security guarantees.</w:t>
      </w:r>
    </w:p>
    <w:p>
      <w:pPr>
        <w:pStyle w:val="Heading2"/>
        <w:spacing w:after="140" w:before="260"/>
      </w:pPr>
      <w:r>
        <w:t xml:space="preserve">5.8 Practical Significance</w:t>
      </w:r>
    </w:p>
    <w:p>
      <w:pPr>
        <w:spacing w:after="160"/>
      </w:pPr>
      <w:r>
        <w:t xml:space="preserve">We deploy one model per dataset, chosen in Section 5.13 for recall priority: for CIC-IDS2017 the 112 KB INT8 model (30% pruning, distillation and QAT fine-tuning on clipped inputs, threshold 0.191 chosen on client data), and for TON_IoT the 57 KB INT8 model of the same recipe with federated fine-tuning (50% pruning, threshold 0.207). On the test split the CIC-IDS2017 model misses 27 of 85,173 attacks (0.032%) and flags 10.0% of benign flows, about one in ten; the TON_IoT model misses 12 of 16,215 attacks (0.074%) and flags 6.5% of benign records, about one in fifteen. For comparison, the base recipe of Table 3 at the fixed 0.3 threshold misses 291 of 85,173 CIC-IDS2017 attacks (FAR 6.82%) and 319 of 16,215 TON_IoT attacks (FAR 2.26%). The trade-off is therefore explicit: roughly 11–27 times fewer missed attacks for 1.5–2.9 times as many false alarms. A deployment with a fixed alert budget would choose the threshold on client data for that budget instead; Section 5.4 shows that the fine-tuning client's class mix shifts the trade-off as well.</w:t>
      </w:r>
    </w:p>
    <w:p>
      <w:pPr>
        <w:pStyle w:val="Heading2"/>
        <w:spacing w:after="140" w:before="260"/>
      </w:pPr>
      <w:r>
        <w:t xml:space="preserve">5.9 Quantization Methods</w:t>
      </w:r>
    </w:p>
    <w:p>
      <w:pPr>
        <w:spacing w:after="160"/>
      </w:pPr>
      <w:r>
        <w:t xml:space="preserve">INT8 is not the only post-training option. Table 6 applies five TensorFlow Lite conversions to the federated model and to the pruned (50%), client-fine-tuned model, with every calibration set drawn from client 0's local data so that the comparison stays FL-faithful. Dynamic-range quantization stores INT8 weights but computes in float; float16 halves the weights; full-integer INT8 quantizes weights and activations to 8 bits; int16x8 keeps INT8 weights and uses 16-bit activations.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450"/>
        <w:gridCol w:w="1450"/>
        <w:gridCol w:w="1450"/>
        <w:gridCol w:w="1450"/>
      </w:tblGrid>
      <w:tr>
        <w:trPr>
          <w:tblHeader/>
        </w:trPr>
        <w:tc>
          <w:tcPr>
            <w:tcW w:type="dxa" w:w="2700"/>
            <w:shd w:fill="D9E2F3" w:val="clear"/>
            <w:tcMar>
              <w:top w:type="dxa" w:w="60"/>
              <w:left w:type="dxa" w:w="100"/>
              <w:bottom w:type="dxa" w:w="60"/>
              <w:right w:type="dxa" w:w="100"/>
            </w:tcMar>
            <w:vAlign w:val="center"/>
          </w:tcPr>
          <w:p>
            <w:pPr>
              <w:jc w:val="center"/>
            </w:pPr>
            <w:r>
              <w:rPr>
                <w:b/>
                <w:bCs/>
                <w:sz w:val="20"/>
                <w:szCs w:val="20"/>
              </w:rPr>
              <w:t xml:space="preserve">Method</w:t>
            </w:r>
          </w:p>
        </w:tc>
        <w:tc>
          <w:tcPr>
            <w:tcW w:type="dxa" w:w="1100"/>
            <w:shd w:fill="D9E2F3" w:val="clear"/>
            <w:tcMar>
              <w:top w:type="dxa" w:w="60"/>
              <w:left w:type="dxa" w:w="100"/>
              <w:bottom w:type="dxa" w:w="60"/>
              <w:right w:type="dxa" w:w="100"/>
            </w:tcMar>
            <w:vAlign w:val="center"/>
          </w:tcPr>
          <w:p>
            <w:pPr>
              <w:jc w:val="center"/>
            </w:pPr>
            <w:r>
              <w:rPr>
                <w:b/>
                <w:bCs/>
                <w:sz w:val="20"/>
                <w:szCs w:val="20"/>
              </w:rPr>
              <w:t xml:space="preserve">Runs on our TFLM build</w:t>
            </w:r>
          </w:p>
        </w:tc>
        <w:tc>
          <w:tcPr>
            <w:tcW w:type="dxa" w:w="1450"/>
            <w:shd w:fill="D9E2F3" w:val="clear"/>
            <w:tcMar>
              <w:top w:type="dxa" w:w="60"/>
              <w:left w:type="dxa" w:w="100"/>
              <w:bottom w:type="dxa" w:w="60"/>
              <w:right w:type="dxa" w:w="100"/>
            </w:tcMar>
            <w:vAlign w:val="center"/>
          </w:tcPr>
          <w:p>
            <w:pPr>
              <w:jc w:val="center"/>
            </w:pPr>
            <w:r>
              <w:rPr>
                <w:b/>
                <w:bCs/>
                <w:sz w:val="20"/>
                <w:szCs w:val="20"/>
              </w:rPr>
              <w:t xml:space="preserve">CIC federated</w:t>
            </w:r>
          </w:p>
        </w:tc>
        <w:tc>
          <w:tcPr>
            <w:tcW w:type="dxa" w:w="1450"/>
            <w:shd w:fill="D9E2F3" w:val="clear"/>
            <w:tcMar>
              <w:top w:type="dxa" w:w="60"/>
              <w:left w:type="dxa" w:w="100"/>
              <w:bottom w:type="dxa" w:w="60"/>
              <w:right w:type="dxa" w:w="100"/>
            </w:tcMar>
            <w:vAlign w:val="center"/>
          </w:tcPr>
          <w:p>
            <w:pPr>
              <w:jc w:val="center"/>
            </w:pPr>
            <w:r>
              <w:rPr>
                <w:b/>
                <w:bCs/>
                <w:sz w:val="20"/>
                <w:szCs w:val="20"/>
              </w:rPr>
              <w:t xml:space="preserve">CIC pruned + client FT</w:t>
            </w:r>
          </w:p>
        </w:tc>
        <w:tc>
          <w:tcPr>
            <w:tcW w:type="dxa" w:w="1450"/>
            <w:shd w:fill="D9E2F3" w:val="clear"/>
            <w:tcMar>
              <w:top w:type="dxa" w:w="60"/>
              <w:left w:type="dxa" w:w="100"/>
              <w:bottom w:type="dxa" w:w="60"/>
              <w:right w:type="dxa" w:w="100"/>
            </w:tcMar>
            <w:vAlign w:val="center"/>
          </w:tcPr>
          <w:p>
            <w:pPr>
              <w:jc w:val="center"/>
            </w:pPr>
            <w:r>
              <w:rPr>
                <w:b/>
                <w:bCs/>
                <w:sz w:val="20"/>
                <w:szCs w:val="20"/>
              </w:rPr>
              <w:t xml:space="preserve">TON federated</w:t>
            </w:r>
          </w:p>
        </w:tc>
        <w:tc>
          <w:tcPr>
            <w:tcW w:type="dxa" w:w="1450"/>
            <w:shd w:fill="D9E2F3" w:val="clear"/>
            <w:tcMar>
              <w:top w:type="dxa" w:w="60"/>
              <w:left w:type="dxa" w:w="100"/>
              <w:bottom w:type="dxa" w:w="60"/>
              <w:right w:type="dxa" w:w="100"/>
            </w:tcMar>
            <w:vAlign w:val="center"/>
          </w:tcPr>
          <w:p>
            <w:pPr>
              <w:jc w:val="center"/>
            </w:pPr>
            <w:r>
              <w:rPr>
                <w:b/>
                <w:bCs/>
                <w:sz w:val="20"/>
                <w:szCs w:val="20"/>
              </w:rPr>
              <w:t xml:space="preserve">TON pruned + client FT</w:t>
            </w:r>
          </w:p>
        </w:tc>
      </w:tr>
      <w:tr>
        <w:tc>
          <w:tcPr>
            <w:tcW w:type="dxa" w:w="2700"/>
            <w:tcMar>
              <w:top w:type="dxa" w:w="60"/>
              <w:left w:type="dxa" w:w="100"/>
              <w:bottom w:type="dxa" w:w="60"/>
              <w:right w:type="dxa" w:w="100"/>
            </w:tcMar>
            <w:vAlign w:val="center"/>
          </w:tcPr>
          <w:p>
            <w:pPr>
              <w:jc w:val="left"/>
            </w:pPr>
            <w:r>
              <w:rPr>
                <w:sz w:val="20"/>
                <w:szCs w:val="20"/>
              </w:rPr>
              <w:t xml:space="preserve">FP32</w:t>
            </w:r>
          </w:p>
        </w:tc>
        <w:tc>
          <w:tcPr>
            <w:tcW w:type="dxa" w:w="1100"/>
            <w:tcMar>
              <w:top w:type="dxa" w:w="60"/>
              <w:left w:type="dxa" w:w="100"/>
              <w:bottom w:type="dxa" w:w="60"/>
              <w:right w:type="dxa" w:w="100"/>
            </w:tcMar>
            <w:vAlign w:val="center"/>
          </w:tcPr>
          <w:p>
            <w:pPr>
              <w:jc w:val="center"/>
            </w:pPr>
            <w:r>
              <w:rPr>
                <w:sz w:val="20"/>
                <w:szCs w:val="20"/>
              </w:rPr>
              <w:t xml:space="preserve">yes</w:t>
            </w:r>
          </w:p>
        </w:tc>
        <w:tc>
          <w:tcPr>
            <w:tcW w:type="dxa" w:w="1450"/>
            <w:tcMar>
              <w:top w:type="dxa" w:w="60"/>
              <w:left w:type="dxa" w:w="100"/>
              <w:bottom w:type="dxa" w:w="60"/>
              <w:right w:type="dxa" w:w="100"/>
            </w:tcMar>
            <w:vAlign w:val="center"/>
          </w:tcPr>
          <w:p>
            <w:pPr>
              <w:jc w:val="center"/>
            </w:pPr>
            <w:r>
              <w:rPr>
                <w:sz w:val="20"/>
                <w:szCs w:val="20"/>
              </w:rPr>
              <w:t xml:space="preserve">802 KB · 85.70</w:t>
            </w:r>
          </w:p>
        </w:tc>
        <w:tc>
          <w:tcPr>
            <w:tcW w:type="dxa" w:w="1450"/>
            <w:tcMar>
              <w:top w:type="dxa" w:w="60"/>
              <w:left w:type="dxa" w:w="100"/>
              <w:bottom w:type="dxa" w:w="60"/>
              <w:right w:type="dxa" w:w="100"/>
            </w:tcMar>
            <w:vAlign w:val="center"/>
          </w:tcPr>
          <w:p>
            <w:pPr>
              <w:jc w:val="center"/>
            </w:pPr>
            <w:r>
              <w:rPr>
                <w:sz w:val="20"/>
                <w:szCs w:val="20"/>
              </w:rPr>
              <w:t xml:space="preserve">243 KB · 89.39</w:t>
            </w:r>
          </w:p>
        </w:tc>
        <w:tc>
          <w:tcPr>
            <w:tcW w:type="dxa" w:w="1450"/>
            <w:tcMar>
              <w:top w:type="dxa" w:w="60"/>
              <w:left w:type="dxa" w:w="100"/>
              <w:bottom w:type="dxa" w:w="60"/>
              <w:right w:type="dxa" w:w="100"/>
            </w:tcMar>
            <w:vAlign w:val="center"/>
          </w:tcPr>
          <w:p>
            <w:pPr>
              <w:jc w:val="center"/>
            </w:pPr>
            <w:r>
              <w:rPr>
                <w:sz w:val="20"/>
                <w:szCs w:val="20"/>
              </w:rPr>
              <w:t xml:space="preserve">732 KB · 99.41</w:t>
            </w:r>
          </w:p>
        </w:tc>
        <w:tc>
          <w:tcPr>
            <w:tcW w:type="dxa" w:w="1450"/>
            <w:tcMar>
              <w:top w:type="dxa" w:w="60"/>
              <w:left w:type="dxa" w:w="100"/>
              <w:bottom w:type="dxa" w:w="60"/>
              <w:right w:type="dxa" w:w="100"/>
            </w:tcMar>
            <w:vAlign w:val="center"/>
          </w:tcPr>
          <w:p>
            <w:pPr>
              <w:jc w:val="center"/>
            </w:pPr>
            <w:r>
              <w:rPr>
                <w:sz w:val="20"/>
                <w:szCs w:val="20"/>
              </w:rPr>
              <w:t xml:space="preserve">208 KB · 99.42</w:t>
            </w:r>
          </w:p>
        </w:tc>
      </w:tr>
      <w:tr>
        <w:tc>
          <w:tcPr>
            <w:tcW w:type="dxa" w:w="2700"/>
            <w:tcMar>
              <w:top w:type="dxa" w:w="60"/>
              <w:left w:type="dxa" w:w="100"/>
              <w:bottom w:type="dxa" w:w="60"/>
              <w:right w:type="dxa" w:w="100"/>
            </w:tcMar>
            <w:vAlign w:val="center"/>
          </w:tcPr>
          <w:p>
            <w:pPr>
              <w:jc w:val="left"/>
            </w:pPr>
            <w:r>
              <w:rPr>
                <w:sz w:val="20"/>
                <w:szCs w:val="20"/>
              </w:rPr>
              <w:t xml:space="preserve">Dynamic range (INT8 weights, float compute)</w:t>
            </w:r>
          </w:p>
        </w:tc>
        <w:tc>
          <w:tcPr>
            <w:tcW w:type="dxa" w:w="1100"/>
            <w:tcMar>
              <w:top w:type="dxa" w:w="60"/>
              <w:left w:type="dxa" w:w="100"/>
              <w:bottom w:type="dxa" w:w="60"/>
              <w:right w:type="dxa" w:w="100"/>
            </w:tcMar>
            <w:vAlign w:val="center"/>
          </w:tcPr>
          <w:p>
            <w:pPr>
              <w:jc w:val="center"/>
            </w:pPr>
            <w:r>
              <w:rPr>
                <w:sz w:val="20"/>
                <w:szCs w:val="20"/>
              </w:rPr>
              <w:t xml:space="preserve">no</w:t>
            </w:r>
          </w:p>
        </w:tc>
        <w:tc>
          <w:tcPr>
            <w:tcW w:type="dxa" w:w="1450"/>
            <w:tcMar>
              <w:top w:type="dxa" w:w="60"/>
              <w:left w:type="dxa" w:w="100"/>
              <w:bottom w:type="dxa" w:w="60"/>
              <w:right w:type="dxa" w:w="100"/>
            </w:tcMar>
            <w:vAlign w:val="center"/>
          </w:tcPr>
          <w:p>
            <w:pPr>
              <w:jc w:val="center"/>
            </w:pPr>
            <w:r>
              <w:rPr>
                <w:sz w:val="20"/>
                <w:szCs w:val="20"/>
              </w:rPr>
              <w:t xml:space="preserve">216 KB · 85.58</w:t>
            </w:r>
          </w:p>
        </w:tc>
        <w:tc>
          <w:tcPr>
            <w:tcW w:type="dxa" w:w="1450"/>
            <w:tcMar>
              <w:top w:type="dxa" w:w="60"/>
              <w:left w:type="dxa" w:w="100"/>
              <w:bottom w:type="dxa" w:w="60"/>
              <w:right w:type="dxa" w:w="100"/>
            </w:tcMar>
            <w:vAlign w:val="center"/>
          </w:tcPr>
          <w:p>
            <w:pPr>
              <w:jc w:val="center"/>
            </w:pPr>
            <w:r>
              <w:rPr>
                <w:sz w:val="20"/>
                <w:szCs w:val="20"/>
              </w:rPr>
              <w:t xml:space="preserve">69 KB · 90.13</w:t>
            </w:r>
          </w:p>
        </w:tc>
        <w:tc>
          <w:tcPr>
            <w:tcW w:type="dxa" w:w="1450"/>
            <w:tcMar>
              <w:top w:type="dxa" w:w="60"/>
              <w:left w:type="dxa" w:w="100"/>
              <w:bottom w:type="dxa" w:w="60"/>
              <w:right w:type="dxa" w:w="100"/>
            </w:tcMar>
            <w:vAlign w:val="center"/>
          </w:tcPr>
          <w:p>
            <w:pPr>
              <w:jc w:val="center"/>
            </w:pPr>
            <w:r>
              <w:rPr>
                <w:sz w:val="20"/>
                <w:szCs w:val="20"/>
              </w:rPr>
              <w:t xml:space="preserve">199 KB · 99.41</w:t>
            </w:r>
          </w:p>
        </w:tc>
        <w:tc>
          <w:tcPr>
            <w:tcW w:type="dxa" w:w="1450"/>
            <w:tcMar>
              <w:top w:type="dxa" w:w="60"/>
              <w:left w:type="dxa" w:w="100"/>
              <w:bottom w:type="dxa" w:w="60"/>
              <w:right w:type="dxa" w:w="100"/>
            </w:tcMar>
            <w:vAlign w:val="center"/>
          </w:tcPr>
          <w:p>
            <w:pPr>
              <w:jc w:val="center"/>
            </w:pPr>
            <w:r>
              <w:rPr>
                <w:sz w:val="20"/>
                <w:szCs w:val="20"/>
              </w:rPr>
              <w:t xml:space="preserve">61 KB · 99.43</w:t>
            </w:r>
          </w:p>
        </w:tc>
      </w:tr>
      <w:tr>
        <w:tc>
          <w:tcPr>
            <w:tcW w:type="dxa" w:w="2700"/>
            <w:tcMar>
              <w:top w:type="dxa" w:w="60"/>
              <w:left w:type="dxa" w:w="100"/>
              <w:bottom w:type="dxa" w:w="60"/>
              <w:right w:type="dxa" w:w="100"/>
            </w:tcMar>
            <w:vAlign w:val="center"/>
          </w:tcPr>
          <w:p>
            <w:pPr>
              <w:jc w:val="left"/>
            </w:pPr>
            <w:r>
              <w:rPr>
                <w:sz w:val="20"/>
                <w:szCs w:val="20"/>
              </w:rPr>
              <w:t xml:space="preserve">Float16 weights</w:t>
            </w:r>
          </w:p>
        </w:tc>
        <w:tc>
          <w:tcPr>
            <w:tcW w:type="dxa" w:w="1100"/>
            <w:tcMar>
              <w:top w:type="dxa" w:w="60"/>
              <w:left w:type="dxa" w:w="100"/>
              <w:bottom w:type="dxa" w:w="60"/>
              <w:right w:type="dxa" w:w="100"/>
            </w:tcMar>
            <w:vAlign w:val="center"/>
          </w:tcPr>
          <w:p>
            <w:pPr>
              <w:jc w:val="center"/>
            </w:pPr>
            <w:r>
              <w:rPr>
                <w:sz w:val="20"/>
                <w:szCs w:val="20"/>
              </w:rPr>
              <w:t xml:space="preserve">no</w:t>
            </w:r>
          </w:p>
        </w:tc>
        <w:tc>
          <w:tcPr>
            <w:tcW w:type="dxa" w:w="1450"/>
            <w:tcMar>
              <w:top w:type="dxa" w:w="60"/>
              <w:left w:type="dxa" w:w="100"/>
              <w:bottom w:type="dxa" w:w="60"/>
              <w:right w:type="dxa" w:w="100"/>
            </w:tcMar>
            <w:vAlign w:val="center"/>
          </w:tcPr>
          <w:p>
            <w:pPr>
              <w:jc w:val="center"/>
            </w:pPr>
            <w:r>
              <w:rPr>
                <w:sz w:val="20"/>
                <w:szCs w:val="20"/>
              </w:rPr>
              <w:t xml:space="preserve">404 KB · 85.70</w:t>
            </w:r>
          </w:p>
        </w:tc>
        <w:tc>
          <w:tcPr>
            <w:tcW w:type="dxa" w:w="1450"/>
            <w:tcMar>
              <w:top w:type="dxa" w:w="60"/>
              <w:left w:type="dxa" w:w="100"/>
              <w:bottom w:type="dxa" w:w="60"/>
              <w:right w:type="dxa" w:w="100"/>
            </w:tcMar>
            <w:vAlign w:val="center"/>
          </w:tcPr>
          <w:p>
            <w:pPr>
              <w:jc w:val="center"/>
            </w:pPr>
            <w:r>
              <w:rPr>
                <w:sz w:val="20"/>
                <w:szCs w:val="20"/>
              </w:rPr>
              <w:t xml:space="preserve">124 KB · 89.35</w:t>
            </w:r>
          </w:p>
        </w:tc>
        <w:tc>
          <w:tcPr>
            <w:tcW w:type="dxa" w:w="1450"/>
            <w:tcMar>
              <w:top w:type="dxa" w:w="60"/>
              <w:left w:type="dxa" w:w="100"/>
              <w:bottom w:type="dxa" w:w="60"/>
              <w:right w:type="dxa" w:w="100"/>
            </w:tcMar>
            <w:vAlign w:val="center"/>
          </w:tcPr>
          <w:p>
            <w:pPr>
              <w:jc w:val="center"/>
            </w:pPr>
            <w:r>
              <w:rPr>
                <w:sz w:val="20"/>
                <w:szCs w:val="20"/>
              </w:rPr>
              <w:t xml:space="preserve">369 KB · 99.41</w:t>
            </w:r>
          </w:p>
        </w:tc>
        <w:tc>
          <w:tcPr>
            <w:tcW w:type="dxa" w:w="1450"/>
            <w:tcMar>
              <w:top w:type="dxa" w:w="60"/>
              <w:left w:type="dxa" w:w="100"/>
              <w:bottom w:type="dxa" w:w="60"/>
              <w:right w:type="dxa" w:w="100"/>
            </w:tcMar>
            <w:vAlign w:val="center"/>
          </w:tcPr>
          <w:p>
            <w:pPr>
              <w:jc w:val="center"/>
            </w:pPr>
            <w:r>
              <w:rPr>
                <w:sz w:val="20"/>
                <w:szCs w:val="20"/>
              </w:rPr>
              <w:t xml:space="preserve">106 KB · 99.42</w:t>
            </w:r>
          </w:p>
        </w:tc>
      </w:tr>
      <w:tr>
        <w:tc>
          <w:tcPr>
            <w:tcW w:type="dxa" w:w="2700"/>
            <w:tcMar>
              <w:top w:type="dxa" w:w="60"/>
              <w:left w:type="dxa" w:w="100"/>
              <w:bottom w:type="dxa" w:w="60"/>
              <w:right w:type="dxa" w:w="100"/>
            </w:tcMar>
            <w:vAlign w:val="center"/>
          </w:tcPr>
          <w:p>
            <w:pPr>
              <w:jc w:val="left"/>
            </w:pPr>
            <w:r>
              <w:rPr>
                <w:sz w:val="20"/>
                <w:szCs w:val="20"/>
              </w:rPr>
              <w:t xml:space="preserve">Full-integer INT8 PTQ</w:t>
            </w:r>
          </w:p>
        </w:tc>
        <w:tc>
          <w:tcPr>
            <w:tcW w:type="dxa" w:w="1100"/>
            <w:tcMar>
              <w:top w:type="dxa" w:w="60"/>
              <w:left w:type="dxa" w:w="100"/>
              <w:bottom w:type="dxa" w:w="60"/>
              <w:right w:type="dxa" w:w="100"/>
            </w:tcMar>
            <w:vAlign w:val="center"/>
          </w:tcPr>
          <w:p>
            <w:pPr>
              <w:jc w:val="center"/>
            </w:pPr>
            <w:r>
              <w:rPr>
                <w:sz w:val="20"/>
                <w:szCs w:val="20"/>
              </w:rPr>
              <w:t xml:space="preserve">yes</w:t>
            </w:r>
          </w:p>
        </w:tc>
        <w:tc>
          <w:tcPr>
            <w:tcW w:type="dxa" w:w="1450"/>
            <w:tcMar>
              <w:top w:type="dxa" w:w="60"/>
              <w:left w:type="dxa" w:w="100"/>
              <w:bottom w:type="dxa" w:w="60"/>
              <w:right w:type="dxa" w:w="100"/>
            </w:tcMar>
            <w:vAlign w:val="center"/>
          </w:tcPr>
          <w:p>
            <w:pPr>
              <w:jc w:val="center"/>
            </w:pPr>
            <w:r>
              <w:rPr>
                <w:sz w:val="20"/>
                <w:szCs w:val="20"/>
              </w:rPr>
              <w:t xml:space="preserve">227 KB · 85.02</w:t>
            </w:r>
          </w:p>
        </w:tc>
        <w:tc>
          <w:tcPr>
            <w:tcW w:type="dxa" w:w="1450"/>
            <w:tcMar>
              <w:top w:type="dxa" w:w="60"/>
              <w:left w:type="dxa" w:w="100"/>
              <w:bottom w:type="dxa" w:w="60"/>
              <w:right w:type="dxa" w:w="100"/>
            </w:tcMar>
            <w:vAlign w:val="center"/>
          </w:tcPr>
          <w:p>
            <w:pPr>
              <w:jc w:val="center"/>
            </w:pPr>
            <w:r>
              <w:rPr>
                <w:sz w:val="20"/>
                <w:szCs w:val="20"/>
              </w:rPr>
              <w:t xml:space="preserve">75 KB · 86.90</w:t>
            </w:r>
          </w:p>
        </w:tc>
        <w:tc>
          <w:tcPr>
            <w:tcW w:type="dxa" w:w="1450"/>
            <w:tcMar>
              <w:top w:type="dxa" w:w="60"/>
              <w:left w:type="dxa" w:w="100"/>
              <w:bottom w:type="dxa" w:w="60"/>
              <w:right w:type="dxa" w:w="100"/>
            </w:tcMar>
            <w:vAlign w:val="center"/>
          </w:tcPr>
          <w:p>
            <w:pPr>
              <w:jc w:val="center"/>
            </w:pPr>
            <w:r>
              <w:rPr>
                <w:sz w:val="20"/>
                <w:szCs w:val="20"/>
              </w:rPr>
              <w:t xml:space="preserve">209 KB · 97.69</w:t>
            </w:r>
          </w:p>
        </w:tc>
        <w:tc>
          <w:tcPr>
            <w:tcW w:type="dxa" w:w="1450"/>
            <w:tcMar>
              <w:top w:type="dxa" w:w="60"/>
              <w:left w:type="dxa" w:w="100"/>
              <w:bottom w:type="dxa" w:w="60"/>
              <w:right w:type="dxa" w:w="100"/>
            </w:tcMar>
            <w:vAlign w:val="center"/>
          </w:tcPr>
          <w:p>
            <w:pPr>
              <w:jc w:val="center"/>
            </w:pPr>
            <w:r>
              <w:rPr>
                <w:sz w:val="20"/>
                <w:szCs w:val="20"/>
              </w:rPr>
              <w:t xml:space="preserve">66 KB · 90.20</w:t>
            </w:r>
          </w:p>
        </w:tc>
      </w:tr>
      <w:tr>
        <w:tc>
          <w:tcPr>
            <w:tcW w:type="dxa" w:w="2700"/>
            <w:tcMar>
              <w:top w:type="dxa" w:w="60"/>
              <w:left w:type="dxa" w:w="100"/>
              <w:bottom w:type="dxa" w:w="60"/>
              <w:right w:type="dxa" w:w="100"/>
            </w:tcMar>
            <w:vAlign w:val="center"/>
          </w:tcPr>
          <w:p>
            <w:pPr>
              <w:jc w:val="left"/>
            </w:pPr>
            <w:r>
              <w:rPr>
                <w:sz w:val="20"/>
                <w:szCs w:val="20"/>
              </w:rPr>
              <w:t xml:space="preserve">int16x8 (INT8 weights, 16-bit activations)</w:t>
            </w:r>
          </w:p>
        </w:tc>
        <w:tc>
          <w:tcPr>
            <w:tcW w:type="dxa" w:w="1100"/>
            <w:tcMar>
              <w:top w:type="dxa" w:w="60"/>
              <w:left w:type="dxa" w:w="100"/>
              <w:bottom w:type="dxa" w:w="60"/>
              <w:right w:type="dxa" w:w="100"/>
            </w:tcMar>
            <w:vAlign w:val="center"/>
          </w:tcPr>
          <w:p>
            <w:pPr>
              <w:jc w:val="center"/>
            </w:pPr>
            <w:r>
              <w:rPr>
                <w:sz w:val="20"/>
                <w:szCs w:val="20"/>
              </w:rPr>
              <w:t xml:space="preserve">untested</w:t>
            </w:r>
          </w:p>
        </w:tc>
        <w:tc>
          <w:tcPr>
            <w:tcW w:type="dxa" w:w="1450"/>
            <w:tcMar>
              <w:top w:type="dxa" w:w="60"/>
              <w:left w:type="dxa" w:w="100"/>
              <w:bottom w:type="dxa" w:w="60"/>
              <w:right w:type="dxa" w:w="100"/>
            </w:tcMar>
            <w:vAlign w:val="center"/>
          </w:tcPr>
          <w:p>
            <w:pPr>
              <w:jc w:val="center"/>
            </w:pPr>
            <w:r>
              <w:rPr>
                <w:sz w:val="20"/>
                <w:szCs w:val="20"/>
              </w:rPr>
              <w:t xml:space="preserve">238 KB · 85.48</w:t>
            </w:r>
          </w:p>
        </w:tc>
        <w:tc>
          <w:tcPr>
            <w:tcW w:type="dxa" w:w="1450"/>
            <w:tcMar>
              <w:top w:type="dxa" w:w="60"/>
              <w:left w:type="dxa" w:w="100"/>
              <w:bottom w:type="dxa" w:w="60"/>
              <w:right w:type="dxa" w:w="100"/>
            </w:tcMar>
            <w:vAlign w:val="center"/>
          </w:tcPr>
          <w:p>
            <w:pPr>
              <w:jc w:val="center"/>
            </w:pPr>
            <w:r>
              <w:rPr>
                <w:sz w:val="20"/>
                <w:szCs w:val="20"/>
              </w:rPr>
              <w:t xml:space="preserve">81 KB · 89.61</w:t>
            </w:r>
          </w:p>
        </w:tc>
        <w:tc>
          <w:tcPr>
            <w:tcW w:type="dxa" w:w="1450"/>
            <w:tcMar>
              <w:top w:type="dxa" w:w="60"/>
              <w:left w:type="dxa" w:w="100"/>
              <w:bottom w:type="dxa" w:w="60"/>
              <w:right w:type="dxa" w:w="100"/>
            </w:tcMar>
            <w:vAlign w:val="center"/>
          </w:tcPr>
          <w:p>
            <w:pPr>
              <w:jc w:val="center"/>
            </w:pPr>
            <w:r>
              <w:rPr>
                <w:sz w:val="20"/>
                <w:szCs w:val="20"/>
              </w:rPr>
              <w:t xml:space="preserve">220 KB · 99.40</w:t>
            </w:r>
          </w:p>
        </w:tc>
        <w:tc>
          <w:tcPr>
            <w:tcW w:type="dxa" w:w="1450"/>
            <w:tcMar>
              <w:top w:type="dxa" w:w="60"/>
              <w:left w:type="dxa" w:w="100"/>
              <w:bottom w:type="dxa" w:w="60"/>
              <w:right w:type="dxa" w:w="100"/>
            </w:tcMar>
            <w:vAlign w:val="center"/>
          </w:tcPr>
          <w:p>
            <w:pPr>
              <w:jc w:val="center"/>
            </w:pPr>
            <w:r>
              <w:rPr>
                <w:sz w:val="20"/>
                <w:szCs w:val="20"/>
              </w:rPr>
              <w:t xml:space="preserve">72 KB · 99.41</w:t>
            </w:r>
          </w:p>
        </w:tc>
      </w:tr>
      <w:tr>
        <w:tc>
          <w:tcPr>
            <w:tcW w:type="dxa" w:w="2700"/>
            <w:tcMar>
              <w:top w:type="dxa" w:w="60"/>
              <w:left w:type="dxa" w:w="100"/>
              <w:bottom w:type="dxa" w:w="60"/>
              <w:right w:type="dxa" w:w="100"/>
            </w:tcMar>
            <w:vAlign w:val="center"/>
          </w:tcPr>
          <w:p>
            <w:pPr>
              <w:jc w:val="left"/>
            </w:pPr>
            <w:r>
              <w:rPr>
                <w:sz w:val="20"/>
                <w:szCs w:val="20"/>
              </w:rPr>
              <w:t xml:space="preserve">INT8 via QAT fine-tuning (base recipe, Table 3)</w:t>
            </w:r>
          </w:p>
        </w:tc>
        <w:tc>
          <w:tcPr>
            <w:tcW w:type="dxa" w:w="1100"/>
            <w:tcMar>
              <w:top w:type="dxa" w:w="60"/>
              <w:left w:type="dxa" w:w="100"/>
              <w:bottom w:type="dxa" w:w="60"/>
              <w:right w:type="dxa" w:w="100"/>
            </w:tcMar>
            <w:vAlign w:val="center"/>
          </w:tcPr>
          <w:p>
            <w:pPr>
              <w:jc w:val="center"/>
            </w:pPr>
            <w:r>
              <w:rPr>
                <w:sz w:val="20"/>
                <w:szCs w:val="20"/>
              </w:rPr>
              <w:t xml:space="preserve">yes</w:t>
            </w:r>
          </w:p>
        </w:tc>
        <w:tc>
          <w:tcPr>
            <w:tcW w:type="dxa" w:w="1450"/>
            <w:tcMar>
              <w:top w:type="dxa" w:w="60"/>
              <w:left w:type="dxa" w:w="100"/>
              <w:bottom w:type="dxa" w:w="60"/>
              <w:right w:type="dxa" w:w="100"/>
            </w:tcMar>
            <w:vAlign w:val="center"/>
          </w:tcPr>
          <w:p>
            <w:pPr>
              <w:jc w:val="center"/>
            </w:pPr>
            <w:r>
              <w:rPr>
                <w:sz w:val="20"/>
                <w:szCs w:val="20"/>
              </w:rPr>
              <w:t xml:space="preserve">—</w:t>
            </w:r>
          </w:p>
        </w:tc>
        <w:tc>
          <w:tcPr>
            <w:tcW w:type="dxa" w:w="1450"/>
            <w:tcMar>
              <w:top w:type="dxa" w:w="60"/>
              <w:left w:type="dxa" w:w="100"/>
              <w:bottom w:type="dxa" w:w="60"/>
              <w:right w:type="dxa" w:w="100"/>
            </w:tcMar>
            <w:vAlign w:val="center"/>
          </w:tcPr>
          <w:p>
            <w:pPr>
              <w:jc w:val="center"/>
            </w:pPr>
            <w:r>
              <w:rPr>
                <w:sz w:val="20"/>
                <w:szCs w:val="20"/>
              </w:rPr>
              <w:t xml:space="preserve">65 KB · 85.59</w:t>
            </w:r>
          </w:p>
        </w:tc>
        <w:tc>
          <w:tcPr>
            <w:tcW w:type="dxa" w:w="1450"/>
            <w:tcMar>
              <w:top w:type="dxa" w:w="60"/>
              <w:left w:type="dxa" w:w="100"/>
              <w:bottom w:type="dxa" w:w="60"/>
              <w:right w:type="dxa" w:w="100"/>
            </w:tcMar>
            <w:vAlign w:val="center"/>
          </w:tcPr>
          <w:p>
            <w:pPr>
              <w:jc w:val="center"/>
            </w:pPr>
            <w:r>
              <w:rPr>
                <w:sz w:val="20"/>
                <w:szCs w:val="20"/>
              </w:rPr>
              <w:t xml:space="preserve">—</w:t>
            </w:r>
          </w:p>
        </w:tc>
        <w:tc>
          <w:tcPr>
            <w:tcW w:type="dxa" w:w="1450"/>
            <w:tcMar>
              <w:top w:type="dxa" w:w="60"/>
              <w:left w:type="dxa" w:w="100"/>
              <w:bottom w:type="dxa" w:w="60"/>
              <w:right w:type="dxa" w:w="100"/>
            </w:tcMar>
            <w:vAlign w:val="center"/>
          </w:tcPr>
          <w:p>
            <w:pPr>
              <w:jc w:val="center"/>
            </w:pPr>
            <w:r>
              <w:rPr>
                <w:sz w:val="20"/>
                <w:szCs w:val="20"/>
              </w:rPr>
              <w:t xml:space="preserve">57 KB · 98.67</w:t>
            </w:r>
          </w:p>
        </w:tc>
      </w:tr>
    </w:tbl>
    <w:p>
      <w:pPr>
        <w:spacing w:after="240" w:before="80"/>
      </w:pPr>
      <w:r>
        <w:rPr>
          <w:i/>
          <w:iCs/>
          <w:sz w:val="20"/>
          <w:szCs w:val="20"/>
        </w:rPr>
        <w:t xml:space="preserve">Table 6. Size and F1 for post-training quantization methods (test split, threshold 0.3). Calibration for INT8 and int16x8 uses one draw of 500 samples of client 0's data (Table 7 shows the spread over draws). "Pruned + client FT" is prune 50% → 3 epochs of fine-tuning on 10,000 client-0 samples. FAR for the full-integer INT8 rows on TON_IoT is 3.8% and 13.2%; for all float-activation and int16x8 rows it is within 0.5 points of FP32.</w:t>
      </w:r>
    </w:p>
    <w:p>
      <w:pPr>
        <w:spacing w:after="160"/>
      </w:pPr>
      <w:r>
        <w:t xml:space="preserve">Every method that keeps activations in float or 16 bits loses at most 0.25 F1 on both datasets (dynamic range even gains 0.7 on the pruned CIC-IDS2017 model), so weight precision is not the bottleneck. Full-integer INT8 is the only post-training method that loses accuracy: 0.7 F1 on the CIC-IDS2017 federated model, 2.5 F1 on the pruned CIC-IDS2017 model, and 1.7 F1 (federated model) and 9.2 F1 (pruned model) on TON_IoT, where the pruned model's FAR rises from 2.0% to 13.2%. Because int16x8 uses the same INT8 weights and recovers fully, the loss comes from 8-bit activations.</w:t>
      </w:r>
    </w:p>
    <w:p>
      <w:pPr>
        <w:spacing w:after="160"/>
      </w:pPr>
      <w:r>
        <w:t xml:space="preserve">Full-integer PTQ is also unstable. Table 3 (500 pooled samples) and Table 6 (500 client-0 samples) each rest on a single calibration draw and disagree on TON_IoT (F1 98.96 vs. 97.69). We therefore converted each federated model 45 more times, varying the calibration source (pooled data or any one of the four clients), the number of samples (100, 500, 2,000), and the random draw (three per setting). The source does not matter: for every source the median F1 is 98.97–99.36 on TON_IoT and 83.1–83.8 on CIC-IDS2017. The draw does (Table 7). On TON_IoT the same model ranges from F1 32.72 to 99.40, and on CIC-IDS2017 from 29.16 to 85.02. More calibration data makes it worse, not better: with 100 samples, 14 of 15 TON_IoT conversions are within one F1 point of FP32, with 2,000 samples only 5 of 15, and 7 of those 15 fall below F1 95. Allowing float fallback in the converter changes nothing.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200"/>
        <w:gridCol w:w="1500"/>
        <w:gridCol w:w="1200"/>
        <w:gridCol w:w="1100"/>
        <w:gridCol w:w="1500"/>
      </w:tblGrid>
      <w:tr>
        <w:trPr>
          <w:tblHeader/>
        </w:trPr>
        <w:tc>
          <w:tcPr>
            <w:tcW w:type="dxa" w:w="1700"/>
            <w:shd w:fill="D9E2F3" w:val="clear"/>
            <w:tcMar>
              <w:top w:type="dxa" w:w="60"/>
              <w:left w:type="dxa" w:w="100"/>
              <w:bottom w:type="dxa" w:w="60"/>
              <w:right w:type="dxa" w:w="100"/>
            </w:tcMar>
            <w:vAlign w:val="center"/>
          </w:tcPr>
          <w:p>
            <w:pPr>
              <w:jc w:val="center"/>
            </w:pPr>
            <w:r>
              <w:rPr>
                <w:b/>
                <w:bCs/>
                <w:sz w:val="20"/>
                <w:szCs w:val="20"/>
              </w:rPr>
              <w:t xml:space="preserve">Calibration samples</w:t>
            </w:r>
          </w:p>
        </w:tc>
        <w:tc>
          <w:tcPr>
            <w:tcW w:type="dxa" w:w="1300"/>
            <w:shd w:fill="D9E2F3" w:val="clear"/>
            <w:tcMar>
              <w:top w:type="dxa" w:w="60"/>
              <w:left w:type="dxa" w:w="100"/>
              <w:bottom w:type="dxa" w:w="60"/>
              <w:right w:type="dxa" w:w="100"/>
            </w:tcMar>
            <w:vAlign w:val="center"/>
          </w:tcPr>
          <w:p>
            <w:pPr>
              <w:jc w:val="center"/>
            </w:pPr>
            <w:r>
              <w:rPr>
                <w:b/>
                <w:bCs/>
                <w:sz w:val="20"/>
                <w:szCs w:val="20"/>
              </w:rPr>
              <w:t xml:space="preserve">TON_IoT median F1</w:t>
            </w:r>
          </w:p>
        </w:tc>
        <w:tc>
          <w:tcPr>
            <w:tcW w:type="dxa" w:w="1200"/>
            <w:shd w:fill="D9E2F3" w:val="clear"/>
            <w:tcMar>
              <w:top w:type="dxa" w:w="60"/>
              <w:left w:type="dxa" w:w="100"/>
              <w:bottom w:type="dxa" w:w="60"/>
              <w:right w:type="dxa" w:w="100"/>
            </w:tcMar>
            <w:vAlign w:val="center"/>
          </w:tcPr>
          <w:p>
            <w:pPr>
              <w:jc w:val="center"/>
            </w:pPr>
            <w:r>
              <w:rPr>
                <w:b/>
                <w:bCs/>
                <w:sz w:val="20"/>
                <w:szCs w:val="20"/>
              </w:rPr>
              <w:t xml:space="preserve">TON_IoT min F1</w:t>
            </w:r>
          </w:p>
        </w:tc>
        <w:tc>
          <w:tcPr>
            <w:tcW w:type="dxa" w:w="1500"/>
            <w:shd w:fill="D9E2F3" w:val="clear"/>
            <w:tcMar>
              <w:top w:type="dxa" w:w="60"/>
              <w:left w:type="dxa" w:w="100"/>
              <w:bottom w:type="dxa" w:w="60"/>
              <w:right w:type="dxa" w:w="100"/>
            </w:tcMar>
            <w:vAlign w:val="center"/>
          </w:tcPr>
          <w:p>
            <w:pPr>
              <w:jc w:val="center"/>
            </w:pPr>
            <w:r>
              <w:rPr>
                <w:b/>
                <w:bCs/>
                <w:sz w:val="20"/>
                <w:szCs w:val="20"/>
              </w:rPr>
              <w:t xml:space="preserve">TON_IoT within 1 F1 of FP32</w:t>
            </w:r>
          </w:p>
        </w:tc>
        <w:tc>
          <w:tcPr>
            <w:tcW w:type="dxa" w:w="1200"/>
            <w:shd w:fill="D9E2F3" w:val="clear"/>
            <w:tcMar>
              <w:top w:type="dxa" w:w="60"/>
              <w:left w:type="dxa" w:w="100"/>
              <w:bottom w:type="dxa" w:w="60"/>
              <w:right w:type="dxa" w:w="100"/>
            </w:tcMar>
            <w:vAlign w:val="center"/>
          </w:tcPr>
          <w:p>
            <w:pPr>
              <w:jc w:val="center"/>
            </w:pPr>
            <w:r>
              <w:rPr>
                <w:b/>
                <w:bCs/>
                <w:sz w:val="20"/>
                <w:szCs w:val="20"/>
              </w:rPr>
              <w:t xml:space="preserve">CIC median F1</w:t>
            </w:r>
          </w:p>
        </w:tc>
        <w:tc>
          <w:tcPr>
            <w:tcW w:type="dxa" w:w="1100"/>
            <w:shd w:fill="D9E2F3" w:val="clear"/>
            <w:tcMar>
              <w:top w:type="dxa" w:w="60"/>
              <w:left w:type="dxa" w:w="100"/>
              <w:bottom w:type="dxa" w:w="60"/>
              <w:right w:type="dxa" w:w="100"/>
            </w:tcMar>
            <w:vAlign w:val="center"/>
          </w:tcPr>
          <w:p>
            <w:pPr>
              <w:jc w:val="center"/>
            </w:pPr>
            <w:r>
              <w:rPr>
                <w:b/>
                <w:bCs/>
                <w:sz w:val="20"/>
                <w:szCs w:val="20"/>
              </w:rPr>
              <w:t xml:space="preserve">CIC min F1</w:t>
            </w:r>
          </w:p>
        </w:tc>
        <w:tc>
          <w:tcPr>
            <w:tcW w:type="dxa" w:w="1500"/>
            <w:shd w:fill="D9E2F3" w:val="clear"/>
            <w:tcMar>
              <w:top w:type="dxa" w:w="60"/>
              <w:left w:type="dxa" w:w="100"/>
              <w:bottom w:type="dxa" w:w="60"/>
              <w:right w:type="dxa" w:w="100"/>
            </w:tcMar>
            <w:vAlign w:val="center"/>
          </w:tcPr>
          <w:p>
            <w:pPr>
              <w:jc w:val="center"/>
            </w:pPr>
            <w:r>
              <w:rPr>
                <w:b/>
                <w:bCs/>
                <w:sz w:val="20"/>
                <w:szCs w:val="20"/>
              </w:rPr>
              <w:t xml:space="preserve">CIC within 1 F1 of FP32</w:t>
            </w:r>
          </w:p>
        </w:tc>
      </w:tr>
      <w:tr>
        <w:tc>
          <w:tcPr>
            <w:tcW w:type="dxa" w:w="1700"/>
            <w:tcMar>
              <w:top w:type="dxa" w:w="60"/>
              <w:left w:type="dxa" w:w="100"/>
              <w:bottom w:type="dxa" w:w="60"/>
              <w:right w:type="dxa" w:w="100"/>
            </w:tcMar>
            <w:vAlign w:val="center"/>
          </w:tcPr>
          <w:p>
            <w:pPr>
              <w:jc w:val="left"/>
            </w:pPr>
            <w:r>
              <w:rPr>
                <w:sz w:val="20"/>
                <w:szCs w:val="20"/>
              </w:rPr>
              <w:t xml:space="preserve">100</w:t>
            </w:r>
          </w:p>
        </w:tc>
        <w:tc>
          <w:tcPr>
            <w:tcW w:type="dxa" w:w="1300"/>
            <w:tcMar>
              <w:top w:type="dxa" w:w="60"/>
              <w:left w:type="dxa" w:w="100"/>
              <w:bottom w:type="dxa" w:w="60"/>
              <w:right w:type="dxa" w:w="100"/>
            </w:tcMar>
            <w:vAlign w:val="center"/>
          </w:tcPr>
          <w:p>
            <w:pPr>
              <w:jc w:val="center"/>
            </w:pPr>
            <w:r>
              <w:rPr>
                <w:sz w:val="20"/>
                <w:szCs w:val="20"/>
              </w:rPr>
              <w:t xml:space="preserve">99.36</w:t>
            </w:r>
          </w:p>
        </w:tc>
        <w:tc>
          <w:tcPr>
            <w:tcW w:type="dxa" w:w="1200"/>
            <w:tcMar>
              <w:top w:type="dxa" w:w="60"/>
              <w:left w:type="dxa" w:w="100"/>
              <w:bottom w:type="dxa" w:w="60"/>
              <w:right w:type="dxa" w:w="100"/>
            </w:tcMar>
            <w:vAlign w:val="center"/>
          </w:tcPr>
          <w:p>
            <w:pPr>
              <w:jc w:val="center"/>
            </w:pPr>
            <w:r>
              <w:rPr>
                <w:sz w:val="20"/>
                <w:szCs w:val="20"/>
              </w:rPr>
              <w:t xml:space="preserve">96.11</w:t>
            </w:r>
          </w:p>
        </w:tc>
        <w:tc>
          <w:tcPr>
            <w:tcW w:type="dxa" w:w="1500"/>
            <w:tcMar>
              <w:top w:type="dxa" w:w="60"/>
              <w:left w:type="dxa" w:w="100"/>
              <w:bottom w:type="dxa" w:w="60"/>
              <w:right w:type="dxa" w:w="100"/>
            </w:tcMar>
            <w:vAlign w:val="center"/>
          </w:tcPr>
          <w:p>
            <w:pPr>
              <w:jc w:val="center"/>
            </w:pPr>
            <w:r>
              <w:rPr>
                <w:sz w:val="20"/>
                <w:szCs w:val="20"/>
              </w:rPr>
              <w:t xml:space="preserve">14 / 15</w:t>
            </w:r>
          </w:p>
        </w:tc>
        <w:tc>
          <w:tcPr>
            <w:tcW w:type="dxa" w:w="1200"/>
            <w:tcMar>
              <w:top w:type="dxa" w:w="60"/>
              <w:left w:type="dxa" w:w="100"/>
              <w:bottom w:type="dxa" w:w="60"/>
              <w:right w:type="dxa" w:w="100"/>
            </w:tcMar>
            <w:vAlign w:val="center"/>
          </w:tcPr>
          <w:p>
            <w:pPr>
              <w:jc w:val="center"/>
            </w:pPr>
            <w:r>
              <w:rPr>
                <w:sz w:val="20"/>
                <w:szCs w:val="20"/>
              </w:rPr>
              <w:t xml:space="preserve">84.60</w:t>
            </w:r>
          </w:p>
        </w:tc>
        <w:tc>
          <w:tcPr>
            <w:tcW w:type="dxa" w:w="1100"/>
            <w:tcMar>
              <w:top w:type="dxa" w:w="60"/>
              <w:left w:type="dxa" w:w="100"/>
              <w:bottom w:type="dxa" w:w="60"/>
              <w:right w:type="dxa" w:w="100"/>
            </w:tcMar>
            <w:vAlign w:val="center"/>
          </w:tcPr>
          <w:p>
            <w:pPr>
              <w:jc w:val="center"/>
            </w:pPr>
            <w:r>
              <w:rPr>
                <w:sz w:val="20"/>
                <w:szCs w:val="20"/>
              </w:rPr>
              <w:t xml:space="preserve">81.47</w:t>
            </w:r>
          </w:p>
        </w:tc>
        <w:tc>
          <w:tcPr>
            <w:tcW w:type="dxa" w:w="1500"/>
            <w:tcMar>
              <w:top w:type="dxa" w:w="60"/>
              <w:left w:type="dxa" w:w="100"/>
              <w:bottom w:type="dxa" w:w="60"/>
              <w:right w:type="dxa" w:w="100"/>
            </w:tcMar>
            <w:vAlign w:val="center"/>
          </w:tcPr>
          <w:p>
            <w:pPr>
              <w:jc w:val="center"/>
            </w:pPr>
            <w:r>
              <w:rPr>
                <w:sz w:val="20"/>
                <w:szCs w:val="20"/>
              </w:rPr>
              <w:t xml:space="preserve">5 / 15</w:t>
            </w:r>
          </w:p>
        </w:tc>
      </w:tr>
      <w:tr>
        <w:tc>
          <w:tcPr>
            <w:tcW w:type="dxa" w:w="1700"/>
            <w:tcMar>
              <w:top w:type="dxa" w:w="60"/>
              <w:left w:type="dxa" w:w="100"/>
              <w:bottom w:type="dxa" w:w="60"/>
              <w:right w:type="dxa" w:w="100"/>
            </w:tcMar>
            <w:vAlign w:val="center"/>
          </w:tcPr>
          <w:p>
            <w:pPr>
              <w:jc w:val="left"/>
            </w:pPr>
            <w:r>
              <w:rPr>
                <w:sz w:val="20"/>
                <w:szCs w:val="20"/>
              </w:rPr>
              <w:t xml:space="preserve">500</w:t>
            </w:r>
          </w:p>
        </w:tc>
        <w:tc>
          <w:tcPr>
            <w:tcW w:type="dxa" w:w="1300"/>
            <w:tcMar>
              <w:top w:type="dxa" w:w="60"/>
              <w:left w:type="dxa" w:w="100"/>
              <w:bottom w:type="dxa" w:w="60"/>
              <w:right w:type="dxa" w:w="100"/>
            </w:tcMar>
            <w:vAlign w:val="center"/>
          </w:tcPr>
          <w:p>
            <w:pPr>
              <w:jc w:val="center"/>
            </w:pPr>
            <w:r>
              <w:rPr>
                <w:sz w:val="20"/>
                <w:szCs w:val="20"/>
              </w:rPr>
              <w:t xml:space="preserve">99.37</w:t>
            </w:r>
          </w:p>
        </w:tc>
        <w:tc>
          <w:tcPr>
            <w:tcW w:type="dxa" w:w="1200"/>
            <w:tcMar>
              <w:top w:type="dxa" w:w="60"/>
              <w:left w:type="dxa" w:w="100"/>
              <w:bottom w:type="dxa" w:w="60"/>
              <w:right w:type="dxa" w:w="100"/>
            </w:tcMar>
            <w:vAlign w:val="center"/>
          </w:tcPr>
          <w:p>
            <w:pPr>
              <w:jc w:val="center"/>
            </w:pPr>
            <w:r>
              <w:rPr>
                <w:sz w:val="20"/>
                <w:szCs w:val="20"/>
              </w:rPr>
              <w:t xml:space="preserve">54.01</w:t>
            </w:r>
          </w:p>
        </w:tc>
        <w:tc>
          <w:tcPr>
            <w:tcW w:type="dxa" w:w="1500"/>
            <w:tcMar>
              <w:top w:type="dxa" w:w="60"/>
              <w:left w:type="dxa" w:w="100"/>
              <w:bottom w:type="dxa" w:w="60"/>
              <w:right w:type="dxa" w:w="100"/>
            </w:tcMar>
            <w:vAlign w:val="center"/>
          </w:tcPr>
          <w:p>
            <w:pPr>
              <w:jc w:val="center"/>
            </w:pPr>
            <w:r>
              <w:rPr>
                <w:sz w:val="20"/>
                <w:szCs w:val="20"/>
              </w:rPr>
              <w:t xml:space="preserve">13 / 15</w:t>
            </w:r>
          </w:p>
        </w:tc>
        <w:tc>
          <w:tcPr>
            <w:tcW w:type="dxa" w:w="1200"/>
            <w:tcMar>
              <w:top w:type="dxa" w:w="60"/>
              <w:left w:type="dxa" w:w="100"/>
              <w:bottom w:type="dxa" w:w="60"/>
              <w:right w:type="dxa" w:w="100"/>
            </w:tcMar>
            <w:vAlign w:val="center"/>
          </w:tcPr>
          <w:p>
            <w:pPr>
              <w:jc w:val="center"/>
            </w:pPr>
            <w:r>
              <w:rPr>
                <w:sz w:val="20"/>
                <w:szCs w:val="20"/>
              </w:rPr>
              <w:t xml:space="preserve">83.11</w:t>
            </w:r>
          </w:p>
        </w:tc>
        <w:tc>
          <w:tcPr>
            <w:tcW w:type="dxa" w:w="1100"/>
            <w:tcMar>
              <w:top w:type="dxa" w:w="60"/>
              <w:left w:type="dxa" w:w="100"/>
              <w:bottom w:type="dxa" w:w="60"/>
              <w:right w:type="dxa" w:w="100"/>
            </w:tcMar>
            <w:vAlign w:val="center"/>
          </w:tcPr>
          <w:p>
            <w:pPr>
              <w:jc w:val="center"/>
            </w:pPr>
            <w:r>
              <w:rPr>
                <w:sz w:val="20"/>
                <w:szCs w:val="20"/>
              </w:rPr>
              <w:t xml:space="preserve">80.91</w:t>
            </w:r>
          </w:p>
        </w:tc>
        <w:tc>
          <w:tcPr>
            <w:tcW w:type="dxa" w:w="1500"/>
            <w:tcMar>
              <w:top w:type="dxa" w:w="60"/>
              <w:left w:type="dxa" w:w="100"/>
              <w:bottom w:type="dxa" w:w="60"/>
              <w:right w:type="dxa" w:w="100"/>
            </w:tcMar>
            <w:vAlign w:val="center"/>
          </w:tcPr>
          <w:p>
            <w:pPr>
              <w:jc w:val="center"/>
            </w:pPr>
            <w:r>
              <w:rPr>
                <w:sz w:val="20"/>
                <w:szCs w:val="20"/>
              </w:rPr>
              <w:t xml:space="preserve">2 / 15</w:t>
            </w:r>
          </w:p>
        </w:tc>
      </w:tr>
      <w:tr>
        <w:tc>
          <w:tcPr>
            <w:tcW w:type="dxa" w:w="1700"/>
            <w:tcMar>
              <w:top w:type="dxa" w:w="60"/>
              <w:left w:type="dxa" w:w="100"/>
              <w:bottom w:type="dxa" w:w="60"/>
              <w:right w:type="dxa" w:w="100"/>
            </w:tcMar>
            <w:vAlign w:val="center"/>
          </w:tcPr>
          <w:p>
            <w:pPr>
              <w:jc w:val="left"/>
            </w:pPr>
            <w:r>
              <w:rPr>
                <w:sz w:val="20"/>
                <w:szCs w:val="20"/>
              </w:rPr>
              <w:t xml:space="preserve">2,000</w:t>
            </w:r>
          </w:p>
        </w:tc>
        <w:tc>
          <w:tcPr>
            <w:tcW w:type="dxa" w:w="1300"/>
            <w:tcMar>
              <w:top w:type="dxa" w:w="60"/>
              <w:left w:type="dxa" w:w="100"/>
              <w:bottom w:type="dxa" w:w="60"/>
              <w:right w:type="dxa" w:w="100"/>
            </w:tcMar>
            <w:vAlign w:val="center"/>
          </w:tcPr>
          <w:p>
            <w:pPr>
              <w:jc w:val="center"/>
            </w:pPr>
            <w:r>
              <w:rPr>
                <w:sz w:val="20"/>
                <w:szCs w:val="20"/>
              </w:rPr>
              <w:t xml:space="preserve">97.68</w:t>
            </w:r>
          </w:p>
        </w:tc>
        <w:tc>
          <w:tcPr>
            <w:tcW w:type="dxa" w:w="1200"/>
            <w:tcMar>
              <w:top w:type="dxa" w:w="60"/>
              <w:left w:type="dxa" w:w="100"/>
              <w:bottom w:type="dxa" w:w="60"/>
              <w:right w:type="dxa" w:w="100"/>
            </w:tcMar>
            <w:vAlign w:val="center"/>
          </w:tcPr>
          <w:p>
            <w:pPr>
              <w:jc w:val="center"/>
            </w:pPr>
            <w:r>
              <w:rPr>
                <w:sz w:val="20"/>
                <w:szCs w:val="20"/>
              </w:rPr>
              <w:t xml:space="preserve">32.72</w:t>
            </w:r>
          </w:p>
        </w:tc>
        <w:tc>
          <w:tcPr>
            <w:tcW w:type="dxa" w:w="1500"/>
            <w:tcMar>
              <w:top w:type="dxa" w:w="60"/>
              <w:left w:type="dxa" w:w="100"/>
              <w:bottom w:type="dxa" w:w="60"/>
              <w:right w:type="dxa" w:w="100"/>
            </w:tcMar>
            <w:vAlign w:val="center"/>
          </w:tcPr>
          <w:p>
            <w:pPr>
              <w:jc w:val="center"/>
            </w:pPr>
            <w:r>
              <w:rPr>
                <w:sz w:val="20"/>
                <w:szCs w:val="20"/>
              </w:rPr>
              <w:t xml:space="preserve">5 / 15</w:t>
            </w:r>
          </w:p>
        </w:tc>
        <w:tc>
          <w:tcPr>
            <w:tcW w:type="dxa" w:w="1200"/>
            <w:tcMar>
              <w:top w:type="dxa" w:w="60"/>
              <w:left w:type="dxa" w:w="100"/>
              <w:bottom w:type="dxa" w:w="60"/>
              <w:right w:type="dxa" w:w="100"/>
            </w:tcMar>
            <w:vAlign w:val="center"/>
          </w:tcPr>
          <w:p>
            <w:pPr>
              <w:jc w:val="center"/>
            </w:pPr>
            <w:r>
              <w:rPr>
                <w:sz w:val="20"/>
                <w:szCs w:val="20"/>
              </w:rPr>
              <w:t xml:space="preserve">82.60</w:t>
            </w:r>
          </w:p>
        </w:tc>
        <w:tc>
          <w:tcPr>
            <w:tcW w:type="dxa" w:w="1100"/>
            <w:tcMar>
              <w:top w:type="dxa" w:w="60"/>
              <w:left w:type="dxa" w:w="100"/>
              <w:bottom w:type="dxa" w:w="60"/>
              <w:right w:type="dxa" w:w="100"/>
            </w:tcMar>
            <w:vAlign w:val="center"/>
          </w:tcPr>
          <w:p>
            <w:pPr>
              <w:jc w:val="center"/>
            </w:pPr>
            <w:r>
              <w:rPr>
                <w:sz w:val="20"/>
                <w:szCs w:val="20"/>
              </w:rPr>
              <w:t xml:space="preserve">29.16</w:t>
            </w:r>
          </w:p>
        </w:tc>
        <w:tc>
          <w:tcPr>
            <w:tcW w:type="dxa" w:w="1500"/>
            <w:tcMar>
              <w:top w:type="dxa" w:w="60"/>
              <w:left w:type="dxa" w:w="100"/>
              <w:bottom w:type="dxa" w:w="60"/>
              <w:right w:type="dxa" w:w="100"/>
            </w:tcMar>
            <w:vAlign w:val="center"/>
          </w:tcPr>
          <w:p>
            <w:pPr>
              <w:jc w:val="center"/>
            </w:pPr>
            <w:r>
              <w:rPr>
                <w:sz w:val="20"/>
                <w:szCs w:val="20"/>
              </w:rPr>
              <w:t xml:space="preserve">1 / 15</w:t>
            </w:r>
          </w:p>
        </w:tc>
      </w:tr>
      <w:tr>
        <w:tc>
          <w:tcPr>
            <w:tcW w:type="dxa" w:w="1700"/>
            <w:tcMar>
              <w:top w:type="dxa" w:w="60"/>
              <w:left w:type="dxa" w:w="100"/>
              <w:bottom w:type="dxa" w:w="60"/>
              <w:right w:type="dxa" w:w="100"/>
            </w:tcMar>
            <w:vAlign w:val="center"/>
          </w:tcPr>
          <w:p>
            <w:pPr>
              <w:jc w:val="left"/>
            </w:pPr>
            <w:r>
              <w:rPr>
                <w:sz w:val="20"/>
                <w:szCs w:val="20"/>
              </w:rPr>
              <w:t xml:space="preserve">2,000, inputs clipped to ±5</w:t>
            </w:r>
          </w:p>
        </w:tc>
        <w:tc>
          <w:tcPr>
            <w:tcW w:type="dxa" w:w="1300"/>
            <w:tcMar>
              <w:top w:type="dxa" w:w="60"/>
              <w:left w:type="dxa" w:w="100"/>
              <w:bottom w:type="dxa" w:w="60"/>
              <w:right w:type="dxa" w:w="100"/>
            </w:tcMar>
            <w:vAlign w:val="center"/>
          </w:tcPr>
          <w:p>
            <w:pPr>
              <w:jc w:val="center"/>
            </w:pPr>
            <w:r>
              <w:rPr>
                <w:sz w:val="20"/>
                <w:szCs w:val="20"/>
              </w:rPr>
              <w:t xml:space="preserve">99.19</w:t>
            </w:r>
          </w:p>
        </w:tc>
        <w:tc>
          <w:tcPr>
            <w:tcW w:type="dxa" w:w="1200"/>
            <w:tcMar>
              <w:top w:type="dxa" w:w="60"/>
              <w:left w:type="dxa" w:w="100"/>
              <w:bottom w:type="dxa" w:w="60"/>
              <w:right w:type="dxa" w:w="100"/>
            </w:tcMar>
            <w:vAlign w:val="center"/>
          </w:tcPr>
          <w:p>
            <w:pPr>
              <w:jc w:val="center"/>
            </w:pPr>
            <w:r>
              <w:rPr>
                <w:sz w:val="20"/>
                <w:szCs w:val="20"/>
              </w:rPr>
              <w:t xml:space="preserve">99.19</w:t>
            </w:r>
          </w:p>
        </w:tc>
        <w:tc>
          <w:tcPr>
            <w:tcW w:type="dxa" w:w="1500"/>
            <w:tcMar>
              <w:top w:type="dxa" w:w="60"/>
              <w:left w:type="dxa" w:w="100"/>
              <w:bottom w:type="dxa" w:w="60"/>
              <w:right w:type="dxa" w:w="100"/>
            </w:tcMar>
            <w:vAlign w:val="center"/>
          </w:tcPr>
          <w:p>
            <w:pPr>
              <w:jc w:val="center"/>
            </w:pPr>
            <w:r>
              <w:rPr>
                <w:sz w:val="20"/>
                <w:szCs w:val="20"/>
              </w:rPr>
              <w:t xml:space="preserve">15 / 15</w:t>
            </w:r>
          </w:p>
        </w:tc>
        <w:tc>
          <w:tcPr>
            <w:tcW w:type="dxa" w:w="1200"/>
            <w:tcMar>
              <w:top w:type="dxa" w:w="60"/>
              <w:left w:type="dxa" w:w="100"/>
              <w:bottom w:type="dxa" w:w="60"/>
              <w:right w:type="dxa" w:w="100"/>
            </w:tcMar>
            <w:vAlign w:val="center"/>
          </w:tcPr>
          <w:p>
            <w:pPr>
              <w:jc w:val="center"/>
            </w:pPr>
            <w:r>
              <w:rPr>
                <w:sz w:val="20"/>
                <w:szCs w:val="20"/>
              </w:rPr>
              <w:t xml:space="preserve">84.61</w:t>
            </w:r>
          </w:p>
        </w:tc>
        <w:tc>
          <w:tcPr>
            <w:tcW w:type="dxa" w:w="1100"/>
            <w:tcMar>
              <w:top w:type="dxa" w:w="60"/>
              <w:left w:type="dxa" w:w="100"/>
              <w:bottom w:type="dxa" w:w="60"/>
              <w:right w:type="dxa" w:w="100"/>
            </w:tcMar>
            <w:vAlign w:val="center"/>
          </w:tcPr>
          <w:p>
            <w:pPr>
              <w:jc w:val="center"/>
            </w:pPr>
            <w:r>
              <w:rPr>
                <w:sz w:val="20"/>
                <w:szCs w:val="20"/>
              </w:rPr>
              <w:t xml:space="preserve">83.02</w:t>
            </w:r>
          </w:p>
        </w:tc>
        <w:tc>
          <w:tcPr>
            <w:tcW w:type="dxa" w:w="1500"/>
            <w:tcMar>
              <w:top w:type="dxa" w:w="60"/>
              <w:left w:type="dxa" w:w="100"/>
              <w:bottom w:type="dxa" w:w="60"/>
              <w:right w:type="dxa" w:w="100"/>
            </w:tcMar>
            <w:vAlign w:val="center"/>
          </w:tcPr>
          <w:p>
            <w:pPr>
              <w:jc w:val="center"/>
            </w:pPr>
            <w:r>
              <w:rPr>
                <w:sz w:val="20"/>
                <w:szCs w:val="20"/>
              </w:rPr>
              <w:t xml:space="preserve">4 / 15</w:t>
            </w:r>
          </w:p>
        </w:tc>
      </w:tr>
      <w:tr>
        <w:tc>
          <w:tcPr>
            <w:tcW w:type="dxa" w:w="1700"/>
            <w:tcMar>
              <w:top w:type="dxa" w:w="60"/>
              <w:left w:type="dxa" w:w="100"/>
              <w:bottom w:type="dxa" w:w="60"/>
              <w:right w:type="dxa" w:w="100"/>
            </w:tcMar>
            <w:vAlign w:val="center"/>
          </w:tcPr>
          <w:p>
            <w:pPr>
              <w:jc w:val="left"/>
            </w:pPr>
            <w:r>
              <w:rPr>
                <w:sz w:val="20"/>
                <w:szCs w:val="20"/>
              </w:rPr>
              <w:t xml:space="preserve">FP32 reference</w:t>
            </w:r>
          </w:p>
        </w:tc>
        <w:tc>
          <w:tcPr>
            <w:tcW w:type="dxa" w:w="1300"/>
            <w:tcMar>
              <w:top w:type="dxa" w:w="60"/>
              <w:left w:type="dxa" w:w="100"/>
              <w:bottom w:type="dxa" w:w="60"/>
              <w:right w:type="dxa" w:w="100"/>
            </w:tcMar>
            <w:vAlign w:val="center"/>
          </w:tcPr>
          <w:p>
            <w:pPr>
              <w:jc w:val="center"/>
            </w:pPr>
            <w:r>
              <w:rPr>
                <w:sz w:val="20"/>
                <w:szCs w:val="20"/>
              </w:rPr>
              <w:t xml:space="preserve">99.41</w:t>
            </w:r>
          </w:p>
        </w:tc>
        <w:tc>
          <w:tcPr>
            <w:tcW w:type="dxa" w:w="1200"/>
            <w:tcMar>
              <w:top w:type="dxa" w:w="60"/>
              <w:left w:type="dxa" w:w="100"/>
              <w:bottom w:type="dxa" w:w="60"/>
              <w:right w:type="dxa" w:w="100"/>
            </w:tcMar>
            <w:vAlign w:val="center"/>
          </w:tcPr>
          <w:p>
            <w:pPr>
              <w:jc w:val="center"/>
            </w:pPr>
            <w:r>
              <w:rPr>
                <w:sz w:val="20"/>
                <w:szCs w:val="20"/>
              </w:rPr>
              <w:t xml:space="preserve"/>
            </w:r>
          </w:p>
        </w:tc>
        <w:tc>
          <w:tcPr>
            <w:tcW w:type="dxa" w:w="1500"/>
            <w:tcMar>
              <w:top w:type="dxa" w:w="60"/>
              <w:left w:type="dxa" w:w="100"/>
              <w:bottom w:type="dxa" w:w="60"/>
              <w:right w:type="dxa" w:w="100"/>
            </w:tcMar>
            <w:vAlign w:val="center"/>
          </w:tcPr>
          <w:p>
            <w:pPr>
              <w:jc w:val="center"/>
            </w:pPr>
            <w:r>
              <w:rPr>
                <w:sz w:val="20"/>
                <w:szCs w:val="20"/>
              </w:rPr>
              <w:t xml:space="preserve"/>
            </w:r>
          </w:p>
        </w:tc>
        <w:tc>
          <w:tcPr>
            <w:tcW w:type="dxa" w:w="1200"/>
            <w:tcMar>
              <w:top w:type="dxa" w:w="60"/>
              <w:left w:type="dxa" w:w="100"/>
              <w:bottom w:type="dxa" w:w="60"/>
              <w:right w:type="dxa" w:w="100"/>
            </w:tcMar>
            <w:vAlign w:val="center"/>
          </w:tcPr>
          <w:p>
            <w:pPr>
              <w:jc w:val="center"/>
            </w:pPr>
            <w:r>
              <w:rPr>
                <w:sz w:val="20"/>
                <w:szCs w:val="20"/>
              </w:rPr>
              <w:t xml:space="preserve">85.70</w:t>
            </w:r>
          </w:p>
        </w:tc>
        <w:tc>
          <w:tcPr>
            <w:tcW w:type="dxa" w:w="1100"/>
            <w:tcMar>
              <w:top w:type="dxa" w:w="60"/>
              <w:left w:type="dxa" w:w="100"/>
              <w:bottom w:type="dxa" w:w="60"/>
              <w:right w:type="dxa" w:w="100"/>
            </w:tcMar>
            <w:vAlign w:val="center"/>
          </w:tcPr>
          <w:p>
            <w:pPr>
              <w:jc w:val="center"/>
            </w:pPr>
            <w:r>
              <w:rPr>
                <w:sz w:val="20"/>
                <w:szCs w:val="20"/>
              </w:rPr>
              <w:t xml:space="preserve"/>
            </w:r>
          </w:p>
        </w:tc>
        <w:tc>
          <w:tcPr>
            <w:tcW w:type="dxa" w:w="1500"/>
            <w:tcMar>
              <w:top w:type="dxa" w:w="60"/>
              <w:left w:type="dxa" w:w="100"/>
              <w:bottom w:type="dxa" w:w="60"/>
              <w:right w:type="dxa" w:w="100"/>
            </w:tcMar>
            <w:vAlign w:val="center"/>
          </w:tcPr>
          <w:p>
            <w:pPr>
              <w:jc w:val="center"/>
            </w:pPr>
            <w:r>
              <w:rPr>
                <w:sz w:val="20"/>
                <w:szCs w:val="20"/>
              </w:rPr>
              <w:t xml:space="preserve"/>
            </w:r>
          </w:p>
        </w:tc>
      </w:tr>
    </w:tbl>
    <w:p>
      <w:pPr>
        <w:spacing w:after="240" w:before="80"/>
      </w:pPr>
      <w:r>
        <w:rPr>
          <w:i/>
          <w:iCs/>
          <w:sz w:val="20"/>
          <w:szCs w:val="20"/>
        </w:rPr>
        <w:t xml:space="preserve">Table 7. Full-integer INT8 PTQ of the near-IID federated models over 15 calibration sets per size (5 sources: pooled or one of four clients, × 3 random draws). The clipped row uses the same 15 sets of 2,000 samples with every calibration input clipped to ±5 standard deviations.</w:t>
      </w:r>
    </w:p>
    <w:p>
      <w:pPr>
        <w:spacing w:after="160"/>
      </w:pPr>
      <w:r>
        <w:t xml:space="preserve">The activation ranges point to the heavy-tailed inputs of Section 5.6. The TFLite converter sets each activation range from the minimum and maximum it sees during calibration, and a larger calibration set is more likely to contain a rare extreme record. The worst conversions coincide with the widest ranges: the TON_IoT conversions with hidden-layer maxima near 400 reach only F1 33–75, and the worst CIC-IDS2017 conversion (F1 29.16) has a maximum of 9,609, against roughly 50–210 for most well-behaved conversions. The relation is not strictly monotonic (on TON_IoT, maxima of 142–165 already give F1 54–69, while one of 209 keeps 97.7), so outliers are the main but not the only cause. The difference between Tables 3 and 6 is therefore a draw effect, not an effect of federated data, and any single full-integer PTQ number, including Table 3's, is one sample from a wide distribution.</w:t>
      </w:r>
    </w:p>
    <w:p>
      <w:pPr>
        <w:spacing w:after="160"/>
      </w:pPr>
      <w:r>
        <w:t xml:space="preserve">A one-line change removes the instability: clip the calibration inputs to ±5 standard deviations before conversion (inputs beyond the calibrated range then saturate at inference). Over the same 15 calibration sets of 2,000 samples, clipped calibration gives F1 99.19 for all 15 sets on TON_IoT (FP32 99.41) and 83.02–84.85 on CIC-IDS2017 (FP32 85.70), against 32.72–99.09 and 29.16–84.99 without clipping (Table 7). Clipping at ±10 works as well (TON_IoT 99.37–99.39), while ±3 is too tight for TON_IoT (F1 98.30–98.79). The remaining loss of about one F1 point on CIC-IDS2017 is the cost of 8-bit activations seen in Table 6. This is the same remedy that Section 5.6 suggests for training-time QAT, applied only at calibration time.</w:t>
      </w:r>
    </w:p>
    <w:p>
      <w:pPr>
        <w:spacing w:after="160"/>
      </w:pPr>
      <w:r>
        <w:t xml:space="preserve">QAT fine-tuning is more stable than PTQ (Section 5.15 explains why) but not independent of the fine-tuning draw. Repeating the base recipe with five different 10,000-sample fine-tuning draws from client 0 gives F1 98.79–99.51 on TON_IoT (PTQ of the same pruned models: 96.89–99.19) and 86.77–89.28 on CIC-IDS2017 (PTQ: 79.37–89.05). The Table 3 deployment (F1 85.59) lies below all five repeated draws, so it is a conservative rather than a selected result. A spread of about 2.5 F1 from the fine-tuning draw alone should be kept in mind when reading Tables 3–4 and Figure 1.</w:t>
      </w:r>
    </w:p>
    <w:p>
      <w:pPr>
        <w:spacing w:after="160"/>
      </w:pPr>
      <w:r>
        <w:t xml:space="preserve">This determines the deployment recipe. The ESP32 build of TensorFlow Lite Micro that we use runs FP32 and full-integer INT8 kernels; dynamic-range (hybrid) and float16 models need kernels it does not provide, and int16x8 kernels exist only for some operators in newer TFLM releases, which we have not tested on the device. Dynamic-range quantization would otherwise be the best size–accuracy point in Table 6 (69 KB, F1 90.13 on CIC-IDS2017), so it is a reasonable choice for Linux-class gateways but not for the microcontroller. On the microcontroller, full-integer INT8 is required. QAT fine-tuning and PTQ with clipped calibration both reach it reliably; plain PTQ does not. A side observation: fine-tuning the pruned model on client 0 raises float F1 on CIC-IDS2017 from 85.70 to 89.39, by shifting the operating point toward precision (FAR 4.78%, Attack Recall 99.62%). INT8 quantization then gives part of that back.</w:t>
      </w:r>
    </w:p>
    <w:p>
      <w:pPr>
        <w:pStyle w:val="Heading2"/>
        <w:spacing w:after="140" w:before="260"/>
      </w:pPr>
      <w:r>
        <w:t xml:space="preserve">5.10 Client-Local Knowledge Distillation</w:t>
      </w:r>
    </w:p>
    <w:p>
      <w:pPr>
        <w:spacing w:after="160"/>
      </w:pPr>
      <w:r>
        <w:t xml:space="preserve">Knowledge distillation is a second way to obtain a small model without pooled data: a client trains a narrow student on its own data, using the federated model's predictions as soft targets. We train students with the same three-layer MLP at 1/2, 1/4, and 1/8 of the width of 512-256-128 (no BatchNorm or Dropout) on client 0's data for 10 epochs, either distilled from the federated teacher (temperature 2, targets = 0.5·label + 0.5·soft teacher output) or from scratch on hard labels. On CIC-IDS2017 we use 50,000 of client 0's 681,380 samples; on TON_IoT all 32,428. Each student is exported as FP32, INT8 PTQ (client-calibrated), and INT8 after two epochs of QAT fine-tuning.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600"/>
        <w:gridCol w:w="1600"/>
      </w:tblGrid>
      <w:tr>
        <w:trPr>
          <w:tblHeader/>
        </w:trPr>
        <w:tc>
          <w:tcPr>
            <w:tcW w:type="dxa" w:w="2200"/>
            <w:shd w:fill="D9E2F3" w:val="clear"/>
            <w:tcMar>
              <w:top w:type="dxa" w:w="60"/>
              <w:left w:type="dxa" w:w="100"/>
              <w:bottom w:type="dxa" w:w="60"/>
              <w:right w:type="dxa" w:w="100"/>
            </w:tcMar>
            <w:vAlign w:val="center"/>
          </w:tcPr>
          <w:p>
            <w:pPr>
              <w:jc w:val="center"/>
            </w:pPr>
            <w:r>
              <w:rPr>
                <w:b/>
                <w:bCs/>
                <w:sz w:val="20"/>
                <w:szCs w:val="20"/>
              </w:rPr>
              <w:t xml:space="preserve">Student width</w:t>
            </w:r>
          </w:p>
        </w:tc>
        <w:tc>
          <w:tcPr>
            <w:tcW w:type="dxa" w:w="1600"/>
            <w:shd w:fill="D9E2F3" w:val="clear"/>
            <w:tcMar>
              <w:top w:type="dxa" w:w="60"/>
              <w:left w:type="dxa" w:w="100"/>
              <w:bottom w:type="dxa" w:w="60"/>
              <w:right w:type="dxa" w:w="100"/>
            </w:tcMar>
            <w:vAlign w:val="center"/>
          </w:tcPr>
          <w:p>
            <w:pPr>
              <w:jc w:val="center"/>
            </w:pPr>
            <w:r>
              <w:rPr>
                <w:b/>
                <w:bCs/>
                <w:sz w:val="20"/>
                <w:szCs w:val="20"/>
              </w:rPr>
              <w:t xml:space="preserve">INT8 size (CIC / TON)</w:t>
            </w:r>
          </w:p>
        </w:tc>
        <w:tc>
          <w:tcPr>
            <w:tcW w:type="dxa" w:w="1600"/>
            <w:shd w:fill="D9E2F3" w:val="clear"/>
            <w:tcMar>
              <w:top w:type="dxa" w:w="60"/>
              <w:left w:type="dxa" w:w="100"/>
              <w:bottom w:type="dxa" w:w="60"/>
              <w:right w:type="dxa" w:w="100"/>
            </w:tcMar>
            <w:vAlign w:val="center"/>
          </w:tcPr>
          <w:p>
            <w:pPr>
              <w:jc w:val="center"/>
            </w:pPr>
            <w:r>
              <w:rPr>
                <w:b/>
                <w:bCs/>
                <w:sz w:val="20"/>
                <w:szCs w:val="20"/>
              </w:rPr>
              <w:t xml:space="preserve">CIC KD</w:t>
            </w:r>
          </w:p>
        </w:tc>
        <w:tc>
          <w:tcPr>
            <w:tcW w:type="dxa" w:w="1600"/>
            <w:shd w:fill="D9E2F3" w:val="clear"/>
            <w:tcMar>
              <w:top w:type="dxa" w:w="60"/>
              <w:left w:type="dxa" w:w="100"/>
              <w:bottom w:type="dxa" w:w="60"/>
              <w:right w:type="dxa" w:w="100"/>
            </w:tcMar>
            <w:vAlign w:val="center"/>
          </w:tcPr>
          <w:p>
            <w:pPr>
              <w:jc w:val="center"/>
            </w:pPr>
            <w:r>
              <w:rPr>
                <w:b/>
                <w:bCs/>
                <w:sz w:val="20"/>
                <w:szCs w:val="20"/>
              </w:rPr>
              <w:t xml:space="preserve">CIC scratch</w:t>
            </w:r>
          </w:p>
        </w:tc>
        <w:tc>
          <w:tcPr>
            <w:tcW w:type="dxa" w:w="1600"/>
            <w:shd w:fill="D9E2F3" w:val="clear"/>
            <w:tcMar>
              <w:top w:type="dxa" w:w="60"/>
              <w:left w:type="dxa" w:w="100"/>
              <w:bottom w:type="dxa" w:w="60"/>
              <w:right w:type="dxa" w:w="100"/>
            </w:tcMar>
            <w:vAlign w:val="center"/>
          </w:tcPr>
          <w:p>
            <w:pPr>
              <w:jc w:val="center"/>
            </w:pPr>
            <w:r>
              <w:rPr>
                <w:b/>
                <w:bCs/>
                <w:sz w:val="20"/>
                <w:szCs w:val="20"/>
              </w:rPr>
              <w:t xml:space="preserve">TON KD</w:t>
            </w:r>
          </w:p>
        </w:tc>
        <w:tc>
          <w:tcPr>
            <w:tcW w:type="dxa" w:w="1600"/>
            <w:shd w:fill="D9E2F3" w:val="clear"/>
            <w:tcMar>
              <w:top w:type="dxa" w:w="60"/>
              <w:left w:type="dxa" w:w="100"/>
              <w:bottom w:type="dxa" w:w="60"/>
              <w:right w:type="dxa" w:w="100"/>
            </w:tcMar>
            <w:vAlign w:val="center"/>
          </w:tcPr>
          <w:p>
            <w:pPr>
              <w:jc w:val="center"/>
            </w:pPr>
            <w:r>
              <w:rPr>
                <w:b/>
                <w:bCs/>
                <w:sz w:val="20"/>
                <w:szCs w:val="20"/>
              </w:rPr>
              <w:t xml:space="preserve">TON scratch</w:t>
            </w:r>
          </w:p>
        </w:tc>
      </w:tr>
      <w:tr>
        <w:tc>
          <w:tcPr>
            <w:tcW w:type="dxa" w:w="2200"/>
            <w:tcMar>
              <w:top w:type="dxa" w:w="60"/>
              <w:left w:type="dxa" w:w="100"/>
              <w:bottom w:type="dxa" w:w="60"/>
              <w:right w:type="dxa" w:w="100"/>
            </w:tcMar>
            <w:vAlign w:val="center"/>
          </w:tcPr>
          <w:p>
            <w:pPr>
              <w:jc w:val="left"/>
            </w:pPr>
            <w:r>
              <w:rPr>
                <w:sz w:val="20"/>
                <w:szCs w:val="20"/>
              </w:rPr>
              <w:t xml:space="preserve">1/2 (256-128-64)</w:t>
            </w:r>
          </w:p>
        </w:tc>
        <w:tc>
          <w:tcPr>
            <w:tcW w:type="dxa" w:w="1600"/>
            <w:tcMar>
              <w:top w:type="dxa" w:w="60"/>
              <w:left w:type="dxa" w:w="100"/>
              <w:bottom w:type="dxa" w:w="60"/>
              <w:right w:type="dxa" w:w="100"/>
            </w:tcMar>
            <w:vAlign w:val="center"/>
          </w:tcPr>
          <w:p>
            <w:pPr>
              <w:jc w:val="center"/>
            </w:pPr>
            <w:r>
              <w:rPr>
                <w:sz w:val="20"/>
                <w:szCs w:val="20"/>
              </w:rPr>
              <w:t xml:space="preserve">75.1 / 66.4 KB</w:t>
            </w:r>
          </w:p>
        </w:tc>
        <w:tc>
          <w:tcPr>
            <w:tcW w:type="dxa" w:w="1600"/>
            <w:tcMar>
              <w:top w:type="dxa" w:w="60"/>
              <w:left w:type="dxa" w:w="100"/>
              <w:bottom w:type="dxa" w:w="60"/>
              <w:right w:type="dxa" w:w="100"/>
            </w:tcMar>
            <w:vAlign w:val="center"/>
          </w:tcPr>
          <w:p>
            <w:pPr>
              <w:jc w:val="center"/>
            </w:pPr>
            <w:r>
              <w:rPr>
                <w:sz w:val="20"/>
                <w:szCs w:val="20"/>
              </w:rPr>
              <w:t xml:space="preserve">87.90 / 87.64 / 87.36</w:t>
            </w:r>
          </w:p>
        </w:tc>
        <w:tc>
          <w:tcPr>
            <w:tcW w:type="dxa" w:w="1600"/>
            <w:tcMar>
              <w:top w:type="dxa" w:w="60"/>
              <w:left w:type="dxa" w:w="100"/>
              <w:bottom w:type="dxa" w:w="60"/>
              <w:right w:type="dxa" w:w="100"/>
            </w:tcMar>
            <w:vAlign w:val="center"/>
          </w:tcPr>
          <w:p>
            <w:pPr>
              <w:jc w:val="center"/>
            </w:pPr>
            <w:r>
              <w:rPr>
                <w:sz w:val="20"/>
                <w:szCs w:val="20"/>
              </w:rPr>
              <w:t xml:space="preserve">89.75 / 89.36 / 87.21</w:t>
            </w:r>
          </w:p>
        </w:tc>
        <w:tc>
          <w:tcPr>
            <w:tcW w:type="dxa" w:w="1600"/>
            <w:tcMar>
              <w:top w:type="dxa" w:w="60"/>
              <w:left w:type="dxa" w:w="100"/>
              <w:bottom w:type="dxa" w:w="60"/>
              <w:right w:type="dxa" w:w="100"/>
            </w:tcMar>
            <w:vAlign w:val="center"/>
          </w:tcPr>
          <w:p>
            <w:pPr>
              <w:jc w:val="center"/>
            </w:pPr>
            <w:r>
              <w:rPr>
                <w:sz w:val="20"/>
                <w:szCs w:val="20"/>
              </w:rPr>
              <w:t xml:space="preserve">99.46 / 99.37 / 99.05</w:t>
            </w:r>
          </w:p>
        </w:tc>
        <w:tc>
          <w:tcPr>
            <w:tcW w:type="dxa" w:w="1600"/>
            <w:tcMar>
              <w:top w:type="dxa" w:w="60"/>
              <w:left w:type="dxa" w:w="100"/>
              <w:bottom w:type="dxa" w:w="60"/>
              <w:right w:type="dxa" w:w="100"/>
            </w:tcMar>
            <w:vAlign w:val="center"/>
          </w:tcPr>
          <w:p>
            <w:pPr>
              <w:jc w:val="center"/>
            </w:pPr>
            <w:r>
              <w:rPr>
                <w:sz w:val="20"/>
                <w:szCs w:val="20"/>
              </w:rPr>
              <w:t xml:space="preserve">99.42 / 98.81 / 99.08</w:t>
            </w:r>
          </w:p>
        </w:tc>
      </w:tr>
      <w:tr>
        <w:tc>
          <w:tcPr>
            <w:tcW w:type="dxa" w:w="2200"/>
            <w:tcMar>
              <w:top w:type="dxa" w:w="60"/>
              <w:left w:type="dxa" w:w="100"/>
              <w:bottom w:type="dxa" w:w="60"/>
              <w:right w:type="dxa" w:w="100"/>
            </w:tcMar>
            <w:vAlign w:val="center"/>
          </w:tcPr>
          <w:p>
            <w:pPr>
              <w:jc w:val="left"/>
            </w:pPr>
            <w:r>
              <w:rPr>
                <w:sz w:val="20"/>
                <w:szCs w:val="20"/>
              </w:rPr>
              <w:t xml:space="preserve">1/4 (128-64-32)</w:t>
            </w:r>
          </w:p>
        </w:tc>
        <w:tc>
          <w:tcPr>
            <w:tcW w:type="dxa" w:w="1600"/>
            <w:tcMar>
              <w:top w:type="dxa" w:w="60"/>
              <w:left w:type="dxa" w:w="100"/>
              <w:bottom w:type="dxa" w:w="60"/>
              <w:right w:type="dxa" w:w="100"/>
            </w:tcMar>
            <w:vAlign w:val="center"/>
          </w:tcPr>
          <w:p>
            <w:pPr>
              <w:jc w:val="center"/>
            </w:pPr>
            <w:r>
              <w:rPr>
                <w:sz w:val="20"/>
                <w:szCs w:val="20"/>
              </w:rPr>
              <w:t xml:space="preserve">29.2 / 24.8 KB</w:t>
            </w:r>
          </w:p>
        </w:tc>
        <w:tc>
          <w:tcPr>
            <w:tcW w:type="dxa" w:w="1600"/>
            <w:tcMar>
              <w:top w:type="dxa" w:w="60"/>
              <w:left w:type="dxa" w:w="100"/>
              <w:bottom w:type="dxa" w:w="60"/>
              <w:right w:type="dxa" w:w="100"/>
            </w:tcMar>
            <w:vAlign w:val="center"/>
          </w:tcPr>
          <w:p>
            <w:pPr>
              <w:jc w:val="center"/>
            </w:pPr>
            <w:r>
              <w:rPr>
                <w:sz w:val="20"/>
                <w:szCs w:val="20"/>
              </w:rPr>
              <w:t xml:space="preserve">87.31 / 87.37 / 86.42</w:t>
            </w:r>
          </w:p>
        </w:tc>
        <w:tc>
          <w:tcPr>
            <w:tcW w:type="dxa" w:w="1600"/>
            <w:tcMar>
              <w:top w:type="dxa" w:w="60"/>
              <w:left w:type="dxa" w:w="100"/>
              <w:bottom w:type="dxa" w:w="60"/>
              <w:right w:type="dxa" w:w="100"/>
            </w:tcMar>
            <w:vAlign w:val="center"/>
          </w:tcPr>
          <w:p>
            <w:pPr>
              <w:jc w:val="center"/>
            </w:pPr>
            <w:r>
              <w:rPr>
                <w:sz w:val="20"/>
                <w:szCs w:val="20"/>
              </w:rPr>
              <w:t xml:space="preserve">88.64 / 88.74 / 86.46</w:t>
            </w:r>
          </w:p>
        </w:tc>
        <w:tc>
          <w:tcPr>
            <w:tcW w:type="dxa" w:w="1600"/>
            <w:tcMar>
              <w:top w:type="dxa" w:w="60"/>
              <w:left w:type="dxa" w:w="100"/>
              <w:bottom w:type="dxa" w:w="60"/>
              <w:right w:type="dxa" w:w="100"/>
            </w:tcMar>
            <w:vAlign w:val="center"/>
          </w:tcPr>
          <w:p>
            <w:pPr>
              <w:jc w:val="center"/>
            </w:pPr>
            <w:r>
              <w:rPr>
                <w:sz w:val="20"/>
                <w:szCs w:val="20"/>
              </w:rPr>
              <w:t xml:space="preserve">99.42 / 99.13 / 98.96</w:t>
            </w:r>
          </w:p>
        </w:tc>
        <w:tc>
          <w:tcPr>
            <w:tcW w:type="dxa" w:w="1600"/>
            <w:tcMar>
              <w:top w:type="dxa" w:w="60"/>
              <w:left w:type="dxa" w:w="100"/>
              <w:bottom w:type="dxa" w:w="60"/>
              <w:right w:type="dxa" w:w="100"/>
            </w:tcMar>
            <w:vAlign w:val="center"/>
          </w:tcPr>
          <w:p>
            <w:pPr>
              <w:jc w:val="center"/>
            </w:pPr>
            <w:r>
              <w:rPr>
                <w:sz w:val="20"/>
                <w:szCs w:val="20"/>
              </w:rPr>
              <w:t xml:space="preserve">99.43 / 98.73 / 99.05</w:t>
            </w:r>
          </w:p>
        </w:tc>
      </w:tr>
      <w:tr>
        <w:tc>
          <w:tcPr>
            <w:tcW w:type="dxa" w:w="2200"/>
            <w:tcMar>
              <w:top w:type="dxa" w:w="60"/>
              <w:left w:type="dxa" w:w="100"/>
              <w:bottom w:type="dxa" w:w="60"/>
              <w:right w:type="dxa" w:w="100"/>
            </w:tcMar>
            <w:vAlign w:val="center"/>
          </w:tcPr>
          <w:p>
            <w:pPr>
              <w:jc w:val="left"/>
            </w:pPr>
            <w:r>
              <w:rPr>
                <w:sz w:val="20"/>
                <w:szCs w:val="20"/>
              </w:rPr>
              <w:t xml:space="preserve">1/8 (64-32-16)</w:t>
            </w:r>
          </w:p>
        </w:tc>
        <w:tc>
          <w:tcPr>
            <w:tcW w:type="dxa" w:w="1600"/>
            <w:tcMar>
              <w:top w:type="dxa" w:w="60"/>
              <w:left w:type="dxa" w:w="100"/>
              <w:bottom w:type="dxa" w:w="60"/>
              <w:right w:type="dxa" w:w="100"/>
            </w:tcMar>
            <w:vAlign w:val="center"/>
          </w:tcPr>
          <w:p>
            <w:pPr>
              <w:jc w:val="center"/>
            </w:pPr>
            <w:r>
              <w:rPr>
                <w:sz w:val="20"/>
                <w:szCs w:val="20"/>
              </w:rPr>
              <w:t xml:space="preserve">13.7 / 11.6 KB</w:t>
            </w:r>
          </w:p>
        </w:tc>
        <w:tc>
          <w:tcPr>
            <w:tcW w:type="dxa" w:w="1600"/>
            <w:tcMar>
              <w:top w:type="dxa" w:w="60"/>
              <w:left w:type="dxa" w:w="100"/>
              <w:bottom w:type="dxa" w:w="60"/>
              <w:right w:type="dxa" w:w="100"/>
            </w:tcMar>
            <w:vAlign w:val="center"/>
          </w:tcPr>
          <w:p>
            <w:pPr>
              <w:jc w:val="center"/>
            </w:pPr>
            <w:r>
              <w:rPr>
                <w:sz w:val="20"/>
                <w:szCs w:val="20"/>
              </w:rPr>
              <w:t xml:space="preserve">86.30 / 86.07 / 86.55</w:t>
            </w:r>
          </w:p>
        </w:tc>
        <w:tc>
          <w:tcPr>
            <w:tcW w:type="dxa" w:w="1600"/>
            <w:tcMar>
              <w:top w:type="dxa" w:w="60"/>
              <w:left w:type="dxa" w:w="100"/>
              <w:bottom w:type="dxa" w:w="60"/>
              <w:right w:type="dxa" w:w="100"/>
            </w:tcMar>
            <w:vAlign w:val="center"/>
          </w:tcPr>
          <w:p>
            <w:pPr>
              <w:jc w:val="center"/>
            </w:pPr>
            <w:r>
              <w:rPr>
                <w:sz w:val="20"/>
                <w:szCs w:val="20"/>
              </w:rPr>
              <w:t xml:space="preserve">88.29 / 88.51 / 91.10</w:t>
            </w:r>
          </w:p>
        </w:tc>
        <w:tc>
          <w:tcPr>
            <w:tcW w:type="dxa" w:w="1600"/>
            <w:tcMar>
              <w:top w:type="dxa" w:w="60"/>
              <w:left w:type="dxa" w:w="100"/>
              <w:bottom w:type="dxa" w:w="60"/>
              <w:right w:type="dxa" w:w="100"/>
            </w:tcMar>
            <w:vAlign w:val="center"/>
          </w:tcPr>
          <w:p>
            <w:pPr>
              <w:jc w:val="center"/>
            </w:pPr>
            <w:r>
              <w:rPr>
                <w:sz w:val="20"/>
                <w:szCs w:val="20"/>
              </w:rPr>
              <w:t xml:space="preserve">99.20 / 99.21 / 98.78</w:t>
            </w:r>
          </w:p>
        </w:tc>
        <w:tc>
          <w:tcPr>
            <w:tcW w:type="dxa" w:w="1600"/>
            <w:tcMar>
              <w:top w:type="dxa" w:w="60"/>
              <w:left w:type="dxa" w:w="100"/>
              <w:bottom w:type="dxa" w:w="60"/>
              <w:right w:type="dxa" w:w="100"/>
            </w:tcMar>
            <w:vAlign w:val="center"/>
          </w:tcPr>
          <w:p>
            <w:pPr>
              <w:jc w:val="center"/>
            </w:pPr>
            <w:r>
              <w:rPr>
                <w:sz w:val="20"/>
                <w:szCs w:val="20"/>
              </w:rPr>
              <w:t xml:space="preserve">99.37 / 98.82 / 99.00</w:t>
            </w:r>
          </w:p>
        </w:tc>
      </w:tr>
      <w:tr>
        <w:tc>
          <w:tcPr>
            <w:tcW w:type="dxa" w:w="2200"/>
            <w:tcMar>
              <w:top w:type="dxa" w:w="60"/>
              <w:left w:type="dxa" w:w="100"/>
              <w:bottom w:type="dxa" w:w="60"/>
              <w:right w:type="dxa" w:w="100"/>
            </w:tcMar>
            <w:vAlign w:val="center"/>
          </w:tcPr>
          <w:p>
            <w:pPr>
              <w:jc w:val="left"/>
            </w:pPr>
            <w:r>
              <w:rPr>
                <w:sz w:val="20"/>
                <w:szCs w:val="20"/>
              </w:rPr>
              <w:t xml:space="preserve">Reference: federated teacher (FP32)</w:t>
            </w:r>
          </w:p>
        </w:tc>
        <w:tc>
          <w:tcPr>
            <w:tcW w:type="dxa" w:w="1600"/>
            <w:tcMar>
              <w:top w:type="dxa" w:w="60"/>
              <w:left w:type="dxa" w:w="100"/>
              <w:bottom w:type="dxa" w:w="60"/>
              <w:right w:type="dxa" w:w="100"/>
            </w:tcMar>
            <w:vAlign w:val="center"/>
          </w:tcPr>
          <w:p>
            <w:pPr>
              <w:jc w:val="center"/>
            </w:pPr>
            <w:r>
              <w:rPr>
                <w:sz w:val="20"/>
                <w:szCs w:val="20"/>
              </w:rPr>
              <w:t xml:space="preserve">802.5 / 732.4 KB</w:t>
            </w:r>
          </w:p>
        </w:tc>
        <w:tc>
          <w:tcPr>
            <w:tcW w:type="dxa" w:w="1600"/>
            <w:tcMar>
              <w:top w:type="dxa" w:w="60"/>
              <w:left w:type="dxa" w:w="100"/>
              <w:bottom w:type="dxa" w:w="60"/>
              <w:right w:type="dxa" w:w="100"/>
            </w:tcMar>
            <w:vAlign w:val="center"/>
          </w:tcPr>
          <w:p>
            <w:pPr>
              <w:jc w:val="center"/>
            </w:pPr>
            <w:r>
              <w:rPr>
                <w:sz w:val="20"/>
                <w:szCs w:val="20"/>
              </w:rPr>
              <w:t xml:space="preserve">85.70</w:t>
            </w:r>
          </w:p>
        </w:tc>
        <w:tc>
          <w:tcPr>
            <w:tcW w:type="dxa" w:w="1600"/>
            <w:tcMar>
              <w:top w:type="dxa" w:w="60"/>
              <w:left w:type="dxa" w:w="100"/>
              <w:bottom w:type="dxa" w:w="60"/>
              <w:right w:type="dxa" w:w="100"/>
            </w:tcMar>
            <w:vAlign w:val="center"/>
          </w:tcPr>
          <w:p>
            <w:pPr>
              <w:jc w:val="center"/>
            </w:pPr>
            <w:r>
              <w:rPr>
                <w:sz w:val="20"/>
                <w:szCs w:val="20"/>
              </w:rPr>
              <w:t xml:space="preserve">—</w:t>
            </w:r>
          </w:p>
        </w:tc>
        <w:tc>
          <w:tcPr>
            <w:tcW w:type="dxa" w:w="1600"/>
            <w:tcMar>
              <w:top w:type="dxa" w:w="60"/>
              <w:left w:type="dxa" w:w="100"/>
              <w:bottom w:type="dxa" w:w="60"/>
              <w:right w:type="dxa" w:w="100"/>
            </w:tcMar>
            <w:vAlign w:val="center"/>
          </w:tcPr>
          <w:p>
            <w:pPr>
              <w:jc w:val="center"/>
            </w:pPr>
            <w:r>
              <w:rPr>
                <w:sz w:val="20"/>
                <w:szCs w:val="20"/>
              </w:rPr>
              <w:t xml:space="preserve">99.41</w:t>
            </w:r>
          </w:p>
        </w:tc>
        <w:tc>
          <w:tcPr>
            <w:tcW w:type="dxa" w:w="1600"/>
            <w:tcMar>
              <w:top w:type="dxa" w:w="60"/>
              <w:left w:type="dxa" w:w="100"/>
              <w:bottom w:type="dxa" w:w="60"/>
              <w:right w:type="dxa" w:w="100"/>
            </w:tcMar>
            <w:vAlign w:val="center"/>
          </w:tcPr>
          <w:p>
            <w:pPr>
              <w:jc w:val="center"/>
            </w:pPr>
            <w:r>
              <w:rPr>
                <w:sz w:val="20"/>
                <w:szCs w:val="20"/>
              </w:rPr>
              <w:t xml:space="preserve">—</w:t>
            </w:r>
          </w:p>
        </w:tc>
      </w:tr>
    </w:tbl>
    <w:p>
      <w:pPr>
        <w:spacing w:after="240" w:before="80"/>
      </w:pPr>
      <w:r>
        <w:rPr>
          <w:i/>
          <w:iCs/>
          <w:sz w:val="20"/>
          <w:szCs w:val="20"/>
        </w:rPr>
        <w:t xml:space="preserve">Table 8. F1 of client-local students, given as FP32 / INT8 PTQ / INT8 QAT fine-tuned. KD: distilled from the federated model; scratch: trained on client 0's hard labels only. QAT-fine-tuned students are about 15% smaller than the PTQ sizes shown (e.g. 11.9 / 9.8 KB at 1/8 width).</w:t>
      </w:r>
    </w:p>
    <w:p>
      <w:pPr>
        <w:spacing w:after="160"/>
      </w:pPr>
      <w:r>
        <w:t xml:space="preserve">On TON_IoT, distillation gives the most compact models in this paper: the 1/8-width distilled student keeps F1 99.21 at 11.6 KB with plain INT8 PTQ (63× smaller than the FP32 federated model), and distillation makes the student more robust to INT8 PTQ (at most 0.29 F1 lost, against 0.55–0.70 F1 for scratch students). On CIC-IDS2017, distillation does not help. The distilled students inherit the teacher's recall-heavy operating point (Attack Recall 99.5–99.7%, FAR 5.6–6.5%), while scratch students in FP32 and PTQ form trade some recall for precision (Attack Recall 98.9–99.5%, FAR 4.5–5.3%), which raises their F1 at the fixed 0.3 threshold. The highest F1 in Table 8, 91.10 for the 1/8-width scratch student after QAT fine-tuning, is an outlier against the same student's FP32 and PTQ results (88.29, 88.51) and reaches its F1 by missing 3.68% of attacks (3,137 of 85,173, against 291 for the base-recipe model of Table 3). We therefore do not select it, and differences of one or two F1 points in this table should be read as operating-point shifts under a single seed rather than as better detectors.</w:t>
      </w:r>
    </w:p>
    <w:p>
      <w:pPr>
        <w:spacing w:after="160"/>
      </w:pPr>
      <w:r>
        <w:t xml:space="preserve">The comparison also raises a question the reviewers did not ask but that we consider essential: a scratch student trained on one client's data alone already matches the federated model on near-IID CIC-IDS2017 (F1 89.75 vs. 85.70). Section 5.11 asks when federation helps at all.</w:t>
      </w:r>
    </w:p>
    <w:p>
      <w:pPr>
        <w:pStyle w:val="Heading2"/>
        <w:spacing w:after="140" w:before="260"/>
      </w:pPr>
      <w:r>
        <w:t xml:space="preserve">5.11 Local-Only Training: When Does Federation Help?</w:t>
      </w:r>
    </w:p>
    <w:p>
      <w:pPr>
        <w:spacing w:after="160"/>
      </w:pPr>
      <w:r>
        <w:t xml:space="preserve">Each client trains the same MLP with the same loss alone on its own partition (10 epochs, at most 200,000 of its samples) and is evaluated on the shared test split. Table 9 compares this with the federated model trained on the same partition.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2200"/>
        <w:gridCol w:w="1500"/>
        <w:gridCol w:w="1700"/>
        <w:gridCol w:w="1500"/>
      </w:tblGrid>
      <w:tr>
        <w:trPr>
          <w:tblHeader/>
        </w:trPr>
        <w:tc>
          <w:tcPr>
            <w:tcW w:type="dxa" w:w="1900"/>
            <w:shd w:fill="D9E2F3" w:val="clear"/>
            <w:tcMar>
              <w:top w:type="dxa" w:w="60"/>
              <w:left w:type="dxa" w:w="100"/>
              <w:bottom w:type="dxa" w:w="60"/>
              <w:right w:type="dxa" w:w="100"/>
            </w:tcMar>
            <w:vAlign w:val="center"/>
          </w:tcPr>
          <w:p>
            <w:pPr>
              <w:jc w:val="center"/>
            </w:pPr>
            <w:r>
              <w:rPr>
                <w:b/>
                <w:bCs/>
                <w:sz w:val="20"/>
                <w:szCs w:val="20"/>
              </w:rPr>
              <w:t xml:space="preserve">Partition / client</w:t>
            </w:r>
          </w:p>
        </w:tc>
        <w:tc>
          <w:tcPr>
            <w:tcW w:type="dxa" w:w="1400"/>
            <w:shd w:fill="D9E2F3" w:val="clear"/>
            <w:tcMar>
              <w:top w:type="dxa" w:w="60"/>
              <w:left w:type="dxa" w:w="100"/>
              <w:bottom w:type="dxa" w:w="60"/>
              <w:right w:type="dxa" w:w="100"/>
            </w:tcMar>
            <w:vAlign w:val="center"/>
          </w:tcPr>
          <w:p>
            <w:pPr>
              <w:jc w:val="center"/>
            </w:pPr>
            <w:r>
              <w:rPr>
                <w:b/>
                <w:bCs/>
                <w:sz w:val="20"/>
                <w:szCs w:val="20"/>
              </w:rPr>
              <w:t xml:space="preserve">Local data (attack share)</w:t>
            </w:r>
          </w:p>
        </w:tc>
        <w:tc>
          <w:tcPr>
            <w:tcW w:type="dxa" w:w="2200"/>
            <w:shd w:fill="D9E2F3" w:val="clear"/>
            <w:tcMar>
              <w:top w:type="dxa" w:w="60"/>
              <w:left w:type="dxa" w:w="100"/>
              <w:bottom w:type="dxa" w:w="60"/>
              <w:right w:type="dxa" w:w="100"/>
            </w:tcMar>
            <w:vAlign w:val="center"/>
          </w:tcPr>
          <w:p>
            <w:pPr>
              <w:jc w:val="center"/>
            </w:pPr>
            <w:r>
              <w:rPr>
                <w:b/>
                <w:bCs/>
                <w:sz w:val="20"/>
                <w:szCs w:val="20"/>
              </w:rPr>
              <w:t xml:space="preserve">Local-only F1 / Recall / FAR</w:t>
            </w:r>
          </w:p>
        </w:tc>
        <w:tc>
          <w:tcPr>
            <w:tcW w:type="dxa" w:w="1500"/>
            <w:shd w:fill="D9E2F3" w:val="clear"/>
            <w:tcMar>
              <w:top w:type="dxa" w:w="60"/>
              <w:left w:type="dxa" w:w="100"/>
              <w:bottom w:type="dxa" w:w="60"/>
              <w:right w:type="dxa" w:w="100"/>
            </w:tcMar>
            <w:vAlign w:val="center"/>
          </w:tcPr>
          <w:p>
            <w:pPr>
              <w:jc w:val="center"/>
            </w:pPr>
            <w:r>
              <w:rPr>
                <w:b/>
                <w:bCs/>
                <w:sz w:val="20"/>
                <w:szCs w:val="20"/>
              </w:rPr>
              <w:t xml:space="preserve">Missed attacks / all</w:t>
            </w:r>
          </w:p>
        </w:tc>
        <w:tc>
          <w:tcPr>
            <w:tcW w:type="dxa" w:w="1700"/>
            <w:shd w:fill="D9E2F3" w:val="clear"/>
            <w:tcMar>
              <w:top w:type="dxa" w:w="60"/>
              <w:left w:type="dxa" w:w="100"/>
              <w:bottom w:type="dxa" w:w="60"/>
              <w:right w:type="dxa" w:w="100"/>
            </w:tcMar>
            <w:vAlign w:val="center"/>
          </w:tcPr>
          <w:p>
            <w:pPr>
              <w:jc w:val="center"/>
            </w:pPr>
            <w:r>
              <w:rPr>
                <w:b/>
                <w:bCs/>
                <w:sz w:val="20"/>
                <w:szCs w:val="20"/>
              </w:rPr>
              <w:t xml:space="preserve">Federated F1 / Recall / FAR</w:t>
            </w:r>
          </w:p>
        </w:tc>
        <w:tc>
          <w:tcPr>
            <w:tcW w:type="dxa" w:w="1500"/>
            <w:shd w:fill="D9E2F3" w:val="clear"/>
            <w:tcMar>
              <w:top w:type="dxa" w:w="60"/>
              <w:left w:type="dxa" w:w="100"/>
              <w:bottom w:type="dxa" w:w="60"/>
              <w:right w:type="dxa" w:w="100"/>
            </w:tcMar>
            <w:vAlign w:val="center"/>
          </w:tcPr>
          <w:p>
            <w:pPr>
              <w:jc w:val="center"/>
            </w:pPr>
            <w:r>
              <w:rPr>
                <w:b/>
                <w:bCs/>
                <w:sz w:val="20"/>
                <w:szCs w:val="20"/>
              </w:rPr>
              <w:t xml:space="preserve">Missed attacks / all</w:t>
            </w:r>
          </w:p>
        </w:tc>
      </w:tr>
      <w:tr>
        <w:tc>
          <w:tcPr>
            <w:tcW w:type="dxa" w:w="1900"/>
            <w:tcMar>
              <w:top w:type="dxa" w:w="60"/>
              <w:left w:type="dxa" w:w="100"/>
              <w:bottom w:type="dxa" w:w="60"/>
              <w:right w:type="dxa" w:w="100"/>
            </w:tcMar>
            <w:vAlign w:val="center"/>
          </w:tcPr>
          <w:p>
            <w:pPr>
              <w:jc w:val="left"/>
            </w:pPr>
            <w:r>
              <w:rPr>
                <w:sz w:val="20"/>
                <w:szCs w:val="20"/>
              </w:rPr>
              <w:t xml:space="preserve">CIC near-IID, clients 0–3</w:t>
            </w:r>
          </w:p>
        </w:tc>
        <w:tc>
          <w:tcPr>
            <w:tcW w:type="dxa" w:w="1400"/>
            <w:tcMar>
              <w:top w:type="dxa" w:w="60"/>
              <w:left w:type="dxa" w:w="100"/>
              <w:bottom w:type="dxa" w:w="60"/>
              <w:right w:type="dxa" w:w="100"/>
            </w:tcMar>
            <w:vAlign w:val="center"/>
          </w:tcPr>
          <w:p>
            <w:pPr>
              <w:jc w:val="center"/>
            </w:pPr>
            <w:r>
              <w:rPr>
                <w:sz w:val="20"/>
                <w:szCs w:val="20"/>
              </w:rPr>
              <w:t xml:space="preserve">681k each (50%)</w:t>
            </w:r>
          </w:p>
        </w:tc>
        <w:tc>
          <w:tcPr>
            <w:tcW w:type="dxa" w:w="2200"/>
            <w:tcMar>
              <w:top w:type="dxa" w:w="60"/>
              <w:left w:type="dxa" w:w="100"/>
              <w:bottom w:type="dxa" w:w="60"/>
              <w:right w:type="dxa" w:w="100"/>
            </w:tcMar>
            <w:vAlign w:val="center"/>
          </w:tcPr>
          <w:p>
            <w:pPr>
              <w:jc w:val="center"/>
            </w:pPr>
            <w:r>
              <w:rPr>
                <w:sz w:val="20"/>
                <w:szCs w:val="20"/>
              </w:rPr>
              <w:t xml:space="preserve">88.3–90.0 / 98.85–99.78% / 4.5–5.2%</w:t>
            </w:r>
          </w:p>
        </w:tc>
        <w:tc>
          <w:tcPr>
            <w:tcW w:type="dxa" w:w="1500"/>
            <w:tcMar>
              <w:top w:type="dxa" w:w="60"/>
              <w:left w:type="dxa" w:w="100"/>
              <w:bottom w:type="dxa" w:w="60"/>
              <w:right w:type="dxa" w:w="100"/>
            </w:tcMar>
            <w:vAlign w:val="center"/>
          </w:tcPr>
          <w:p>
            <w:pPr>
              <w:jc w:val="center"/>
            </w:pPr>
            <w:r>
              <w:rPr>
                <w:sz w:val="20"/>
                <w:szCs w:val="20"/>
              </w:rPr>
              <w:t xml:space="preserve">185–982 / 85,173 (0.22–1.15%)</w:t>
            </w:r>
          </w:p>
        </w:tc>
        <w:tc>
          <w:tcPr>
            <w:tcW w:type="dxa" w:w="1700"/>
            <w:tcMar>
              <w:top w:type="dxa" w:w="60"/>
              <w:left w:type="dxa" w:w="100"/>
              <w:bottom w:type="dxa" w:w="60"/>
              <w:right w:type="dxa" w:w="100"/>
            </w:tcMar>
            <w:vAlign w:val="center"/>
          </w:tcPr>
          <w:p>
            <w:pPr>
              <w:jc w:val="center"/>
            </w:pPr>
            <w:r>
              <w:rPr>
                <w:sz w:val="20"/>
                <w:szCs w:val="20"/>
              </w:rPr>
              <w:t xml:space="preserve">85.70 / 99.94% / 6.84%</w:t>
            </w:r>
          </w:p>
        </w:tc>
        <w:tc>
          <w:tcPr>
            <w:tcW w:type="dxa" w:w="1500"/>
            <w:tcMar>
              <w:top w:type="dxa" w:w="60"/>
              <w:left w:type="dxa" w:w="100"/>
              <w:bottom w:type="dxa" w:w="60"/>
              <w:right w:type="dxa" w:w="100"/>
            </w:tcMar>
            <w:vAlign w:val="center"/>
          </w:tcPr>
          <w:p>
            <w:pPr>
              <w:jc w:val="center"/>
            </w:pPr>
            <w:r>
              <w:rPr>
                <w:sz w:val="20"/>
                <w:szCs w:val="20"/>
              </w:rPr>
              <w:t xml:space="preserve">52 / 85,173 (0.061%)</w:t>
            </w:r>
          </w:p>
        </w:tc>
      </w:tr>
      <w:tr>
        <w:tc>
          <w:tcPr>
            <w:tcW w:type="dxa" w:w="1900"/>
            <w:tcMar>
              <w:top w:type="dxa" w:w="60"/>
              <w:left w:type="dxa" w:w="100"/>
              <w:bottom w:type="dxa" w:w="60"/>
              <w:right w:type="dxa" w:w="100"/>
            </w:tcMar>
            <w:vAlign w:val="center"/>
          </w:tcPr>
          <w:p>
            <w:pPr>
              <w:jc w:val="left"/>
            </w:pPr>
            <w:r>
              <w:rPr>
                <w:sz w:val="20"/>
                <w:szCs w:val="20"/>
              </w:rPr>
              <w:t xml:space="preserve">CIC Dirichlet, client 0</w:t>
            </w:r>
          </w:p>
        </w:tc>
        <w:tc>
          <w:tcPr>
            <w:tcW w:type="dxa" w:w="1400"/>
            <w:tcMar>
              <w:top w:type="dxa" w:w="60"/>
              <w:left w:type="dxa" w:w="100"/>
              <w:bottom w:type="dxa" w:w="60"/>
              <w:right w:type="dxa" w:w="100"/>
            </w:tcMar>
            <w:vAlign w:val="center"/>
          </w:tcPr>
          <w:p>
            <w:pPr>
              <w:jc w:val="center"/>
            </w:pPr>
            <w:r>
              <w:rPr>
                <w:sz w:val="20"/>
                <w:szCs w:val="20"/>
              </w:rPr>
              <w:t xml:space="preserve">9.4k (0.1%)</w:t>
            </w:r>
          </w:p>
        </w:tc>
        <w:tc>
          <w:tcPr>
            <w:tcW w:type="dxa" w:w="2200"/>
            <w:tcMar>
              <w:top w:type="dxa" w:w="60"/>
              <w:left w:type="dxa" w:w="100"/>
              <w:bottom w:type="dxa" w:w="60"/>
              <w:right w:type="dxa" w:w="100"/>
            </w:tcMar>
            <w:vAlign w:val="center"/>
          </w:tcPr>
          <w:p>
            <w:pPr>
              <w:jc w:val="center"/>
            </w:pPr>
            <w:r>
              <w:rPr>
                <w:sz w:val="20"/>
                <w:szCs w:val="20"/>
              </w:rPr>
              <w:t xml:space="preserve">62.04 / 44.97% / 0.00%</w:t>
            </w:r>
          </w:p>
        </w:tc>
        <w:tc>
          <w:tcPr>
            <w:tcW w:type="dxa" w:w="1500"/>
            <w:tcMar>
              <w:top w:type="dxa" w:w="60"/>
              <w:left w:type="dxa" w:w="100"/>
              <w:bottom w:type="dxa" w:w="60"/>
              <w:right w:type="dxa" w:w="100"/>
            </w:tcMar>
            <w:vAlign w:val="center"/>
          </w:tcPr>
          <w:p>
            <w:pPr>
              <w:jc w:val="center"/>
            </w:pPr>
            <w:r>
              <w:rPr>
                <w:sz w:val="20"/>
                <w:szCs w:val="20"/>
              </w:rPr>
              <w:t xml:space="preserve">46,872 / 85,173 (55.03%)</w:t>
            </w:r>
          </w:p>
        </w:tc>
        <w:tc>
          <w:tcPr>
            <w:tcW w:type="dxa" w:w="1700"/>
            <w:tcMar>
              <w:top w:type="dxa" w:w="60"/>
              <w:left w:type="dxa" w:w="100"/>
              <w:bottom w:type="dxa" w:w="60"/>
              <w:right w:type="dxa" w:w="100"/>
            </w:tcMar>
            <w:vAlign w:val="center"/>
          </w:tcPr>
          <w:p>
            <w:pPr>
              <w:jc w:val="center"/>
            </w:pPr>
            <w:r>
              <w:rPr>
                <w:sz w:val="20"/>
                <w:szCs w:val="20"/>
              </w:rPr>
              <w:t xml:space="preserve">85.59 / 99.83% / 6.87%</w:t>
            </w:r>
          </w:p>
        </w:tc>
        <w:tc>
          <w:tcPr>
            <w:tcW w:type="dxa" w:w="1500"/>
            <w:tcMar>
              <w:top w:type="dxa" w:w="60"/>
              <w:left w:type="dxa" w:w="100"/>
              <w:bottom w:type="dxa" w:w="60"/>
              <w:right w:type="dxa" w:w="100"/>
            </w:tcMar>
            <w:vAlign w:val="center"/>
          </w:tcPr>
          <w:p>
            <w:pPr>
              <w:jc w:val="center"/>
            </w:pPr>
            <w:r>
              <w:rPr>
                <w:sz w:val="20"/>
                <w:szCs w:val="20"/>
              </w:rPr>
              <w:t xml:space="preserve">144 / 85,173 (0.17%)</w:t>
            </w:r>
          </w:p>
        </w:tc>
      </w:tr>
      <w:tr>
        <w:tc>
          <w:tcPr>
            <w:tcW w:type="dxa" w:w="1900"/>
            <w:tcMar>
              <w:top w:type="dxa" w:w="60"/>
              <w:left w:type="dxa" w:w="100"/>
              <w:bottom w:type="dxa" w:w="60"/>
              <w:right w:type="dxa" w:w="100"/>
            </w:tcMar>
            <w:vAlign w:val="center"/>
          </w:tcPr>
          <w:p>
            <w:pPr>
              <w:jc w:val="left"/>
            </w:pPr>
            <w:r>
              <w:rPr>
                <w:sz w:val="20"/>
                <w:szCs w:val="20"/>
              </w:rPr>
              <w:t xml:space="preserve">CIC Dirichlet, client 1</w:t>
            </w:r>
          </w:p>
        </w:tc>
        <w:tc>
          <w:tcPr>
            <w:tcW w:type="dxa" w:w="1400"/>
            <w:tcMar>
              <w:top w:type="dxa" w:w="60"/>
              <w:left w:type="dxa" w:w="100"/>
              <w:bottom w:type="dxa" w:w="60"/>
              <w:right w:type="dxa" w:w="100"/>
            </w:tcMar>
            <w:vAlign w:val="center"/>
          </w:tcPr>
          <w:p>
            <w:pPr>
              <w:jc w:val="center"/>
            </w:pPr>
            <w:r>
              <w:rPr>
                <w:sz w:val="20"/>
                <w:szCs w:val="20"/>
              </w:rPr>
              <w:t xml:space="preserve">1.98M (59.5%)</w:t>
            </w:r>
          </w:p>
        </w:tc>
        <w:tc>
          <w:tcPr>
            <w:tcW w:type="dxa" w:w="2200"/>
            <w:tcMar>
              <w:top w:type="dxa" w:w="60"/>
              <w:left w:type="dxa" w:w="100"/>
              <w:bottom w:type="dxa" w:w="60"/>
              <w:right w:type="dxa" w:w="100"/>
            </w:tcMar>
            <w:vAlign w:val="center"/>
          </w:tcPr>
          <w:p>
            <w:pPr>
              <w:jc w:val="center"/>
            </w:pPr>
            <w:r>
              <w:rPr>
                <w:sz w:val="20"/>
                <w:szCs w:val="20"/>
              </w:rPr>
              <w:t xml:space="preserve">90.70 / 99.75% / 4.15%</w:t>
            </w:r>
          </w:p>
        </w:tc>
        <w:tc>
          <w:tcPr>
            <w:tcW w:type="dxa" w:w="1500"/>
            <w:tcMar>
              <w:top w:type="dxa" w:w="60"/>
              <w:left w:type="dxa" w:w="100"/>
              <w:bottom w:type="dxa" w:w="60"/>
              <w:right w:type="dxa" w:w="100"/>
            </w:tcMar>
            <w:vAlign w:val="center"/>
          </w:tcPr>
          <w:p>
            <w:pPr>
              <w:jc w:val="center"/>
            </w:pPr>
            <w:r>
              <w:rPr>
                <w:sz w:val="20"/>
                <w:szCs w:val="20"/>
              </w:rPr>
              <w:t xml:space="preserve">214 / 85,173 (0.25%)</w:t>
            </w:r>
          </w:p>
        </w:tc>
        <w:tc>
          <w:tcPr>
            <w:tcW w:type="dxa" w:w="1700"/>
            <w:tcMar>
              <w:top w:type="dxa" w:w="60"/>
              <w:left w:type="dxa" w:w="100"/>
              <w:bottom w:type="dxa" w:w="60"/>
              <w:right w:type="dxa" w:w="100"/>
            </w:tcMar>
            <w:vAlign w:val="center"/>
          </w:tcPr>
          <w:p>
            <w:pPr>
              <w:jc w:val="center"/>
            </w:pPr>
            <w:r>
              <w:rPr>
                <w:sz w:val="20"/>
                <w:szCs w:val="20"/>
              </w:rPr>
              <w:t xml:space="preserve"/>
            </w:r>
          </w:p>
        </w:tc>
        <w:tc>
          <w:tcPr>
            <w:tcW w:type="dxa" w:w="1500"/>
            <w:tcMar>
              <w:top w:type="dxa" w:w="60"/>
              <w:left w:type="dxa" w:w="100"/>
              <w:bottom w:type="dxa" w:w="60"/>
              <w:right w:type="dxa" w:w="100"/>
            </w:tcMar>
            <w:vAlign w:val="center"/>
          </w:tcPr>
          <w:p>
            <w:pPr>
              <w:jc w:val="center"/>
            </w:pPr>
            <w:r>
              <w:rPr>
                <w:sz w:val="20"/>
                <w:szCs w:val="20"/>
              </w:rPr>
              <w:t xml:space="preserve"/>
            </w:r>
          </w:p>
        </w:tc>
      </w:tr>
      <w:tr>
        <w:tc>
          <w:tcPr>
            <w:tcW w:type="dxa" w:w="1900"/>
            <w:tcMar>
              <w:top w:type="dxa" w:w="60"/>
              <w:left w:type="dxa" w:w="100"/>
              <w:bottom w:type="dxa" w:w="60"/>
              <w:right w:type="dxa" w:w="100"/>
            </w:tcMar>
            <w:vAlign w:val="center"/>
          </w:tcPr>
          <w:p>
            <w:pPr>
              <w:jc w:val="left"/>
            </w:pPr>
            <w:r>
              <w:rPr>
                <w:sz w:val="20"/>
                <w:szCs w:val="20"/>
              </w:rPr>
              <w:t xml:space="preserve">CIC Dirichlet, client 2</w:t>
            </w:r>
          </w:p>
        </w:tc>
        <w:tc>
          <w:tcPr>
            <w:tcW w:type="dxa" w:w="1400"/>
            <w:tcMar>
              <w:top w:type="dxa" w:w="60"/>
              <w:left w:type="dxa" w:w="100"/>
              <w:bottom w:type="dxa" w:w="60"/>
              <w:right w:type="dxa" w:w="100"/>
            </w:tcMar>
            <w:vAlign w:val="center"/>
          </w:tcPr>
          <w:p>
            <w:pPr>
              <w:jc w:val="center"/>
            </w:pPr>
            <w:r>
              <w:rPr>
                <w:sz w:val="20"/>
                <w:szCs w:val="20"/>
              </w:rPr>
              <w:t xml:space="preserve">6.7k (2.6%)</w:t>
            </w:r>
          </w:p>
        </w:tc>
        <w:tc>
          <w:tcPr>
            <w:tcW w:type="dxa" w:w="2200"/>
            <w:tcMar>
              <w:top w:type="dxa" w:w="60"/>
              <w:left w:type="dxa" w:w="100"/>
              <w:bottom w:type="dxa" w:w="60"/>
              <w:right w:type="dxa" w:w="100"/>
            </w:tcMar>
            <w:vAlign w:val="center"/>
          </w:tcPr>
          <w:p>
            <w:pPr>
              <w:jc w:val="center"/>
            </w:pPr>
            <w:r>
              <w:rPr>
                <w:sz w:val="20"/>
                <w:szCs w:val="20"/>
              </w:rPr>
              <w:t xml:space="preserve">88.74 / 91.11% / 2.92%</w:t>
            </w:r>
          </w:p>
        </w:tc>
        <w:tc>
          <w:tcPr>
            <w:tcW w:type="dxa" w:w="1500"/>
            <w:tcMar>
              <w:top w:type="dxa" w:w="60"/>
              <w:left w:type="dxa" w:w="100"/>
              <w:bottom w:type="dxa" w:w="60"/>
              <w:right w:type="dxa" w:w="100"/>
            </w:tcMar>
            <w:vAlign w:val="center"/>
          </w:tcPr>
          <w:p>
            <w:pPr>
              <w:jc w:val="center"/>
            </w:pPr>
            <w:r>
              <w:rPr>
                <w:sz w:val="20"/>
                <w:szCs w:val="20"/>
              </w:rPr>
              <w:t xml:space="preserve">7,572 / 85,173 (8.89%)</w:t>
            </w:r>
          </w:p>
        </w:tc>
        <w:tc>
          <w:tcPr>
            <w:tcW w:type="dxa" w:w="1700"/>
            <w:tcMar>
              <w:top w:type="dxa" w:w="60"/>
              <w:left w:type="dxa" w:w="100"/>
              <w:bottom w:type="dxa" w:w="60"/>
              <w:right w:type="dxa" w:w="100"/>
            </w:tcMar>
            <w:vAlign w:val="center"/>
          </w:tcPr>
          <w:p>
            <w:pPr>
              <w:jc w:val="center"/>
            </w:pPr>
            <w:r>
              <w:rPr>
                <w:sz w:val="20"/>
                <w:szCs w:val="20"/>
              </w:rPr>
              <w:t xml:space="preserve"/>
            </w:r>
          </w:p>
        </w:tc>
        <w:tc>
          <w:tcPr>
            <w:tcW w:type="dxa" w:w="1500"/>
            <w:tcMar>
              <w:top w:type="dxa" w:w="60"/>
              <w:left w:type="dxa" w:w="100"/>
              <w:bottom w:type="dxa" w:w="60"/>
              <w:right w:type="dxa" w:w="100"/>
            </w:tcMar>
            <w:vAlign w:val="center"/>
          </w:tcPr>
          <w:p>
            <w:pPr>
              <w:jc w:val="center"/>
            </w:pPr>
            <w:r>
              <w:rPr>
                <w:sz w:val="20"/>
                <w:szCs w:val="20"/>
              </w:rPr>
              <w:t xml:space="preserve"/>
            </w:r>
          </w:p>
        </w:tc>
      </w:tr>
      <w:tr>
        <w:tc>
          <w:tcPr>
            <w:tcW w:type="dxa" w:w="1900"/>
            <w:tcMar>
              <w:top w:type="dxa" w:w="60"/>
              <w:left w:type="dxa" w:w="100"/>
              <w:bottom w:type="dxa" w:w="60"/>
              <w:right w:type="dxa" w:w="100"/>
            </w:tcMar>
            <w:vAlign w:val="center"/>
          </w:tcPr>
          <w:p>
            <w:pPr>
              <w:jc w:val="left"/>
            </w:pPr>
            <w:r>
              <w:rPr>
                <w:sz w:val="20"/>
                <w:szCs w:val="20"/>
              </w:rPr>
              <w:t xml:space="preserve">CIC Dirichlet, client 3</w:t>
            </w:r>
          </w:p>
        </w:tc>
        <w:tc>
          <w:tcPr>
            <w:tcW w:type="dxa" w:w="1400"/>
            <w:tcMar>
              <w:top w:type="dxa" w:w="60"/>
              <w:left w:type="dxa" w:w="100"/>
              <w:bottom w:type="dxa" w:w="60"/>
              <w:right w:type="dxa" w:w="100"/>
            </w:tcMar>
            <w:vAlign w:val="center"/>
          </w:tcPr>
          <w:p>
            <w:pPr>
              <w:jc w:val="center"/>
            </w:pPr>
            <w:r>
              <w:rPr>
                <w:sz w:val="20"/>
                <w:szCs w:val="20"/>
              </w:rPr>
              <w:t xml:space="preserve">728k (25.1%)</w:t>
            </w:r>
          </w:p>
        </w:tc>
        <w:tc>
          <w:tcPr>
            <w:tcW w:type="dxa" w:w="2200"/>
            <w:tcMar>
              <w:top w:type="dxa" w:w="60"/>
              <w:left w:type="dxa" w:w="100"/>
              <w:bottom w:type="dxa" w:w="60"/>
              <w:right w:type="dxa" w:w="100"/>
            </w:tcMar>
            <w:vAlign w:val="center"/>
          </w:tcPr>
          <w:p>
            <w:pPr>
              <w:jc w:val="center"/>
            </w:pPr>
            <w:r>
              <w:rPr>
                <w:sz w:val="20"/>
                <w:szCs w:val="20"/>
              </w:rPr>
              <w:t xml:space="preserve">89.80 / 99.60% / 4.56%</w:t>
            </w:r>
          </w:p>
        </w:tc>
        <w:tc>
          <w:tcPr>
            <w:tcW w:type="dxa" w:w="1500"/>
            <w:tcMar>
              <w:top w:type="dxa" w:w="60"/>
              <w:left w:type="dxa" w:w="100"/>
              <w:bottom w:type="dxa" w:w="60"/>
              <w:right w:type="dxa" w:w="100"/>
            </w:tcMar>
            <w:vAlign w:val="center"/>
          </w:tcPr>
          <w:p>
            <w:pPr>
              <w:jc w:val="center"/>
            </w:pPr>
            <w:r>
              <w:rPr>
                <w:sz w:val="20"/>
                <w:szCs w:val="20"/>
              </w:rPr>
              <w:t xml:space="preserve">339 / 85,173 (0.40%)</w:t>
            </w:r>
          </w:p>
        </w:tc>
        <w:tc>
          <w:tcPr>
            <w:tcW w:type="dxa" w:w="1700"/>
            <w:tcMar>
              <w:top w:type="dxa" w:w="60"/>
              <w:left w:type="dxa" w:w="100"/>
              <w:bottom w:type="dxa" w:w="60"/>
              <w:right w:type="dxa" w:w="100"/>
            </w:tcMar>
            <w:vAlign w:val="center"/>
          </w:tcPr>
          <w:p>
            <w:pPr>
              <w:jc w:val="center"/>
            </w:pPr>
            <w:r>
              <w:rPr>
                <w:sz w:val="20"/>
                <w:szCs w:val="20"/>
              </w:rPr>
              <w:t xml:space="preserve"/>
            </w:r>
          </w:p>
        </w:tc>
        <w:tc>
          <w:tcPr>
            <w:tcW w:type="dxa" w:w="1500"/>
            <w:tcMar>
              <w:top w:type="dxa" w:w="60"/>
              <w:left w:type="dxa" w:w="100"/>
              <w:bottom w:type="dxa" w:w="60"/>
              <w:right w:type="dxa" w:w="100"/>
            </w:tcMar>
            <w:vAlign w:val="center"/>
          </w:tcPr>
          <w:p>
            <w:pPr>
              <w:jc w:val="center"/>
            </w:pPr>
            <w:r>
              <w:rPr>
                <w:sz w:val="20"/>
                <w:szCs w:val="20"/>
              </w:rPr>
              <w:t xml:space="preserve"/>
            </w:r>
          </w:p>
        </w:tc>
      </w:tr>
      <w:tr>
        <w:tc>
          <w:tcPr>
            <w:tcW w:type="dxa" w:w="1900"/>
            <w:tcMar>
              <w:top w:type="dxa" w:w="60"/>
              <w:left w:type="dxa" w:w="100"/>
              <w:bottom w:type="dxa" w:w="60"/>
              <w:right w:type="dxa" w:w="100"/>
            </w:tcMar>
            <w:vAlign w:val="center"/>
          </w:tcPr>
          <w:p>
            <w:pPr>
              <w:jc w:val="left"/>
            </w:pPr>
            <w:r>
              <w:rPr>
                <w:sz w:val="20"/>
                <w:szCs w:val="20"/>
              </w:rPr>
              <w:t xml:space="preserve">TON near-IID, clients 0–3</w:t>
            </w:r>
          </w:p>
        </w:tc>
        <w:tc>
          <w:tcPr>
            <w:tcW w:type="dxa" w:w="1400"/>
            <w:tcMar>
              <w:top w:type="dxa" w:w="60"/>
              <w:left w:type="dxa" w:w="100"/>
              <w:bottom w:type="dxa" w:w="60"/>
              <w:right w:type="dxa" w:w="100"/>
            </w:tcMar>
            <w:vAlign w:val="center"/>
          </w:tcPr>
          <w:p>
            <w:pPr>
              <w:jc w:val="center"/>
            </w:pPr>
            <w:r>
              <w:rPr>
                <w:sz w:val="20"/>
                <w:szCs w:val="20"/>
              </w:rPr>
              <w:t xml:space="preserve">32k each (50%)</w:t>
            </w:r>
          </w:p>
        </w:tc>
        <w:tc>
          <w:tcPr>
            <w:tcW w:type="dxa" w:w="2200"/>
            <w:tcMar>
              <w:top w:type="dxa" w:w="60"/>
              <w:left w:type="dxa" w:w="100"/>
              <w:bottom w:type="dxa" w:w="60"/>
              <w:right w:type="dxa" w:w="100"/>
            </w:tcMar>
            <w:vAlign w:val="center"/>
          </w:tcPr>
          <w:p>
            <w:pPr>
              <w:jc w:val="center"/>
            </w:pPr>
            <w:r>
              <w:rPr>
                <w:sz w:val="20"/>
                <w:szCs w:val="20"/>
              </w:rPr>
              <w:t xml:space="preserve">99.08–99.35 / 99.69–99.81% / 3.6–5.6%</w:t>
            </w:r>
          </w:p>
        </w:tc>
        <w:tc>
          <w:tcPr>
            <w:tcW w:type="dxa" w:w="1500"/>
            <w:tcMar>
              <w:top w:type="dxa" w:w="60"/>
              <w:left w:type="dxa" w:w="100"/>
              <w:bottom w:type="dxa" w:w="60"/>
              <w:right w:type="dxa" w:w="100"/>
            </w:tcMar>
            <w:vAlign w:val="center"/>
          </w:tcPr>
          <w:p>
            <w:pPr>
              <w:jc w:val="center"/>
            </w:pPr>
            <w:r>
              <w:rPr>
                <w:sz w:val="20"/>
                <w:szCs w:val="20"/>
              </w:rPr>
              <w:t xml:space="preserve">31–51 / 16,215 (0.19–0.31%)</w:t>
            </w:r>
          </w:p>
        </w:tc>
        <w:tc>
          <w:tcPr>
            <w:tcW w:type="dxa" w:w="1700"/>
            <w:tcMar>
              <w:top w:type="dxa" w:w="60"/>
              <w:left w:type="dxa" w:w="100"/>
              <w:bottom w:type="dxa" w:w="60"/>
              <w:right w:type="dxa" w:w="100"/>
            </w:tcMar>
            <w:vAlign w:val="center"/>
          </w:tcPr>
          <w:p>
            <w:pPr>
              <w:jc w:val="center"/>
            </w:pPr>
            <w:r>
              <w:rPr>
                <w:sz w:val="20"/>
                <w:szCs w:val="20"/>
              </w:rPr>
              <w:t xml:space="preserve">99.41 / 99.88% / 3.61%</w:t>
            </w:r>
          </w:p>
        </w:tc>
        <w:tc>
          <w:tcPr>
            <w:tcW w:type="dxa" w:w="1500"/>
            <w:tcMar>
              <w:top w:type="dxa" w:w="60"/>
              <w:left w:type="dxa" w:w="100"/>
              <w:bottom w:type="dxa" w:w="60"/>
              <w:right w:type="dxa" w:w="100"/>
            </w:tcMar>
            <w:vAlign w:val="center"/>
          </w:tcPr>
          <w:p>
            <w:pPr>
              <w:jc w:val="center"/>
            </w:pPr>
            <w:r>
              <w:rPr>
                <w:sz w:val="20"/>
                <w:szCs w:val="20"/>
              </w:rPr>
              <w:t xml:space="preserve">19 / 16,215 (0.12%)</w:t>
            </w:r>
          </w:p>
        </w:tc>
      </w:tr>
      <w:tr>
        <w:tc>
          <w:tcPr>
            <w:tcW w:type="dxa" w:w="1900"/>
            <w:tcMar>
              <w:top w:type="dxa" w:w="60"/>
              <w:left w:type="dxa" w:w="100"/>
              <w:bottom w:type="dxa" w:w="60"/>
              <w:right w:type="dxa" w:w="100"/>
            </w:tcMar>
            <w:vAlign w:val="center"/>
          </w:tcPr>
          <w:p>
            <w:pPr>
              <w:jc w:val="left"/>
            </w:pPr>
            <w:r>
              <w:rPr>
                <w:sz w:val="20"/>
                <w:szCs w:val="20"/>
              </w:rPr>
              <w:t xml:space="preserve">TON Dirichlet, client 0</w:t>
            </w:r>
          </w:p>
        </w:tc>
        <w:tc>
          <w:tcPr>
            <w:tcW w:type="dxa" w:w="1400"/>
            <w:tcMar>
              <w:top w:type="dxa" w:w="60"/>
              <w:left w:type="dxa" w:w="100"/>
              <w:bottom w:type="dxa" w:w="60"/>
              <w:right w:type="dxa" w:w="100"/>
            </w:tcMar>
            <w:vAlign w:val="center"/>
          </w:tcPr>
          <w:p>
            <w:pPr>
              <w:jc w:val="center"/>
            </w:pPr>
            <w:r>
              <w:rPr>
                <w:sz w:val="20"/>
                <w:szCs w:val="20"/>
              </w:rPr>
              <w:t xml:space="preserve">49.9k (0.4%)</w:t>
            </w:r>
          </w:p>
        </w:tc>
        <w:tc>
          <w:tcPr>
            <w:tcW w:type="dxa" w:w="2200"/>
            <w:tcMar>
              <w:top w:type="dxa" w:w="60"/>
              <w:left w:type="dxa" w:w="100"/>
              <w:bottom w:type="dxa" w:w="60"/>
              <w:right w:type="dxa" w:w="100"/>
            </w:tcMar>
            <w:vAlign w:val="center"/>
          </w:tcPr>
          <w:p>
            <w:pPr>
              <w:jc w:val="center"/>
            </w:pPr>
            <w:r>
              <w:rPr>
                <w:sz w:val="20"/>
                <w:szCs w:val="20"/>
              </w:rPr>
              <w:t xml:space="preserve">92.15 / 85.53% / 0.35%</w:t>
            </w:r>
          </w:p>
        </w:tc>
        <w:tc>
          <w:tcPr>
            <w:tcW w:type="dxa" w:w="1500"/>
            <w:tcMar>
              <w:top w:type="dxa" w:w="60"/>
              <w:left w:type="dxa" w:w="100"/>
              <w:bottom w:type="dxa" w:w="60"/>
              <w:right w:type="dxa" w:w="100"/>
            </w:tcMar>
            <w:vAlign w:val="center"/>
          </w:tcPr>
          <w:p>
            <w:pPr>
              <w:jc w:val="center"/>
            </w:pPr>
            <w:r>
              <w:rPr>
                <w:sz w:val="20"/>
                <w:szCs w:val="20"/>
              </w:rPr>
              <w:t xml:space="preserve">2,346 / 16,215 (14.47%)</w:t>
            </w:r>
          </w:p>
        </w:tc>
        <w:tc>
          <w:tcPr>
            <w:tcW w:type="dxa" w:w="1700"/>
            <w:tcMar>
              <w:top w:type="dxa" w:w="60"/>
              <w:left w:type="dxa" w:w="100"/>
              <w:bottom w:type="dxa" w:w="60"/>
              <w:right w:type="dxa" w:w="100"/>
            </w:tcMar>
            <w:vAlign w:val="center"/>
          </w:tcPr>
          <w:p>
            <w:pPr>
              <w:jc w:val="center"/>
            </w:pPr>
            <w:r>
              <w:rPr>
                <w:sz w:val="20"/>
                <w:szCs w:val="20"/>
              </w:rPr>
              <w:t xml:space="preserve">98.60 / 99.99% / 9.52%</w:t>
            </w:r>
          </w:p>
        </w:tc>
        <w:tc>
          <w:tcPr>
            <w:tcW w:type="dxa" w:w="1500"/>
            <w:tcMar>
              <w:top w:type="dxa" w:w="60"/>
              <w:left w:type="dxa" w:w="100"/>
              <w:bottom w:type="dxa" w:w="60"/>
              <w:right w:type="dxa" w:w="100"/>
            </w:tcMar>
            <w:vAlign w:val="center"/>
          </w:tcPr>
          <w:p>
            <w:pPr>
              <w:jc w:val="center"/>
            </w:pPr>
            <w:r>
              <w:rPr>
                <w:sz w:val="20"/>
                <w:szCs w:val="20"/>
              </w:rPr>
              <w:t xml:space="preserve">1 / 16,215 (0.006%)</w:t>
            </w:r>
          </w:p>
        </w:tc>
      </w:tr>
      <w:tr>
        <w:tc>
          <w:tcPr>
            <w:tcW w:type="dxa" w:w="1900"/>
            <w:tcMar>
              <w:top w:type="dxa" w:w="60"/>
              <w:left w:type="dxa" w:w="100"/>
              <w:bottom w:type="dxa" w:w="60"/>
              <w:right w:type="dxa" w:w="100"/>
            </w:tcMar>
            <w:vAlign w:val="center"/>
          </w:tcPr>
          <w:p>
            <w:pPr>
              <w:jc w:val="left"/>
            </w:pPr>
            <w:r>
              <w:rPr>
                <w:sz w:val="20"/>
                <w:szCs w:val="20"/>
              </w:rPr>
              <w:t xml:space="preserve">TON Dirichlet, client 1</w:t>
            </w:r>
          </w:p>
        </w:tc>
        <w:tc>
          <w:tcPr>
            <w:tcW w:type="dxa" w:w="1400"/>
            <w:tcMar>
              <w:top w:type="dxa" w:w="60"/>
              <w:left w:type="dxa" w:w="100"/>
              <w:bottom w:type="dxa" w:w="60"/>
              <w:right w:type="dxa" w:w="100"/>
            </w:tcMar>
            <w:vAlign w:val="center"/>
          </w:tcPr>
          <w:p>
            <w:pPr>
              <w:jc w:val="center"/>
            </w:pPr>
            <w:r>
              <w:rPr>
                <w:sz w:val="20"/>
                <w:szCs w:val="20"/>
              </w:rPr>
              <w:t xml:space="preserve">62.9k (92.8%)</w:t>
            </w:r>
          </w:p>
        </w:tc>
        <w:tc>
          <w:tcPr>
            <w:tcW w:type="dxa" w:w="2200"/>
            <w:tcMar>
              <w:top w:type="dxa" w:w="60"/>
              <w:left w:type="dxa" w:w="100"/>
              <w:bottom w:type="dxa" w:w="60"/>
              <w:right w:type="dxa" w:w="100"/>
            </w:tcMar>
            <w:vAlign w:val="center"/>
          </w:tcPr>
          <w:p>
            <w:pPr>
              <w:jc w:val="center"/>
            </w:pPr>
            <w:r>
              <w:rPr>
                <w:sz w:val="20"/>
                <w:szCs w:val="20"/>
              </w:rPr>
              <w:t xml:space="preserve">98.40 / 99.99% / 10.93%</w:t>
            </w:r>
          </w:p>
        </w:tc>
        <w:tc>
          <w:tcPr>
            <w:tcW w:type="dxa" w:w="1500"/>
            <w:tcMar>
              <w:top w:type="dxa" w:w="60"/>
              <w:left w:type="dxa" w:w="100"/>
              <w:bottom w:type="dxa" w:w="60"/>
              <w:right w:type="dxa" w:w="100"/>
            </w:tcMar>
            <w:vAlign w:val="center"/>
          </w:tcPr>
          <w:p>
            <w:pPr>
              <w:jc w:val="center"/>
            </w:pPr>
            <w:r>
              <w:rPr>
                <w:sz w:val="20"/>
                <w:szCs w:val="20"/>
              </w:rPr>
              <w:t xml:space="preserve">1 / 16,215 (0.006%)</w:t>
            </w:r>
          </w:p>
        </w:tc>
        <w:tc>
          <w:tcPr>
            <w:tcW w:type="dxa" w:w="1700"/>
            <w:tcMar>
              <w:top w:type="dxa" w:w="60"/>
              <w:left w:type="dxa" w:w="100"/>
              <w:bottom w:type="dxa" w:w="60"/>
              <w:right w:type="dxa" w:w="100"/>
            </w:tcMar>
            <w:vAlign w:val="center"/>
          </w:tcPr>
          <w:p>
            <w:pPr>
              <w:jc w:val="center"/>
            </w:pPr>
            <w:r>
              <w:rPr>
                <w:sz w:val="20"/>
                <w:szCs w:val="20"/>
              </w:rPr>
              <w:t xml:space="preserve"/>
            </w:r>
          </w:p>
        </w:tc>
        <w:tc>
          <w:tcPr>
            <w:tcW w:type="dxa" w:w="1500"/>
            <w:tcMar>
              <w:top w:type="dxa" w:w="60"/>
              <w:left w:type="dxa" w:w="100"/>
              <w:bottom w:type="dxa" w:w="60"/>
              <w:right w:type="dxa" w:w="100"/>
            </w:tcMar>
            <w:vAlign w:val="center"/>
          </w:tcPr>
          <w:p>
            <w:pPr>
              <w:jc w:val="center"/>
            </w:pPr>
            <w:r>
              <w:rPr>
                <w:sz w:val="20"/>
                <w:szCs w:val="20"/>
              </w:rPr>
              <w:t xml:space="preserve"/>
            </w:r>
          </w:p>
        </w:tc>
      </w:tr>
      <w:tr>
        <w:tc>
          <w:tcPr>
            <w:tcW w:type="dxa" w:w="1900"/>
            <w:tcMar>
              <w:top w:type="dxa" w:w="60"/>
              <w:left w:type="dxa" w:w="100"/>
              <w:bottom w:type="dxa" w:w="60"/>
              <w:right w:type="dxa" w:w="100"/>
            </w:tcMar>
            <w:vAlign w:val="center"/>
          </w:tcPr>
          <w:p>
            <w:pPr>
              <w:jc w:val="left"/>
            </w:pPr>
            <w:r>
              <w:rPr>
                <w:sz w:val="20"/>
                <w:szCs w:val="20"/>
              </w:rPr>
              <w:t xml:space="preserve">TON Dirichlet, client 2</w:t>
            </w:r>
          </w:p>
        </w:tc>
        <w:tc>
          <w:tcPr>
            <w:tcW w:type="dxa" w:w="1400"/>
            <w:tcMar>
              <w:top w:type="dxa" w:w="60"/>
              <w:left w:type="dxa" w:w="100"/>
              <w:bottom w:type="dxa" w:w="60"/>
              <w:right w:type="dxa" w:w="100"/>
            </w:tcMar>
            <w:vAlign w:val="center"/>
          </w:tcPr>
          <w:p>
            <w:pPr>
              <w:jc w:val="center"/>
            </w:pPr>
            <w:r>
              <w:rPr>
                <w:sz w:val="20"/>
                <w:szCs w:val="20"/>
              </w:rPr>
              <w:t xml:space="preserve">8.6k (65.5%)</w:t>
            </w:r>
          </w:p>
        </w:tc>
        <w:tc>
          <w:tcPr>
            <w:tcW w:type="dxa" w:w="2200"/>
            <w:tcMar>
              <w:top w:type="dxa" w:w="60"/>
              <w:left w:type="dxa" w:w="100"/>
              <w:bottom w:type="dxa" w:w="60"/>
              <w:right w:type="dxa" w:w="100"/>
            </w:tcMar>
            <w:vAlign w:val="center"/>
          </w:tcPr>
          <w:p>
            <w:pPr>
              <w:jc w:val="center"/>
            </w:pPr>
            <w:r>
              <w:rPr>
                <w:sz w:val="20"/>
                <w:szCs w:val="20"/>
              </w:rPr>
              <w:t xml:space="preserve">98.75 / 99.73% / 7.59%</w:t>
            </w:r>
          </w:p>
        </w:tc>
        <w:tc>
          <w:tcPr>
            <w:tcW w:type="dxa" w:w="1500"/>
            <w:tcMar>
              <w:top w:type="dxa" w:w="60"/>
              <w:left w:type="dxa" w:w="100"/>
              <w:bottom w:type="dxa" w:w="60"/>
              <w:right w:type="dxa" w:w="100"/>
            </w:tcMar>
            <w:vAlign w:val="center"/>
          </w:tcPr>
          <w:p>
            <w:pPr>
              <w:jc w:val="center"/>
            </w:pPr>
            <w:r>
              <w:rPr>
                <w:sz w:val="20"/>
                <w:szCs w:val="20"/>
              </w:rPr>
              <w:t xml:space="preserve">44 / 16,215 (0.27%)</w:t>
            </w:r>
          </w:p>
        </w:tc>
        <w:tc>
          <w:tcPr>
            <w:tcW w:type="dxa" w:w="1700"/>
            <w:tcMar>
              <w:top w:type="dxa" w:w="60"/>
              <w:left w:type="dxa" w:w="100"/>
              <w:bottom w:type="dxa" w:w="60"/>
              <w:right w:type="dxa" w:w="100"/>
            </w:tcMar>
            <w:vAlign w:val="center"/>
          </w:tcPr>
          <w:p>
            <w:pPr>
              <w:jc w:val="center"/>
            </w:pPr>
            <w:r>
              <w:rPr>
                <w:sz w:val="20"/>
                <w:szCs w:val="20"/>
              </w:rPr>
              <w:t xml:space="preserve"/>
            </w:r>
          </w:p>
        </w:tc>
        <w:tc>
          <w:tcPr>
            <w:tcW w:type="dxa" w:w="1500"/>
            <w:tcMar>
              <w:top w:type="dxa" w:w="60"/>
              <w:left w:type="dxa" w:w="100"/>
              <w:bottom w:type="dxa" w:w="60"/>
              <w:right w:type="dxa" w:w="100"/>
            </w:tcMar>
            <w:vAlign w:val="center"/>
          </w:tcPr>
          <w:p>
            <w:pPr>
              <w:jc w:val="center"/>
            </w:pPr>
            <w:r>
              <w:rPr>
                <w:sz w:val="20"/>
                <w:szCs w:val="20"/>
              </w:rPr>
              <w:t xml:space="preserve"/>
            </w:r>
          </w:p>
        </w:tc>
      </w:tr>
      <w:tr>
        <w:tc>
          <w:tcPr>
            <w:tcW w:type="dxa" w:w="1900"/>
            <w:tcMar>
              <w:top w:type="dxa" w:w="60"/>
              <w:left w:type="dxa" w:w="100"/>
              <w:bottom w:type="dxa" w:w="60"/>
              <w:right w:type="dxa" w:w="100"/>
            </w:tcMar>
            <w:vAlign w:val="center"/>
          </w:tcPr>
          <w:p>
            <w:pPr>
              <w:jc w:val="left"/>
            </w:pPr>
            <w:r>
              <w:rPr>
                <w:sz w:val="20"/>
                <w:szCs w:val="20"/>
              </w:rPr>
              <w:t xml:space="preserve">TON Dirichlet, client 3</w:t>
            </w:r>
          </w:p>
        </w:tc>
        <w:tc>
          <w:tcPr>
            <w:tcW w:type="dxa" w:w="1400"/>
            <w:tcMar>
              <w:top w:type="dxa" w:w="60"/>
              <w:left w:type="dxa" w:w="100"/>
              <w:bottom w:type="dxa" w:w="60"/>
              <w:right w:type="dxa" w:w="100"/>
            </w:tcMar>
            <w:vAlign w:val="center"/>
          </w:tcPr>
          <w:p>
            <w:pPr>
              <w:jc w:val="center"/>
            </w:pPr>
            <w:r>
              <w:rPr>
                <w:sz w:val="20"/>
                <w:szCs w:val="20"/>
              </w:rPr>
              <w:t xml:space="preserve">8.4k (8.5%)</w:t>
            </w:r>
          </w:p>
        </w:tc>
        <w:tc>
          <w:tcPr>
            <w:tcW w:type="dxa" w:w="2200"/>
            <w:tcMar>
              <w:top w:type="dxa" w:w="60"/>
              <w:left w:type="dxa" w:w="100"/>
              <w:bottom w:type="dxa" w:w="60"/>
              <w:right w:type="dxa" w:w="100"/>
            </w:tcMar>
            <w:vAlign w:val="center"/>
          </w:tcPr>
          <w:p>
            <w:pPr>
              <w:jc w:val="center"/>
            </w:pPr>
            <w:r>
              <w:rPr>
                <w:sz w:val="20"/>
                <w:szCs w:val="20"/>
              </w:rPr>
              <w:t xml:space="preserve">96.42 / 93.39% / 1.06%</w:t>
            </w:r>
          </w:p>
        </w:tc>
        <w:tc>
          <w:tcPr>
            <w:tcW w:type="dxa" w:w="1500"/>
            <w:tcMar>
              <w:top w:type="dxa" w:w="60"/>
              <w:left w:type="dxa" w:w="100"/>
              <w:bottom w:type="dxa" w:w="60"/>
              <w:right w:type="dxa" w:w="100"/>
            </w:tcMar>
            <w:vAlign w:val="center"/>
          </w:tcPr>
          <w:p>
            <w:pPr>
              <w:jc w:val="center"/>
            </w:pPr>
            <w:r>
              <w:rPr>
                <w:sz w:val="20"/>
                <w:szCs w:val="20"/>
              </w:rPr>
              <w:t xml:space="preserve">1,072 / 16,215 (6.61%)</w:t>
            </w:r>
          </w:p>
        </w:tc>
        <w:tc>
          <w:tcPr>
            <w:tcW w:type="dxa" w:w="1700"/>
            <w:tcMar>
              <w:top w:type="dxa" w:w="60"/>
              <w:left w:type="dxa" w:w="100"/>
              <w:bottom w:type="dxa" w:w="60"/>
              <w:right w:type="dxa" w:w="100"/>
            </w:tcMar>
            <w:vAlign w:val="center"/>
          </w:tcPr>
          <w:p>
            <w:pPr>
              <w:jc w:val="center"/>
            </w:pPr>
            <w:r>
              <w:rPr>
                <w:sz w:val="20"/>
                <w:szCs w:val="20"/>
              </w:rPr>
              <w:t xml:space="preserve"/>
            </w:r>
          </w:p>
        </w:tc>
        <w:tc>
          <w:tcPr>
            <w:tcW w:type="dxa" w:w="1500"/>
            <w:tcMar>
              <w:top w:type="dxa" w:w="60"/>
              <w:left w:type="dxa" w:w="100"/>
              <w:bottom w:type="dxa" w:w="60"/>
              <w:right w:type="dxa" w:w="100"/>
            </w:tcMar>
            <w:vAlign w:val="center"/>
          </w:tcPr>
          <w:p>
            <w:pPr>
              <w:jc w:val="center"/>
            </w:pPr>
            <w:r>
              <w:rPr>
                <w:sz w:val="20"/>
                <w:szCs w:val="20"/>
              </w:rPr>
              <w:t xml:space="preserve"/>
            </w:r>
          </w:p>
        </w:tc>
      </w:tr>
    </w:tbl>
    <w:p>
      <w:pPr>
        <w:spacing w:after="240" w:before="80"/>
      </w:pPr>
      <w:r>
        <w:rPr>
          <w:i/>
          <w:iCs/>
          <w:sz w:val="20"/>
          <w:szCs w:val="20"/>
        </w:rPr>
        <w:t xml:space="preserve">Table 9. Each client trained alone vs. the federated model of the same partition (float models, test split, threshold 0.3). Test attacks: 85,173 (CIC-IDS2017), 16,215 (TON_IoT). One federated model serves all clients of a partition.</w:t>
      </w:r>
    </w:p>
    <w:p>
      <w:pPr>
        <w:spacing w:after="160"/>
      </w:pPr>
      <w:r>
        <w:t xml:space="preserve">Federation pays off where the reviewers' non-IID concern points: clients whose local data contains few attacks. Alone, CIC-IDS2017 Dirichlet client 0 (0.1% attacks) detects 44.97% of attacks and client 2 (2.6%) 91.11%; TON_IoT client 0 (0.4%) detects 85.53% and client 3 (8.5%) 93.39%. On the same partitions the federated model detects 99.83% (CIC-IDS2017) and 99.99% (TON_IoT). The attack-heavy TON_IoT client 1 (92.8% attacks) gains little: alone it flags 10.9% of benign records, the federated Dirichlet model 9.5%. Clients that already hold large, representative data gain little or nothing. On near-IID CIC-IDS2017 each client alone reaches F1 88.3–90.0 against 85.70 for the federated model, at a precision-heavier operating point that misses 3.6–19 times as many attacks (185–982 vs. 52). The near-IID partition, which gives every client several hundred thousand representative flows, is therefore the setting in which federation is least needed, and the Dirichlet partition is the one in which it is needed. Three caveats apply: local and federated training budgets are not matched (10 local epochs vs. 60 rounds × 3 epochs), each configuration ran once, and at the fixed 0.3 threshold the F1 differences among data-rich clients mainly reflect operating points.</w:t>
      </w:r>
    </w:p>
    <w:p>
      <w:pPr>
        <w:pStyle w:val="Heading2"/>
        <w:spacing w:after="140" w:before="260"/>
      </w:pPr>
      <w:r>
        <w:t xml:space="preserve">5.12 Combining Pruning, PTQ, QAT, and Distillation</w:t>
      </w:r>
    </w:p>
    <w:p>
      <w:pPr>
        <w:spacing w:after="160"/>
      </w:pPr>
      <w:r>
        <w:t xml:space="preserve">Sections 5.3–5.10 vary one step of the compression pipeline at a time. Table 10 compares 16 complete pipelines that combine quantization (PTQ, PTQ with clipped calibration, QAT fine-tuning, QAT fine-tuning on clipped inputs), pruning (structured 50%, unstructured magnitude pruning at 50% and 80%, and both together), distillation fine-tuning, and the order of pruning and quantization. Every pipeline starts from the near-IID federated model, uses only client 0's data, and is repeated over three random 10,000-sample fine-tuning draws. We report the mean and the range over draws. Magnitude pruning ramps sparsity up during three fine-tuning epochs; sparsity-preserving QAT (PQAT) is tfmot's prune-preserving quantization scheme.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300"/>
        <w:gridCol w:w="1250"/>
        <w:gridCol w:w="1250"/>
        <w:gridCol w:w="1500"/>
        <w:gridCol w:w="1500"/>
        <w:gridCol w:w="1000"/>
      </w:tblGrid>
      <w:tr>
        <w:trPr>
          <w:tblHeader/>
        </w:trPr>
        <w:tc>
          <w:tcPr>
            <w:tcW w:type="dxa" w:w="3300"/>
            <w:shd w:fill="D9E2F3" w:val="clear"/>
            <w:tcMar>
              <w:top w:type="dxa" w:w="60"/>
              <w:left w:type="dxa" w:w="100"/>
              <w:bottom w:type="dxa" w:w="60"/>
              <w:right w:type="dxa" w:w="100"/>
            </w:tcMar>
            <w:vAlign w:val="center"/>
          </w:tcPr>
          <w:p>
            <w:pPr>
              <w:jc w:val="center"/>
            </w:pPr>
            <w:r>
              <w:rPr>
                <w:b/>
                <w:bCs/>
                <w:sz w:val="20"/>
                <w:szCs w:val="20"/>
              </w:rPr>
              <w:t xml:space="preserve">Pipeline</w:t>
            </w:r>
          </w:p>
        </w:tc>
        <w:tc>
          <w:tcPr>
            <w:tcW w:type="dxa" w:w="1250"/>
            <w:shd w:fill="D9E2F3" w:val="clear"/>
            <w:tcMar>
              <w:top w:type="dxa" w:w="60"/>
              <w:left w:type="dxa" w:w="100"/>
              <w:bottom w:type="dxa" w:w="60"/>
              <w:right w:type="dxa" w:w="100"/>
            </w:tcMar>
            <w:vAlign w:val="center"/>
          </w:tcPr>
          <w:p>
            <w:pPr>
              <w:jc w:val="center"/>
            </w:pPr>
            <w:r>
              <w:rPr>
                <w:b/>
                <w:bCs/>
                <w:sz w:val="20"/>
                <w:szCs w:val="20"/>
              </w:rPr>
              <w:t xml:space="preserve">Flash KB (TON / CIC)</w:t>
            </w:r>
          </w:p>
        </w:tc>
        <w:tc>
          <w:tcPr>
            <w:tcW w:type="dxa" w:w="1250"/>
            <w:shd w:fill="D9E2F3" w:val="clear"/>
            <w:tcMar>
              <w:top w:type="dxa" w:w="60"/>
              <w:left w:type="dxa" w:w="100"/>
              <w:bottom w:type="dxa" w:w="60"/>
              <w:right w:type="dxa" w:w="100"/>
            </w:tcMar>
            <w:vAlign w:val="center"/>
          </w:tcPr>
          <w:p>
            <w:pPr>
              <w:jc w:val="center"/>
            </w:pPr>
            <w:r>
              <w:rPr>
                <w:b/>
                <w:bCs/>
                <w:sz w:val="20"/>
                <w:szCs w:val="20"/>
              </w:rPr>
              <w:t xml:space="preserve">gzip KB (TON / CIC)</w:t>
            </w:r>
          </w:p>
        </w:tc>
        <w:tc>
          <w:tcPr>
            <w:tcW w:type="dxa" w:w="1500"/>
            <w:shd w:fill="D9E2F3" w:val="clear"/>
            <w:tcMar>
              <w:top w:type="dxa" w:w="60"/>
              <w:left w:type="dxa" w:w="100"/>
              <w:bottom w:type="dxa" w:w="60"/>
              <w:right w:type="dxa" w:w="100"/>
            </w:tcMar>
            <w:vAlign w:val="center"/>
          </w:tcPr>
          <w:p>
            <w:pPr>
              <w:jc w:val="center"/>
            </w:pPr>
            <w:r>
              <w:rPr>
                <w:b/>
                <w:bCs/>
                <w:sz w:val="20"/>
                <w:szCs w:val="20"/>
              </w:rPr>
              <w:t xml:space="preserve">TON F1 mean (range)</w:t>
            </w:r>
          </w:p>
        </w:tc>
        <w:tc>
          <w:tcPr>
            <w:tcW w:type="dxa" w:w="1500"/>
            <w:shd w:fill="D9E2F3" w:val="clear"/>
            <w:tcMar>
              <w:top w:type="dxa" w:w="60"/>
              <w:left w:type="dxa" w:w="100"/>
              <w:bottom w:type="dxa" w:w="60"/>
              <w:right w:type="dxa" w:w="100"/>
            </w:tcMar>
            <w:vAlign w:val="center"/>
          </w:tcPr>
          <w:p>
            <w:pPr>
              <w:jc w:val="center"/>
            </w:pPr>
            <w:r>
              <w:rPr>
                <w:b/>
                <w:bCs/>
                <w:sz w:val="20"/>
                <w:szCs w:val="20"/>
              </w:rPr>
              <w:t xml:space="preserve">CIC F1 mean (range)</w:t>
            </w:r>
          </w:p>
        </w:tc>
        <w:tc>
          <w:tcPr>
            <w:tcW w:type="dxa" w:w="1000"/>
            <w:shd w:fill="D9E2F3" w:val="clear"/>
            <w:tcMar>
              <w:top w:type="dxa" w:w="60"/>
              <w:left w:type="dxa" w:w="100"/>
              <w:bottom w:type="dxa" w:w="60"/>
              <w:right w:type="dxa" w:w="100"/>
            </w:tcMar>
            <w:vAlign w:val="center"/>
          </w:tcPr>
          <w:p>
            <w:pPr>
              <w:jc w:val="center"/>
            </w:pPr>
            <w:r>
              <w:rPr>
                <w:b/>
                <w:bCs/>
                <w:sz w:val="20"/>
                <w:szCs w:val="20"/>
              </w:rPr>
              <w:t xml:space="preserve">CIC missed of 85,173</w:t>
            </w:r>
          </w:p>
        </w:tc>
      </w:tr>
      <w:tr>
        <w:tc>
          <w:tcPr>
            <w:tcW w:type="dxa" w:w="3300"/>
            <w:tcMar>
              <w:top w:type="dxa" w:w="60"/>
              <w:left w:type="dxa" w:w="100"/>
              <w:bottom w:type="dxa" w:w="60"/>
              <w:right w:type="dxa" w:w="100"/>
            </w:tcMar>
            <w:vAlign w:val="center"/>
          </w:tcPr>
          <w:p>
            <w:pPr>
              <w:jc w:val="left"/>
            </w:pPr>
            <w:r>
              <w:rPr>
                <w:sz w:val="20"/>
                <w:szCs w:val="20"/>
              </w:rPr>
              <w:t xml:space="preserve">FP32 federated model (reference)</w:t>
            </w:r>
          </w:p>
        </w:tc>
        <w:tc>
          <w:tcPr>
            <w:tcW w:type="dxa" w:w="1250"/>
            <w:tcMar>
              <w:top w:type="dxa" w:w="60"/>
              <w:left w:type="dxa" w:w="100"/>
              <w:bottom w:type="dxa" w:w="60"/>
              <w:right w:type="dxa" w:w="100"/>
            </w:tcMar>
            <w:vAlign w:val="center"/>
          </w:tcPr>
          <w:p>
            <w:pPr>
              <w:jc w:val="center"/>
            </w:pPr>
            <w:r>
              <w:rPr>
                <w:sz w:val="20"/>
                <w:szCs w:val="20"/>
              </w:rPr>
              <w:t xml:space="preserve">732 / 803</w:t>
            </w:r>
          </w:p>
        </w:tc>
        <w:tc>
          <w:tcPr>
            <w:tcW w:type="dxa" w:w="1250"/>
            <w:tcMar>
              <w:top w:type="dxa" w:w="60"/>
              <w:left w:type="dxa" w:w="100"/>
              <w:bottom w:type="dxa" w:w="60"/>
              <w:right w:type="dxa" w:w="100"/>
            </w:tcMar>
            <w:vAlign w:val="center"/>
          </w:tcPr>
          <w:p>
            <w:pPr>
              <w:jc w:val="center"/>
            </w:pPr>
            <w:r>
              <w:rPr>
                <w:sz w:val="20"/>
                <w:szCs w:val="20"/>
              </w:rPr>
              <w:t xml:space="preserve">684 / 755</w:t>
            </w:r>
          </w:p>
        </w:tc>
        <w:tc>
          <w:tcPr>
            <w:tcW w:type="dxa" w:w="1500"/>
            <w:tcMar>
              <w:top w:type="dxa" w:w="60"/>
              <w:left w:type="dxa" w:w="100"/>
              <w:bottom w:type="dxa" w:w="60"/>
              <w:right w:type="dxa" w:w="100"/>
            </w:tcMar>
            <w:vAlign w:val="center"/>
          </w:tcPr>
          <w:p>
            <w:pPr>
              <w:jc w:val="center"/>
            </w:pPr>
            <w:r>
              <w:rPr>
                <w:sz w:val="20"/>
                <w:szCs w:val="20"/>
              </w:rPr>
              <w:t xml:space="preserve">99.41</w:t>
            </w:r>
          </w:p>
        </w:tc>
        <w:tc>
          <w:tcPr>
            <w:tcW w:type="dxa" w:w="1500"/>
            <w:tcMar>
              <w:top w:type="dxa" w:w="60"/>
              <w:left w:type="dxa" w:w="100"/>
              <w:bottom w:type="dxa" w:w="60"/>
              <w:right w:type="dxa" w:w="100"/>
            </w:tcMar>
            <w:vAlign w:val="center"/>
          </w:tcPr>
          <w:p>
            <w:pPr>
              <w:jc w:val="center"/>
            </w:pPr>
            <w:r>
              <w:rPr>
                <w:sz w:val="20"/>
                <w:szCs w:val="20"/>
              </w:rPr>
              <w:t xml:space="preserve">85.70</w:t>
            </w:r>
          </w:p>
        </w:tc>
        <w:tc>
          <w:tcPr>
            <w:tcW w:type="dxa" w:w="1000"/>
            <w:tcMar>
              <w:top w:type="dxa" w:w="60"/>
              <w:left w:type="dxa" w:w="100"/>
              <w:bottom w:type="dxa" w:w="60"/>
              <w:right w:type="dxa" w:w="100"/>
            </w:tcMar>
            <w:vAlign w:val="center"/>
          </w:tcPr>
          <w:p>
            <w:pPr>
              <w:jc w:val="center"/>
            </w:pPr>
            <w:r>
              <w:rPr>
                <w:sz w:val="20"/>
                <w:szCs w:val="20"/>
              </w:rPr>
              <w:t xml:space="preserve">52 (0.061%)</w:t>
            </w:r>
          </w:p>
        </w:tc>
      </w:tr>
      <w:tr>
        <w:tc>
          <w:tcPr>
            <w:tcW w:type="dxa" w:w="3300"/>
            <w:tcMar>
              <w:top w:type="dxa" w:w="60"/>
              <w:left w:type="dxa" w:w="100"/>
              <w:bottom w:type="dxa" w:w="60"/>
              <w:right w:type="dxa" w:w="100"/>
            </w:tcMar>
            <w:vAlign w:val="center"/>
          </w:tcPr>
          <w:p>
            <w:pPr>
              <w:jc w:val="left"/>
            </w:pPr>
            <w:r>
              <w:rPr>
                <w:sz w:val="20"/>
                <w:szCs w:val="20"/>
              </w:rPr>
              <w:t xml:space="preserve">INT8 PTQ</w:t>
            </w:r>
          </w:p>
        </w:tc>
        <w:tc>
          <w:tcPr>
            <w:tcW w:type="dxa" w:w="1250"/>
            <w:tcMar>
              <w:top w:type="dxa" w:w="60"/>
              <w:left w:type="dxa" w:w="100"/>
              <w:bottom w:type="dxa" w:w="60"/>
              <w:right w:type="dxa" w:w="100"/>
            </w:tcMar>
            <w:vAlign w:val="center"/>
          </w:tcPr>
          <w:p>
            <w:pPr>
              <w:jc w:val="center"/>
            </w:pPr>
            <w:r>
              <w:rPr>
                <w:sz w:val="20"/>
                <w:szCs w:val="20"/>
              </w:rPr>
              <w:t xml:space="preserve">209 / 227</w:t>
            </w:r>
          </w:p>
        </w:tc>
        <w:tc>
          <w:tcPr>
            <w:tcW w:type="dxa" w:w="1250"/>
            <w:tcMar>
              <w:top w:type="dxa" w:w="60"/>
              <w:left w:type="dxa" w:w="100"/>
              <w:bottom w:type="dxa" w:w="60"/>
              <w:right w:type="dxa" w:w="100"/>
            </w:tcMar>
            <w:vAlign w:val="center"/>
          </w:tcPr>
          <w:p>
            <w:pPr>
              <w:jc w:val="center"/>
            </w:pPr>
            <w:r>
              <w:rPr>
                <w:sz w:val="20"/>
                <w:szCs w:val="20"/>
              </w:rPr>
              <w:t xml:space="preserve">160 / 150</w:t>
            </w:r>
          </w:p>
        </w:tc>
        <w:tc>
          <w:tcPr>
            <w:tcW w:type="dxa" w:w="1500"/>
            <w:tcMar>
              <w:top w:type="dxa" w:w="60"/>
              <w:left w:type="dxa" w:w="100"/>
              <w:bottom w:type="dxa" w:w="60"/>
              <w:right w:type="dxa" w:w="100"/>
            </w:tcMar>
            <w:vAlign w:val="center"/>
          </w:tcPr>
          <w:p>
            <w:pPr>
              <w:jc w:val="center"/>
            </w:pPr>
            <w:r>
              <w:rPr>
                <w:sz w:val="20"/>
                <w:szCs w:val="20"/>
              </w:rPr>
              <w:t xml:space="preserve">99.10 (98.92–99.40)</w:t>
            </w:r>
          </w:p>
        </w:tc>
        <w:tc>
          <w:tcPr>
            <w:tcW w:type="dxa" w:w="1500"/>
            <w:tcMar>
              <w:top w:type="dxa" w:w="60"/>
              <w:left w:type="dxa" w:w="100"/>
              <w:bottom w:type="dxa" w:w="60"/>
              <w:right w:type="dxa" w:w="100"/>
            </w:tcMar>
            <w:vAlign w:val="center"/>
          </w:tcPr>
          <w:p>
            <w:pPr>
              <w:jc w:val="center"/>
            </w:pPr>
            <w:r>
              <w:rPr>
                <w:sz w:val="20"/>
                <w:szCs w:val="20"/>
              </w:rPr>
              <w:t xml:space="preserve">82.36 (81.04–83.21)</w:t>
            </w:r>
          </w:p>
        </w:tc>
        <w:tc>
          <w:tcPr>
            <w:tcW w:type="dxa" w:w="1000"/>
            <w:tcMar>
              <w:top w:type="dxa" w:w="60"/>
              <w:left w:type="dxa" w:w="100"/>
              <w:bottom w:type="dxa" w:w="60"/>
              <w:right w:type="dxa" w:w="100"/>
            </w:tcMar>
            <w:vAlign w:val="center"/>
          </w:tcPr>
          <w:p>
            <w:pPr>
              <w:jc w:val="center"/>
            </w:pPr>
            <w:r>
              <w:rPr>
                <w:sz w:val="20"/>
                <w:szCs w:val="20"/>
              </w:rPr>
              <w:t xml:space="preserve">163 (0.19%)</w:t>
            </w:r>
          </w:p>
        </w:tc>
      </w:tr>
      <w:tr>
        <w:tc>
          <w:tcPr>
            <w:tcW w:type="dxa" w:w="3300"/>
            <w:tcMar>
              <w:top w:type="dxa" w:w="60"/>
              <w:left w:type="dxa" w:w="100"/>
              <w:bottom w:type="dxa" w:w="60"/>
              <w:right w:type="dxa" w:w="100"/>
            </w:tcMar>
            <w:vAlign w:val="center"/>
          </w:tcPr>
          <w:p>
            <w:pPr>
              <w:jc w:val="left"/>
            </w:pPr>
            <w:r>
              <w:rPr>
                <w:sz w:val="20"/>
                <w:szCs w:val="20"/>
              </w:rPr>
              <w:t xml:space="preserve">INT8 PTQ, clipped calibration</w:t>
            </w:r>
          </w:p>
        </w:tc>
        <w:tc>
          <w:tcPr>
            <w:tcW w:type="dxa" w:w="1250"/>
            <w:tcMar>
              <w:top w:type="dxa" w:w="60"/>
              <w:left w:type="dxa" w:w="100"/>
              <w:bottom w:type="dxa" w:w="60"/>
              <w:right w:type="dxa" w:w="100"/>
            </w:tcMar>
            <w:vAlign w:val="center"/>
          </w:tcPr>
          <w:p>
            <w:pPr>
              <w:jc w:val="center"/>
            </w:pPr>
            <w:r>
              <w:rPr>
                <w:sz w:val="20"/>
                <w:szCs w:val="20"/>
              </w:rPr>
              <w:t xml:space="preserve">209 / 227</w:t>
            </w:r>
          </w:p>
        </w:tc>
        <w:tc>
          <w:tcPr>
            <w:tcW w:type="dxa" w:w="1250"/>
            <w:tcMar>
              <w:top w:type="dxa" w:w="60"/>
              <w:left w:type="dxa" w:w="100"/>
              <w:bottom w:type="dxa" w:w="60"/>
              <w:right w:type="dxa" w:w="100"/>
            </w:tcMar>
            <w:vAlign w:val="center"/>
          </w:tcPr>
          <w:p>
            <w:pPr>
              <w:jc w:val="center"/>
            </w:pPr>
            <w:r>
              <w:rPr>
                <w:sz w:val="20"/>
                <w:szCs w:val="20"/>
              </w:rPr>
              <w:t xml:space="preserve">160 / 150</w:t>
            </w:r>
          </w:p>
        </w:tc>
        <w:tc>
          <w:tcPr>
            <w:tcW w:type="dxa" w:w="1500"/>
            <w:tcMar>
              <w:top w:type="dxa" w:w="60"/>
              <w:left w:type="dxa" w:w="100"/>
              <w:bottom w:type="dxa" w:w="60"/>
              <w:right w:type="dxa" w:w="100"/>
            </w:tcMar>
            <w:vAlign w:val="center"/>
          </w:tcPr>
          <w:p>
            <w:pPr>
              <w:jc w:val="center"/>
            </w:pPr>
            <w:r>
              <w:rPr>
                <w:sz w:val="20"/>
                <w:szCs w:val="20"/>
              </w:rPr>
              <w:t xml:space="preserve">99.18 (99.18–99.19)</w:t>
            </w:r>
          </w:p>
        </w:tc>
        <w:tc>
          <w:tcPr>
            <w:tcW w:type="dxa" w:w="1500"/>
            <w:tcMar>
              <w:top w:type="dxa" w:w="60"/>
              <w:left w:type="dxa" w:w="100"/>
              <w:bottom w:type="dxa" w:w="60"/>
              <w:right w:type="dxa" w:w="100"/>
            </w:tcMar>
            <w:vAlign w:val="center"/>
          </w:tcPr>
          <w:p>
            <w:pPr>
              <w:jc w:val="center"/>
            </w:pPr>
            <w:r>
              <w:rPr>
                <w:sz w:val="20"/>
                <w:szCs w:val="20"/>
              </w:rPr>
              <w:t xml:space="preserve">83.97 (83.27–84.35)</w:t>
            </w:r>
          </w:p>
        </w:tc>
        <w:tc>
          <w:tcPr>
            <w:tcW w:type="dxa" w:w="1000"/>
            <w:tcMar>
              <w:top w:type="dxa" w:w="60"/>
              <w:left w:type="dxa" w:w="100"/>
              <w:bottom w:type="dxa" w:w="60"/>
              <w:right w:type="dxa" w:w="100"/>
            </w:tcMar>
            <w:vAlign w:val="center"/>
          </w:tcPr>
          <w:p>
            <w:pPr>
              <w:jc w:val="center"/>
            </w:pPr>
            <w:r>
              <w:rPr>
                <w:sz w:val="20"/>
                <w:szCs w:val="20"/>
              </w:rPr>
              <w:t xml:space="preserve">57 (0.067%)</w:t>
            </w:r>
          </w:p>
        </w:tc>
      </w:tr>
      <w:tr>
        <w:tc>
          <w:tcPr>
            <w:tcW w:type="dxa" w:w="3300"/>
            <w:tcMar>
              <w:top w:type="dxa" w:w="60"/>
              <w:left w:type="dxa" w:w="100"/>
              <w:bottom w:type="dxa" w:w="60"/>
              <w:right w:type="dxa" w:w="100"/>
            </w:tcMar>
            <w:vAlign w:val="center"/>
          </w:tcPr>
          <w:p>
            <w:pPr>
              <w:jc w:val="left"/>
            </w:pPr>
            <w:r>
              <w:rPr>
                <w:sz w:val="20"/>
                <w:szCs w:val="20"/>
              </w:rPr>
              <w:t xml:space="preserve">QAT fine-tuning</w:t>
            </w:r>
          </w:p>
        </w:tc>
        <w:tc>
          <w:tcPr>
            <w:tcW w:type="dxa" w:w="1250"/>
            <w:tcMar>
              <w:top w:type="dxa" w:w="60"/>
              <w:left w:type="dxa" w:w="100"/>
              <w:bottom w:type="dxa" w:w="60"/>
              <w:right w:type="dxa" w:w="100"/>
            </w:tcMar>
            <w:vAlign w:val="center"/>
          </w:tcPr>
          <w:p>
            <w:pPr>
              <w:jc w:val="center"/>
            </w:pPr>
            <w:r>
              <w:rPr>
                <w:sz w:val="20"/>
                <w:szCs w:val="20"/>
              </w:rPr>
              <w:t xml:space="preserve">189 / 207</w:t>
            </w:r>
          </w:p>
        </w:tc>
        <w:tc>
          <w:tcPr>
            <w:tcW w:type="dxa" w:w="1250"/>
            <w:tcMar>
              <w:top w:type="dxa" w:w="60"/>
              <w:left w:type="dxa" w:w="100"/>
              <w:bottom w:type="dxa" w:w="60"/>
              <w:right w:type="dxa" w:w="100"/>
            </w:tcMar>
            <w:vAlign w:val="center"/>
          </w:tcPr>
          <w:p>
            <w:pPr>
              <w:jc w:val="center"/>
            </w:pPr>
            <w:r>
              <w:rPr>
                <w:sz w:val="20"/>
                <w:szCs w:val="20"/>
              </w:rPr>
              <w:t xml:space="preserve">131 / 99</w:t>
            </w:r>
          </w:p>
        </w:tc>
        <w:tc>
          <w:tcPr>
            <w:tcW w:type="dxa" w:w="1500"/>
            <w:tcMar>
              <w:top w:type="dxa" w:w="60"/>
              <w:left w:type="dxa" w:w="100"/>
              <w:bottom w:type="dxa" w:w="60"/>
              <w:right w:type="dxa" w:w="100"/>
            </w:tcMar>
            <w:vAlign w:val="center"/>
          </w:tcPr>
          <w:p>
            <w:pPr>
              <w:jc w:val="center"/>
            </w:pPr>
            <w:r>
              <w:rPr>
                <w:sz w:val="20"/>
                <w:szCs w:val="20"/>
              </w:rPr>
              <w:t xml:space="preserve">99.22 (99.07–99.52)</w:t>
            </w:r>
          </w:p>
        </w:tc>
        <w:tc>
          <w:tcPr>
            <w:tcW w:type="dxa" w:w="1500"/>
            <w:tcMar>
              <w:top w:type="dxa" w:w="60"/>
              <w:left w:type="dxa" w:w="100"/>
              <w:bottom w:type="dxa" w:w="60"/>
              <w:right w:type="dxa" w:w="100"/>
            </w:tcMar>
            <w:vAlign w:val="center"/>
          </w:tcPr>
          <w:p>
            <w:pPr>
              <w:jc w:val="center"/>
            </w:pPr>
            <w:r>
              <w:rPr>
                <w:sz w:val="20"/>
                <w:szCs w:val="20"/>
              </w:rPr>
              <w:t xml:space="preserve">90.51 (89.27–91.99)</w:t>
            </w:r>
          </w:p>
        </w:tc>
        <w:tc>
          <w:tcPr>
            <w:tcW w:type="dxa" w:w="1000"/>
            <w:tcMar>
              <w:top w:type="dxa" w:w="60"/>
              <w:left w:type="dxa" w:w="100"/>
              <w:bottom w:type="dxa" w:w="60"/>
              <w:right w:type="dxa" w:w="100"/>
            </w:tcMar>
            <w:vAlign w:val="center"/>
          </w:tcPr>
          <w:p>
            <w:pPr>
              <w:jc w:val="center"/>
            </w:pPr>
            <w:r>
              <w:rPr>
                <w:sz w:val="20"/>
                <w:szCs w:val="20"/>
              </w:rPr>
              <w:t xml:space="preserve">580 (0.68%)</w:t>
            </w:r>
          </w:p>
        </w:tc>
      </w:tr>
      <w:tr>
        <w:tc>
          <w:tcPr>
            <w:tcW w:type="dxa" w:w="3300"/>
            <w:tcMar>
              <w:top w:type="dxa" w:w="60"/>
              <w:left w:type="dxa" w:w="100"/>
              <w:bottom w:type="dxa" w:w="60"/>
              <w:right w:type="dxa" w:w="100"/>
            </w:tcMar>
            <w:vAlign w:val="center"/>
          </w:tcPr>
          <w:p>
            <w:pPr>
              <w:jc w:val="left"/>
            </w:pPr>
            <w:r>
              <w:rPr>
                <w:sz w:val="20"/>
                <w:szCs w:val="20"/>
              </w:rPr>
              <w:t xml:space="preserve">Structured 50% → FT → PTQ</w:t>
            </w:r>
          </w:p>
        </w:tc>
        <w:tc>
          <w:tcPr>
            <w:tcW w:type="dxa" w:w="1250"/>
            <w:tcMar>
              <w:top w:type="dxa" w:w="60"/>
              <w:left w:type="dxa" w:w="100"/>
              <w:bottom w:type="dxa" w:w="60"/>
              <w:right w:type="dxa" w:w="100"/>
            </w:tcMar>
            <w:vAlign w:val="center"/>
          </w:tcPr>
          <w:p>
            <w:pPr>
              <w:jc w:val="center"/>
            </w:pPr>
            <w:r>
              <w:rPr>
                <w:sz w:val="20"/>
                <w:szCs w:val="20"/>
              </w:rPr>
              <w:t xml:space="preserve">66 / 75</w:t>
            </w:r>
          </w:p>
        </w:tc>
        <w:tc>
          <w:tcPr>
            <w:tcW w:type="dxa" w:w="1250"/>
            <w:tcMar>
              <w:top w:type="dxa" w:w="60"/>
              <w:left w:type="dxa" w:w="100"/>
              <w:bottom w:type="dxa" w:w="60"/>
              <w:right w:type="dxa" w:w="100"/>
            </w:tcMar>
            <w:vAlign w:val="center"/>
          </w:tcPr>
          <w:p>
            <w:pPr>
              <w:jc w:val="center"/>
            </w:pPr>
            <w:r>
              <w:rPr>
                <w:sz w:val="20"/>
                <w:szCs w:val="20"/>
              </w:rPr>
              <w:t xml:space="preserve">49 / 47</w:t>
            </w:r>
          </w:p>
        </w:tc>
        <w:tc>
          <w:tcPr>
            <w:tcW w:type="dxa" w:w="1500"/>
            <w:tcMar>
              <w:top w:type="dxa" w:w="60"/>
              <w:left w:type="dxa" w:w="100"/>
              <w:bottom w:type="dxa" w:w="60"/>
              <w:right w:type="dxa" w:w="100"/>
            </w:tcMar>
            <w:vAlign w:val="center"/>
          </w:tcPr>
          <w:p>
            <w:pPr>
              <w:jc w:val="center"/>
            </w:pPr>
            <w:r>
              <w:rPr>
                <w:sz w:val="20"/>
                <w:szCs w:val="20"/>
              </w:rPr>
              <w:t xml:space="preserve">98.32 (96.89–99.19)</w:t>
            </w:r>
          </w:p>
        </w:tc>
        <w:tc>
          <w:tcPr>
            <w:tcW w:type="dxa" w:w="1500"/>
            <w:tcMar>
              <w:top w:type="dxa" w:w="60"/>
              <w:left w:type="dxa" w:w="100"/>
              <w:bottom w:type="dxa" w:w="60"/>
              <w:right w:type="dxa" w:w="100"/>
            </w:tcMar>
            <w:vAlign w:val="center"/>
          </w:tcPr>
          <w:p>
            <w:pPr>
              <w:jc w:val="center"/>
            </w:pPr>
            <w:r>
              <w:rPr>
                <w:sz w:val="20"/>
                <w:szCs w:val="20"/>
              </w:rPr>
              <w:t xml:space="preserve">84.39 (79.37–87.27)</w:t>
            </w:r>
          </w:p>
        </w:tc>
        <w:tc>
          <w:tcPr>
            <w:tcW w:type="dxa" w:w="1000"/>
            <w:tcMar>
              <w:top w:type="dxa" w:w="60"/>
              <w:left w:type="dxa" w:w="100"/>
              <w:bottom w:type="dxa" w:w="60"/>
              <w:right w:type="dxa" w:w="100"/>
            </w:tcMar>
            <w:vAlign w:val="center"/>
          </w:tcPr>
          <w:p>
            <w:pPr>
              <w:jc w:val="center"/>
            </w:pPr>
            <w:r>
              <w:rPr>
                <w:sz w:val="20"/>
                <w:szCs w:val="20"/>
              </w:rPr>
              <w:t xml:space="preserve">500 (0.59%)</w:t>
            </w:r>
          </w:p>
        </w:tc>
      </w:tr>
      <w:tr>
        <w:tc>
          <w:tcPr>
            <w:tcW w:type="dxa" w:w="3300"/>
            <w:tcMar>
              <w:top w:type="dxa" w:w="60"/>
              <w:left w:type="dxa" w:w="100"/>
              <w:bottom w:type="dxa" w:w="60"/>
              <w:right w:type="dxa" w:w="100"/>
            </w:tcMar>
            <w:vAlign w:val="center"/>
          </w:tcPr>
          <w:p>
            <w:pPr>
              <w:jc w:val="left"/>
            </w:pPr>
            <w:r>
              <w:rPr>
                <w:sz w:val="20"/>
                <w:szCs w:val="20"/>
              </w:rPr>
              <w:t xml:space="preserve">Structured 50% → FT → PTQ, clipped calibration</w:t>
            </w:r>
          </w:p>
        </w:tc>
        <w:tc>
          <w:tcPr>
            <w:tcW w:type="dxa" w:w="1250"/>
            <w:tcMar>
              <w:top w:type="dxa" w:w="60"/>
              <w:left w:type="dxa" w:w="100"/>
              <w:bottom w:type="dxa" w:w="60"/>
              <w:right w:type="dxa" w:w="100"/>
            </w:tcMar>
            <w:vAlign w:val="center"/>
          </w:tcPr>
          <w:p>
            <w:pPr>
              <w:jc w:val="center"/>
            </w:pPr>
            <w:r>
              <w:rPr>
                <w:sz w:val="20"/>
                <w:szCs w:val="20"/>
              </w:rPr>
              <w:t xml:space="preserve">66 / 75</w:t>
            </w:r>
          </w:p>
        </w:tc>
        <w:tc>
          <w:tcPr>
            <w:tcW w:type="dxa" w:w="1250"/>
            <w:tcMar>
              <w:top w:type="dxa" w:w="60"/>
              <w:left w:type="dxa" w:w="100"/>
              <w:bottom w:type="dxa" w:w="60"/>
              <w:right w:type="dxa" w:w="100"/>
            </w:tcMar>
            <w:vAlign w:val="center"/>
          </w:tcPr>
          <w:p>
            <w:pPr>
              <w:jc w:val="center"/>
            </w:pPr>
            <w:r>
              <w:rPr>
                <w:sz w:val="20"/>
                <w:szCs w:val="20"/>
              </w:rPr>
              <w:t xml:space="preserve">49 / 47</w:t>
            </w:r>
          </w:p>
        </w:tc>
        <w:tc>
          <w:tcPr>
            <w:tcW w:type="dxa" w:w="1500"/>
            <w:tcMar>
              <w:top w:type="dxa" w:w="60"/>
              <w:left w:type="dxa" w:w="100"/>
              <w:bottom w:type="dxa" w:w="60"/>
              <w:right w:type="dxa" w:w="100"/>
            </w:tcMar>
            <w:vAlign w:val="center"/>
          </w:tcPr>
          <w:p>
            <w:pPr>
              <w:jc w:val="center"/>
            </w:pPr>
            <w:r>
              <w:rPr>
                <w:sz w:val="20"/>
                <w:szCs w:val="20"/>
              </w:rPr>
              <w:t xml:space="preserve">99.42 (99.40–99.44)</w:t>
            </w:r>
          </w:p>
        </w:tc>
        <w:tc>
          <w:tcPr>
            <w:tcW w:type="dxa" w:w="1500"/>
            <w:tcMar>
              <w:top w:type="dxa" w:w="60"/>
              <w:left w:type="dxa" w:w="100"/>
              <w:bottom w:type="dxa" w:w="60"/>
              <w:right w:type="dxa" w:w="100"/>
            </w:tcMar>
            <w:vAlign w:val="center"/>
          </w:tcPr>
          <w:p>
            <w:pPr>
              <w:jc w:val="center"/>
            </w:pPr>
            <w:r>
              <w:rPr>
                <w:sz w:val="20"/>
                <w:szCs w:val="20"/>
              </w:rPr>
              <w:t xml:space="preserve">87.67 (86.86–88.09)</w:t>
            </w:r>
          </w:p>
        </w:tc>
        <w:tc>
          <w:tcPr>
            <w:tcW w:type="dxa" w:w="1000"/>
            <w:tcMar>
              <w:top w:type="dxa" w:w="60"/>
              <w:left w:type="dxa" w:w="100"/>
              <w:bottom w:type="dxa" w:w="60"/>
              <w:right w:type="dxa" w:w="100"/>
            </w:tcMar>
            <w:vAlign w:val="center"/>
          </w:tcPr>
          <w:p>
            <w:pPr>
              <w:jc w:val="center"/>
            </w:pPr>
            <w:r>
              <w:rPr>
                <w:sz w:val="20"/>
                <w:szCs w:val="20"/>
              </w:rPr>
              <w:t xml:space="preserve">830 (0.97%)</w:t>
            </w:r>
          </w:p>
        </w:tc>
      </w:tr>
      <w:tr>
        <w:tc>
          <w:tcPr>
            <w:tcW w:type="dxa" w:w="3300"/>
            <w:tcMar>
              <w:top w:type="dxa" w:w="60"/>
              <w:left w:type="dxa" w:w="100"/>
              <w:bottom w:type="dxa" w:w="60"/>
              <w:right w:type="dxa" w:w="100"/>
            </w:tcMar>
            <w:vAlign w:val="center"/>
          </w:tcPr>
          <w:p>
            <w:pPr>
              <w:jc w:val="left"/>
            </w:pPr>
            <w:r>
              <w:rPr>
                <w:sz w:val="20"/>
                <w:szCs w:val="20"/>
              </w:rPr>
              <w:t xml:space="preserve">Structured 50% → FT → QAT (base recipe)</w:t>
            </w:r>
          </w:p>
        </w:tc>
        <w:tc>
          <w:tcPr>
            <w:tcW w:type="dxa" w:w="1250"/>
            <w:tcMar>
              <w:top w:type="dxa" w:w="60"/>
              <w:left w:type="dxa" w:w="100"/>
              <w:bottom w:type="dxa" w:w="60"/>
              <w:right w:type="dxa" w:w="100"/>
            </w:tcMar>
            <w:vAlign w:val="center"/>
          </w:tcPr>
          <w:p>
            <w:pPr>
              <w:jc w:val="center"/>
            </w:pPr>
            <w:r>
              <w:rPr>
                <w:sz w:val="20"/>
                <w:szCs w:val="20"/>
              </w:rPr>
              <w:t xml:space="preserve">57 / 65</w:t>
            </w:r>
          </w:p>
        </w:tc>
        <w:tc>
          <w:tcPr>
            <w:tcW w:type="dxa" w:w="1250"/>
            <w:tcMar>
              <w:top w:type="dxa" w:w="60"/>
              <w:left w:type="dxa" w:w="100"/>
              <w:bottom w:type="dxa" w:w="60"/>
              <w:right w:type="dxa" w:w="100"/>
            </w:tcMar>
            <w:vAlign w:val="center"/>
          </w:tcPr>
          <w:p>
            <w:pPr>
              <w:jc w:val="center"/>
            </w:pPr>
            <w:r>
              <w:rPr>
                <w:sz w:val="20"/>
                <w:szCs w:val="20"/>
              </w:rPr>
              <w:t xml:space="preserve">40 / 34</w:t>
            </w:r>
          </w:p>
        </w:tc>
        <w:tc>
          <w:tcPr>
            <w:tcW w:type="dxa" w:w="1500"/>
            <w:tcMar>
              <w:top w:type="dxa" w:w="60"/>
              <w:left w:type="dxa" w:w="100"/>
              <w:bottom w:type="dxa" w:w="60"/>
              <w:right w:type="dxa" w:w="100"/>
            </w:tcMar>
            <w:vAlign w:val="center"/>
          </w:tcPr>
          <w:p>
            <w:pPr>
              <w:jc w:val="center"/>
            </w:pPr>
            <w:r>
              <w:rPr>
                <w:sz w:val="20"/>
                <w:szCs w:val="20"/>
              </w:rPr>
              <w:t xml:space="preserve">99.12 (98.89–99.51)</w:t>
            </w:r>
          </w:p>
        </w:tc>
        <w:tc>
          <w:tcPr>
            <w:tcW w:type="dxa" w:w="1500"/>
            <w:tcMar>
              <w:top w:type="dxa" w:w="60"/>
              <w:left w:type="dxa" w:w="100"/>
              <w:bottom w:type="dxa" w:w="60"/>
              <w:right w:type="dxa" w:w="100"/>
            </w:tcMar>
            <w:vAlign w:val="center"/>
          </w:tcPr>
          <w:p>
            <w:pPr>
              <w:jc w:val="center"/>
            </w:pPr>
            <w:r>
              <w:rPr>
                <w:sz w:val="20"/>
                <w:szCs w:val="20"/>
              </w:rPr>
              <w:t xml:space="preserve">88.37 (87.64–89.28)</w:t>
            </w:r>
          </w:p>
        </w:tc>
        <w:tc>
          <w:tcPr>
            <w:tcW w:type="dxa" w:w="1000"/>
            <w:tcMar>
              <w:top w:type="dxa" w:w="60"/>
              <w:left w:type="dxa" w:w="100"/>
              <w:bottom w:type="dxa" w:w="60"/>
              <w:right w:type="dxa" w:w="100"/>
            </w:tcMar>
            <w:vAlign w:val="center"/>
          </w:tcPr>
          <w:p>
            <w:pPr>
              <w:jc w:val="center"/>
            </w:pPr>
            <w:r>
              <w:rPr>
                <w:sz w:val="20"/>
                <w:szCs w:val="20"/>
              </w:rPr>
              <w:t xml:space="preserve">498 (0.58%)</w:t>
            </w:r>
          </w:p>
        </w:tc>
      </w:tr>
      <w:tr>
        <w:tc>
          <w:tcPr>
            <w:tcW w:type="dxa" w:w="3300"/>
            <w:tcMar>
              <w:top w:type="dxa" w:w="60"/>
              <w:left w:type="dxa" w:w="100"/>
              <w:bottom w:type="dxa" w:w="60"/>
              <w:right w:type="dxa" w:w="100"/>
            </w:tcMar>
            <w:vAlign w:val="center"/>
          </w:tcPr>
          <w:p>
            <w:pPr>
              <w:jc w:val="left"/>
            </w:pPr>
            <w:r>
              <w:rPr>
                <w:sz w:val="20"/>
                <w:szCs w:val="20"/>
              </w:rPr>
              <w:t xml:space="preserve">Structured 50% → FT → QAT on clipped inputs</w:t>
            </w:r>
          </w:p>
        </w:tc>
        <w:tc>
          <w:tcPr>
            <w:tcW w:type="dxa" w:w="1250"/>
            <w:tcMar>
              <w:top w:type="dxa" w:w="60"/>
              <w:left w:type="dxa" w:w="100"/>
              <w:bottom w:type="dxa" w:w="60"/>
              <w:right w:type="dxa" w:w="100"/>
            </w:tcMar>
            <w:vAlign w:val="center"/>
          </w:tcPr>
          <w:p>
            <w:pPr>
              <w:jc w:val="center"/>
            </w:pPr>
            <w:r>
              <w:rPr>
                <w:sz w:val="20"/>
                <w:szCs w:val="20"/>
              </w:rPr>
              <w:t xml:space="preserve">57 / 65</w:t>
            </w:r>
          </w:p>
        </w:tc>
        <w:tc>
          <w:tcPr>
            <w:tcW w:type="dxa" w:w="1250"/>
            <w:tcMar>
              <w:top w:type="dxa" w:w="60"/>
              <w:left w:type="dxa" w:w="100"/>
              <w:bottom w:type="dxa" w:w="60"/>
              <w:right w:type="dxa" w:w="100"/>
            </w:tcMar>
            <w:vAlign w:val="center"/>
          </w:tcPr>
          <w:p>
            <w:pPr>
              <w:jc w:val="center"/>
            </w:pPr>
            <w:r>
              <w:rPr>
                <w:sz w:val="20"/>
                <w:szCs w:val="20"/>
              </w:rPr>
              <w:t xml:space="preserve">41 / 35</w:t>
            </w:r>
          </w:p>
        </w:tc>
        <w:tc>
          <w:tcPr>
            <w:tcW w:type="dxa" w:w="1500"/>
            <w:tcMar>
              <w:top w:type="dxa" w:w="60"/>
              <w:left w:type="dxa" w:w="100"/>
              <w:bottom w:type="dxa" w:w="60"/>
              <w:right w:type="dxa" w:w="100"/>
            </w:tcMar>
            <w:vAlign w:val="center"/>
          </w:tcPr>
          <w:p>
            <w:pPr>
              <w:jc w:val="center"/>
            </w:pPr>
            <w:r>
              <w:rPr>
                <w:sz w:val="20"/>
                <w:szCs w:val="20"/>
              </w:rPr>
              <w:t xml:space="preserve">99.49 (99.47–99.51)</w:t>
            </w:r>
          </w:p>
        </w:tc>
        <w:tc>
          <w:tcPr>
            <w:tcW w:type="dxa" w:w="1500"/>
            <w:tcMar>
              <w:top w:type="dxa" w:w="60"/>
              <w:left w:type="dxa" w:w="100"/>
              <w:bottom w:type="dxa" w:w="60"/>
              <w:right w:type="dxa" w:w="100"/>
            </w:tcMar>
            <w:vAlign w:val="center"/>
          </w:tcPr>
          <w:p>
            <w:pPr>
              <w:jc w:val="center"/>
            </w:pPr>
            <w:r>
              <w:rPr>
                <w:sz w:val="20"/>
                <w:szCs w:val="20"/>
              </w:rPr>
              <w:t xml:space="preserve">90.36 (88.54–92.44)</w:t>
            </w:r>
          </w:p>
        </w:tc>
        <w:tc>
          <w:tcPr>
            <w:tcW w:type="dxa" w:w="1000"/>
            <w:tcMar>
              <w:top w:type="dxa" w:w="60"/>
              <w:left w:type="dxa" w:w="100"/>
              <w:bottom w:type="dxa" w:w="60"/>
              <w:right w:type="dxa" w:w="100"/>
            </w:tcMar>
            <w:vAlign w:val="center"/>
          </w:tcPr>
          <w:p>
            <w:pPr>
              <w:jc w:val="center"/>
            </w:pPr>
            <w:r>
              <w:rPr>
                <w:sz w:val="20"/>
                <w:szCs w:val="20"/>
              </w:rPr>
              <w:t xml:space="preserve">1,163 (1.37%)</w:t>
            </w:r>
          </w:p>
        </w:tc>
      </w:tr>
      <w:tr>
        <w:tc>
          <w:tcPr>
            <w:tcW w:type="dxa" w:w="3300"/>
            <w:tcMar>
              <w:top w:type="dxa" w:w="60"/>
              <w:left w:type="dxa" w:w="100"/>
              <w:bottom w:type="dxa" w:w="60"/>
              <w:right w:type="dxa" w:w="100"/>
            </w:tcMar>
            <w:vAlign w:val="center"/>
          </w:tcPr>
          <w:p>
            <w:pPr>
              <w:jc w:val="left"/>
            </w:pPr>
            <w:r>
              <w:rPr>
                <w:sz w:val="20"/>
                <w:szCs w:val="20"/>
              </w:rPr>
              <w:t xml:space="preserve">Structured 50% → KD fine-tuning → QAT</w:t>
            </w:r>
          </w:p>
        </w:tc>
        <w:tc>
          <w:tcPr>
            <w:tcW w:type="dxa" w:w="1250"/>
            <w:tcMar>
              <w:top w:type="dxa" w:w="60"/>
              <w:left w:type="dxa" w:w="100"/>
              <w:bottom w:type="dxa" w:w="60"/>
              <w:right w:type="dxa" w:w="100"/>
            </w:tcMar>
            <w:vAlign w:val="center"/>
          </w:tcPr>
          <w:p>
            <w:pPr>
              <w:jc w:val="center"/>
            </w:pPr>
            <w:r>
              <w:rPr>
                <w:sz w:val="20"/>
                <w:szCs w:val="20"/>
              </w:rPr>
              <w:t xml:space="preserve">57 / 65</w:t>
            </w:r>
          </w:p>
        </w:tc>
        <w:tc>
          <w:tcPr>
            <w:tcW w:type="dxa" w:w="1250"/>
            <w:tcMar>
              <w:top w:type="dxa" w:w="60"/>
              <w:left w:type="dxa" w:w="100"/>
              <w:bottom w:type="dxa" w:w="60"/>
              <w:right w:type="dxa" w:w="100"/>
            </w:tcMar>
            <w:vAlign w:val="center"/>
          </w:tcPr>
          <w:p>
            <w:pPr>
              <w:jc w:val="center"/>
            </w:pPr>
            <w:r>
              <w:rPr>
                <w:sz w:val="20"/>
                <w:szCs w:val="20"/>
              </w:rPr>
              <w:t xml:space="preserve">40 / 34</w:t>
            </w:r>
          </w:p>
        </w:tc>
        <w:tc>
          <w:tcPr>
            <w:tcW w:type="dxa" w:w="1500"/>
            <w:tcMar>
              <w:top w:type="dxa" w:w="60"/>
              <w:left w:type="dxa" w:w="100"/>
              <w:bottom w:type="dxa" w:w="60"/>
              <w:right w:type="dxa" w:w="100"/>
            </w:tcMar>
            <w:vAlign w:val="center"/>
          </w:tcPr>
          <w:p>
            <w:pPr>
              <w:jc w:val="center"/>
            </w:pPr>
            <w:r>
              <w:rPr>
                <w:sz w:val="20"/>
                <w:szCs w:val="20"/>
              </w:rPr>
              <w:t xml:space="preserve">99.19 (99.01–99.49)</w:t>
            </w:r>
          </w:p>
        </w:tc>
        <w:tc>
          <w:tcPr>
            <w:tcW w:type="dxa" w:w="1500"/>
            <w:tcMar>
              <w:top w:type="dxa" w:w="60"/>
              <w:left w:type="dxa" w:w="100"/>
              <w:bottom w:type="dxa" w:w="60"/>
              <w:right w:type="dxa" w:w="100"/>
            </w:tcMar>
            <w:vAlign w:val="center"/>
          </w:tcPr>
          <w:p>
            <w:pPr>
              <w:jc w:val="center"/>
            </w:pPr>
            <w:r>
              <w:rPr>
                <w:sz w:val="20"/>
                <w:szCs w:val="20"/>
              </w:rPr>
              <w:t xml:space="preserve">86.04 (85.61–86.56)</w:t>
            </w:r>
          </w:p>
        </w:tc>
        <w:tc>
          <w:tcPr>
            <w:tcW w:type="dxa" w:w="1000"/>
            <w:tcMar>
              <w:top w:type="dxa" w:w="60"/>
              <w:left w:type="dxa" w:w="100"/>
              <w:bottom w:type="dxa" w:w="60"/>
              <w:right w:type="dxa" w:w="100"/>
            </w:tcMar>
            <w:vAlign w:val="center"/>
          </w:tcPr>
          <w:p>
            <w:pPr>
              <w:jc w:val="center"/>
            </w:pPr>
            <w:r>
              <w:rPr>
                <w:sz w:val="20"/>
                <w:szCs w:val="20"/>
              </w:rPr>
              <w:t xml:space="preserve">274 (0.32%)</w:t>
            </w:r>
          </w:p>
        </w:tc>
      </w:tr>
      <w:tr>
        <w:tc>
          <w:tcPr>
            <w:tcW w:type="dxa" w:w="3300"/>
            <w:tcMar>
              <w:top w:type="dxa" w:w="60"/>
              <w:left w:type="dxa" w:w="100"/>
              <w:bottom w:type="dxa" w:w="60"/>
              <w:right w:type="dxa" w:w="100"/>
            </w:tcMar>
            <w:vAlign w:val="center"/>
          </w:tcPr>
          <w:p>
            <w:pPr>
              <w:jc w:val="left"/>
            </w:pPr>
            <w:r>
              <w:rPr>
                <w:sz w:val="20"/>
                <w:szCs w:val="20"/>
              </w:rPr>
              <w:t xml:space="preserve">Structured 50% → KD fine-tuning → PTQ, clipped</w:t>
            </w:r>
          </w:p>
        </w:tc>
        <w:tc>
          <w:tcPr>
            <w:tcW w:type="dxa" w:w="1250"/>
            <w:tcMar>
              <w:top w:type="dxa" w:w="60"/>
              <w:left w:type="dxa" w:w="100"/>
              <w:bottom w:type="dxa" w:w="60"/>
              <w:right w:type="dxa" w:w="100"/>
            </w:tcMar>
            <w:vAlign w:val="center"/>
          </w:tcPr>
          <w:p>
            <w:pPr>
              <w:jc w:val="center"/>
            </w:pPr>
            <w:r>
              <w:rPr>
                <w:sz w:val="20"/>
                <w:szCs w:val="20"/>
              </w:rPr>
              <w:t xml:space="preserve">66 / 75</w:t>
            </w:r>
          </w:p>
        </w:tc>
        <w:tc>
          <w:tcPr>
            <w:tcW w:type="dxa" w:w="1250"/>
            <w:tcMar>
              <w:top w:type="dxa" w:w="60"/>
              <w:left w:type="dxa" w:w="100"/>
              <w:bottom w:type="dxa" w:w="60"/>
              <w:right w:type="dxa" w:w="100"/>
            </w:tcMar>
            <w:vAlign w:val="center"/>
          </w:tcPr>
          <w:p>
            <w:pPr>
              <w:jc w:val="center"/>
            </w:pPr>
            <w:r>
              <w:rPr>
                <w:sz w:val="20"/>
                <w:szCs w:val="20"/>
              </w:rPr>
              <w:t xml:space="preserve">49 / 47</w:t>
            </w:r>
          </w:p>
        </w:tc>
        <w:tc>
          <w:tcPr>
            <w:tcW w:type="dxa" w:w="1500"/>
            <w:tcMar>
              <w:top w:type="dxa" w:w="60"/>
              <w:left w:type="dxa" w:w="100"/>
              <w:bottom w:type="dxa" w:w="60"/>
              <w:right w:type="dxa" w:w="100"/>
            </w:tcMar>
            <w:vAlign w:val="center"/>
          </w:tcPr>
          <w:p>
            <w:pPr>
              <w:jc w:val="center"/>
            </w:pPr>
            <w:r>
              <w:rPr>
                <w:sz w:val="20"/>
                <w:szCs w:val="20"/>
              </w:rPr>
              <w:t xml:space="preserve">99.42 (99.34–99.47)</w:t>
            </w:r>
          </w:p>
        </w:tc>
        <w:tc>
          <w:tcPr>
            <w:tcW w:type="dxa" w:w="1500"/>
            <w:tcMar>
              <w:top w:type="dxa" w:w="60"/>
              <w:left w:type="dxa" w:w="100"/>
              <w:bottom w:type="dxa" w:w="60"/>
              <w:right w:type="dxa" w:w="100"/>
            </w:tcMar>
            <w:vAlign w:val="center"/>
          </w:tcPr>
          <w:p>
            <w:pPr>
              <w:jc w:val="center"/>
            </w:pPr>
            <w:r>
              <w:rPr>
                <w:sz w:val="20"/>
                <w:szCs w:val="20"/>
              </w:rPr>
              <w:t xml:space="preserve">84.85 (84.23–85.16)</w:t>
            </w:r>
          </w:p>
        </w:tc>
        <w:tc>
          <w:tcPr>
            <w:tcW w:type="dxa" w:w="1000"/>
            <w:tcMar>
              <w:top w:type="dxa" w:w="60"/>
              <w:left w:type="dxa" w:w="100"/>
              <w:bottom w:type="dxa" w:w="60"/>
              <w:right w:type="dxa" w:w="100"/>
            </w:tcMar>
            <w:vAlign w:val="center"/>
          </w:tcPr>
          <w:p>
            <w:pPr>
              <w:jc w:val="center"/>
            </w:pPr>
            <w:r>
              <w:rPr>
                <w:sz w:val="20"/>
                <w:szCs w:val="20"/>
              </w:rPr>
              <w:t xml:space="preserve">237 (0.28%)</w:t>
            </w:r>
          </w:p>
        </w:tc>
      </w:tr>
      <w:tr>
        <w:tc>
          <w:tcPr>
            <w:tcW w:type="dxa" w:w="3300"/>
            <w:tcMar>
              <w:top w:type="dxa" w:w="60"/>
              <w:left w:type="dxa" w:w="100"/>
              <w:bottom w:type="dxa" w:w="60"/>
              <w:right w:type="dxa" w:w="100"/>
            </w:tcMar>
            <w:vAlign w:val="center"/>
          </w:tcPr>
          <w:p>
            <w:pPr>
              <w:jc w:val="left"/>
            </w:pPr>
            <w:r>
              <w:rPr>
                <w:sz w:val="20"/>
                <w:szCs w:val="20"/>
              </w:rPr>
              <w:t xml:space="preserve">QAT first → structured 50% → FT → QAT</w:t>
            </w:r>
          </w:p>
        </w:tc>
        <w:tc>
          <w:tcPr>
            <w:tcW w:type="dxa" w:w="1250"/>
            <w:tcMar>
              <w:top w:type="dxa" w:w="60"/>
              <w:left w:type="dxa" w:w="100"/>
              <w:bottom w:type="dxa" w:w="60"/>
              <w:right w:type="dxa" w:w="100"/>
            </w:tcMar>
            <w:vAlign w:val="center"/>
          </w:tcPr>
          <w:p>
            <w:pPr>
              <w:jc w:val="center"/>
            </w:pPr>
            <w:r>
              <w:rPr>
                <w:sz w:val="20"/>
                <w:szCs w:val="20"/>
              </w:rPr>
              <w:t xml:space="preserve">57 / 65</w:t>
            </w:r>
          </w:p>
        </w:tc>
        <w:tc>
          <w:tcPr>
            <w:tcW w:type="dxa" w:w="1250"/>
            <w:tcMar>
              <w:top w:type="dxa" w:w="60"/>
              <w:left w:type="dxa" w:w="100"/>
              <w:bottom w:type="dxa" w:w="60"/>
              <w:right w:type="dxa" w:w="100"/>
            </w:tcMar>
            <w:vAlign w:val="center"/>
          </w:tcPr>
          <w:p>
            <w:pPr>
              <w:jc w:val="center"/>
            </w:pPr>
            <w:r>
              <w:rPr>
                <w:sz w:val="20"/>
                <w:szCs w:val="20"/>
              </w:rPr>
              <w:t xml:space="preserve">41 / 34</w:t>
            </w:r>
          </w:p>
        </w:tc>
        <w:tc>
          <w:tcPr>
            <w:tcW w:type="dxa" w:w="1500"/>
            <w:tcMar>
              <w:top w:type="dxa" w:w="60"/>
              <w:left w:type="dxa" w:w="100"/>
              <w:bottom w:type="dxa" w:w="60"/>
              <w:right w:type="dxa" w:w="100"/>
            </w:tcMar>
            <w:vAlign w:val="center"/>
          </w:tcPr>
          <w:p>
            <w:pPr>
              <w:jc w:val="center"/>
            </w:pPr>
            <w:r>
              <w:rPr>
                <w:sz w:val="20"/>
                <w:szCs w:val="20"/>
              </w:rPr>
              <w:t xml:space="preserve">99.17 (98.97–99.48)</w:t>
            </w:r>
          </w:p>
        </w:tc>
        <w:tc>
          <w:tcPr>
            <w:tcW w:type="dxa" w:w="1500"/>
            <w:tcMar>
              <w:top w:type="dxa" w:w="60"/>
              <w:left w:type="dxa" w:w="100"/>
              <w:bottom w:type="dxa" w:w="60"/>
              <w:right w:type="dxa" w:w="100"/>
            </w:tcMar>
            <w:vAlign w:val="center"/>
          </w:tcPr>
          <w:p>
            <w:pPr>
              <w:jc w:val="center"/>
            </w:pPr>
            <w:r>
              <w:rPr>
                <w:sz w:val="20"/>
                <w:szCs w:val="20"/>
              </w:rPr>
              <w:t xml:space="preserve">88.64 (86.65–90.58)</w:t>
            </w:r>
          </w:p>
        </w:tc>
        <w:tc>
          <w:tcPr>
            <w:tcW w:type="dxa" w:w="1000"/>
            <w:tcMar>
              <w:top w:type="dxa" w:w="60"/>
              <w:left w:type="dxa" w:w="100"/>
              <w:bottom w:type="dxa" w:w="60"/>
              <w:right w:type="dxa" w:w="100"/>
            </w:tcMar>
            <w:vAlign w:val="center"/>
          </w:tcPr>
          <w:p>
            <w:pPr>
              <w:jc w:val="center"/>
            </w:pPr>
            <w:r>
              <w:rPr>
                <w:sz w:val="20"/>
                <w:szCs w:val="20"/>
              </w:rPr>
              <w:t xml:space="preserve">687 (0.81%)</w:t>
            </w:r>
          </w:p>
        </w:tc>
      </w:tr>
      <w:tr>
        <w:tc>
          <w:tcPr>
            <w:tcW w:type="dxa" w:w="3300"/>
            <w:tcMar>
              <w:top w:type="dxa" w:w="60"/>
              <w:left w:type="dxa" w:w="100"/>
              <w:bottom w:type="dxa" w:w="60"/>
              <w:right w:type="dxa" w:w="100"/>
            </w:tcMar>
            <w:vAlign w:val="center"/>
          </w:tcPr>
          <w:p>
            <w:pPr>
              <w:jc w:val="left"/>
            </w:pPr>
            <w:r>
              <w:rPr>
                <w:sz w:val="20"/>
                <w:szCs w:val="20"/>
              </w:rPr>
              <w:t xml:space="preserve">Magnitude 50% → PTQ, clipped</w:t>
            </w:r>
          </w:p>
        </w:tc>
        <w:tc>
          <w:tcPr>
            <w:tcW w:type="dxa" w:w="1250"/>
            <w:tcMar>
              <w:top w:type="dxa" w:w="60"/>
              <w:left w:type="dxa" w:w="100"/>
              <w:bottom w:type="dxa" w:w="60"/>
              <w:right w:type="dxa" w:w="100"/>
            </w:tcMar>
            <w:vAlign w:val="center"/>
          </w:tcPr>
          <w:p>
            <w:pPr>
              <w:jc w:val="center"/>
            </w:pPr>
            <w:r>
              <w:rPr>
                <w:sz w:val="20"/>
                <w:szCs w:val="20"/>
              </w:rPr>
              <w:t xml:space="preserve">209 / 227</w:t>
            </w:r>
          </w:p>
        </w:tc>
        <w:tc>
          <w:tcPr>
            <w:tcW w:type="dxa" w:w="1250"/>
            <w:tcMar>
              <w:top w:type="dxa" w:w="60"/>
              <w:left w:type="dxa" w:w="100"/>
              <w:bottom w:type="dxa" w:w="60"/>
              <w:right w:type="dxa" w:w="100"/>
            </w:tcMar>
            <w:vAlign w:val="center"/>
          </w:tcPr>
          <w:p>
            <w:pPr>
              <w:jc w:val="center"/>
            </w:pPr>
            <w:r>
              <w:rPr>
                <w:sz w:val="20"/>
                <w:szCs w:val="20"/>
              </w:rPr>
              <w:t xml:space="preserve">127 / 128</w:t>
            </w:r>
          </w:p>
        </w:tc>
        <w:tc>
          <w:tcPr>
            <w:tcW w:type="dxa" w:w="1500"/>
            <w:tcMar>
              <w:top w:type="dxa" w:w="60"/>
              <w:left w:type="dxa" w:w="100"/>
              <w:bottom w:type="dxa" w:w="60"/>
              <w:right w:type="dxa" w:w="100"/>
            </w:tcMar>
            <w:vAlign w:val="center"/>
          </w:tcPr>
          <w:p>
            <w:pPr>
              <w:jc w:val="center"/>
            </w:pPr>
            <w:r>
              <w:rPr>
                <w:sz w:val="20"/>
                <w:szCs w:val="20"/>
              </w:rPr>
              <w:t xml:space="preserve">99.47 (99.46–99.47)</w:t>
            </w:r>
          </w:p>
        </w:tc>
        <w:tc>
          <w:tcPr>
            <w:tcW w:type="dxa" w:w="1500"/>
            <w:tcMar>
              <w:top w:type="dxa" w:w="60"/>
              <w:left w:type="dxa" w:w="100"/>
              <w:bottom w:type="dxa" w:w="60"/>
              <w:right w:type="dxa" w:w="100"/>
            </w:tcMar>
            <w:vAlign w:val="center"/>
          </w:tcPr>
          <w:p>
            <w:pPr>
              <w:jc w:val="center"/>
            </w:pPr>
            <w:r>
              <w:rPr>
                <w:sz w:val="20"/>
                <w:szCs w:val="20"/>
              </w:rPr>
              <w:t xml:space="preserve">89.72 (89.48–89.95)</w:t>
            </w:r>
          </w:p>
        </w:tc>
        <w:tc>
          <w:tcPr>
            <w:tcW w:type="dxa" w:w="1000"/>
            <w:tcMar>
              <w:top w:type="dxa" w:w="60"/>
              <w:left w:type="dxa" w:w="100"/>
              <w:bottom w:type="dxa" w:w="60"/>
              <w:right w:type="dxa" w:w="100"/>
            </w:tcMar>
            <w:vAlign w:val="center"/>
          </w:tcPr>
          <w:p>
            <w:pPr>
              <w:jc w:val="center"/>
            </w:pPr>
            <w:r>
              <w:rPr>
                <w:sz w:val="20"/>
                <w:szCs w:val="20"/>
              </w:rPr>
              <w:t xml:space="preserve">491 (0.58%)</w:t>
            </w:r>
          </w:p>
        </w:tc>
      </w:tr>
      <w:tr>
        <w:tc>
          <w:tcPr>
            <w:tcW w:type="dxa" w:w="3300"/>
            <w:tcMar>
              <w:top w:type="dxa" w:w="60"/>
              <w:left w:type="dxa" w:w="100"/>
              <w:bottom w:type="dxa" w:w="60"/>
              <w:right w:type="dxa" w:w="100"/>
            </w:tcMar>
            <w:vAlign w:val="center"/>
          </w:tcPr>
          <w:p>
            <w:pPr>
              <w:jc w:val="left"/>
            </w:pPr>
            <w:r>
              <w:rPr>
                <w:sz w:val="20"/>
                <w:szCs w:val="20"/>
              </w:rPr>
              <w:t xml:space="preserve">Magnitude 50% → PQAT</w:t>
            </w:r>
          </w:p>
        </w:tc>
        <w:tc>
          <w:tcPr>
            <w:tcW w:type="dxa" w:w="1250"/>
            <w:tcMar>
              <w:top w:type="dxa" w:w="60"/>
              <w:left w:type="dxa" w:w="100"/>
              <w:bottom w:type="dxa" w:w="60"/>
              <w:right w:type="dxa" w:w="100"/>
            </w:tcMar>
            <w:vAlign w:val="center"/>
          </w:tcPr>
          <w:p>
            <w:pPr>
              <w:jc w:val="center"/>
            </w:pPr>
            <w:r>
              <w:rPr>
                <w:sz w:val="20"/>
                <w:szCs w:val="20"/>
              </w:rPr>
              <w:t xml:space="preserve">189 / 207</w:t>
            </w:r>
          </w:p>
        </w:tc>
        <w:tc>
          <w:tcPr>
            <w:tcW w:type="dxa" w:w="1250"/>
            <w:tcMar>
              <w:top w:type="dxa" w:w="60"/>
              <w:left w:type="dxa" w:w="100"/>
              <w:bottom w:type="dxa" w:w="60"/>
              <w:right w:type="dxa" w:w="100"/>
            </w:tcMar>
            <w:vAlign w:val="center"/>
          </w:tcPr>
          <w:p>
            <w:pPr>
              <w:jc w:val="center"/>
            </w:pPr>
            <w:r>
              <w:rPr>
                <w:sz w:val="20"/>
                <w:szCs w:val="20"/>
              </w:rPr>
              <w:t xml:space="preserve">104 / 90</w:t>
            </w:r>
          </w:p>
        </w:tc>
        <w:tc>
          <w:tcPr>
            <w:tcW w:type="dxa" w:w="1500"/>
            <w:tcMar>
              <w:top w:type="dxa" w:w="60"/>
              <w:left w:type="dxa" w:w="100"/>
              <w:bottom w:type="dxa" w:w="60"/>
              <w:right w:type="dxa" w:w="100"/>
            </w:tcMar>
            <w:vAlign w:val="center"/>
          </w:tcPr>
          <w:p>
            <w:pPr>
              <w:jc w:val="center"/>
            </w:pPr>
            <w:r>
              <w:rPr>
                <w:sz w:val="20"/>
                <w:szCs w:val="20"/>
              </w:rPr>
              <w:t xml:space="preserve">99.18 (99.03–99.42)</w:t>
            </w:r>
          </w:p>
        </w:tc>
        <w:tc>
          <w:tcPr>
            <w:tcW w:type="dxa" w:w="1500"/>
            <w:tcMar>
              <w:top w:type="dxa" w:w="60"/>
              <w:left w:type="dxa" w:w="100"/>
              <w:bottom w:type="dxa" w:w="60"/>
              <w:right w:type="dxa" w:w="100"/>
            </w:tcMar>
            <w:vAlign w:val="center"/>
          </w:tcPr>
          <w:p>
            <w:pPr>
              <w:jc w:val="center"/>
            </w:pPr>
            <w:r>
              <w:rPr>
                <w:sz w:val="20"/>
                <w:szCs w:val="20"/>
              </w:rPr>
              <w:t xml:space="preserve">90.70 (89.95–91.71)</w:t>
            </w:r>
          </w:p>
        </w:tc>
        <w:tc>
          <w:tcPr>
            <w:tcW w:type="dxa" w:w="1000"/>
            <w:tcMar>
              <w:top w:type="dxa" w:w="60"/>
              <w:left w:type="dxa" w:w="100"/>
              <w:bottom w:type="dxa" w:w="60"/>
              <w:right w:type="dxa" w:w="100"/>
            </w:tcMar>
            <w:vAlign w:val="center"/>
          </w:tcPr>
          <w:p>
            <w:pPr>
              <w:jc w:val="center"/>
            </w:pPr>
            <w:r>
              <w:rPr>
                <w:sz w:val="20"/>
                <w:szCs w:val="20"/>
              </w:rPr>
              <w:t xml:space="preserve">487 (0.57%)</w:t>
            </w:r>
          </w:p>
        </w:tc>
      </w:tr>
      <w:tr>
        <w:tc>
          <w:tcPr>
            <w:tcW w:type="dxa" w:w="3300"/>
            <w:tcMar>
              <w:top w:type="dxa" w:w="60"/>
              <w:left w:type="dxa" w:w="100"/>
              <w:bottom w:type="dxa" w:w="60"/>
              <w:right w:type="dxa" w:w="100"/>
            </w:tcMar>
            <w:vAlign w:val="center"/>
          </w:tcPr>
          <w:p>
            <w:pPr>
              <w:jc w:val="left"/>
            </w:pPr>
            <w:r>
              <w:rPr>
                <w:sz w:val="20"/>
                <w:szCs w:val="20"/>
              </w:rPr>
              <w:t xml:space="preserve">Magnitude 80% → PTQ, clipped</w:t>
            </w:r>
          </w:p>
        </w:tc>
        <w:tc>
          <w:tcPr>
            <w:tcW w:type="dxa" w:w="1250"/>
            <w:tcMar>
              <w:top w:type="dxa" w:w="60"/>
              <w:left w:type="dxa" w:w="100"/>
              <w:bottom w:type="dxa" w:w="60"/>
              <w:right w:type="dxa" w:w="100"/>
            </w:tcMar>
            <w:vAlign w:val="center"/>
          </w:tcPr>
          <w:p>
            <w:pPr>
              <w:jc w:val="center"/>
            </w:pPr>
            <w:r>
              <w:rPr>
                <w:sz w:val="20"/>
                <w:szCs w:val="20"/>
              </w:rPr>
              <w:t xml:space="preserve">209 / 227</w:t>
            </w:r>
          </w:p>
        </w:tc>
        <w:tc>
          <w:tcPr>
            <w:tcW w:type="dxa" w:w="1250"/>
            <w:tcMar>
              <w:top w:type="dxa" w:w="60"/>
              <w:left w:type="dxa" w:w="100"/>
              <w:bottom w:type="dxa" w:w="60"/>
              <w:right w:type="dxa" w:w="100"/>
            </w:tcMar>
            <w:vAlign w:val="center"/>
          </w:tcPr>
          <w:p>
            <w:pPr>
              <w:jc w:val="center"/>
            </w:pPr>
            <w:r>
              <w:rPr>
                <w:sz w:val="20"/>
                <w:szCs w:val="20"/>
              </w:rPr>
              <w:t xml:space="preserve">72 / 76</w:t>
            </w:r>
          </w:p>
        </w:tc>
        <w:tc>
          <w:tcPr>
            <w:tcW w:type="dxa" w:w="1500"/>
            <w:tcMar>
              <w:top w:type="dxa" w:w="60"/>
              <w:left w:type="dxa" w:w="100"/>
              <w:bottom w:type="dxa" w:w="60"/>
              <w:right w:type="dxa" w:w="100"/>
            </w:tcMar>
            <w:vAlign w:val="center"/>
          </w:tcPr>
          <w:p>
            <w:pPr>
              <w:jc w:val="center"/>
            </w:pPr>
            <w:r>
              <w:rPr>
                <w:sz w:val="20"/>
                <w:szCs w:val="20"/>
              </w:rPr>
              <w:t xml:space="preserve">99.38 (99.36–99.39)</w:t>
            </w:r>
          </w:p>
        </w:tc>
        <w:tc>
          <w:tcPr>
            <w:tcW w:type="dxa" w:w="1500"/>
            <w:tcMar>
              <w:top w:type="dxa" w:w="60"/>
              <w:left w:type="dxa" w:w="100"/>
              <w:bottom w:type="dxa" w:w="60"/>
              <w:right w:type="dxa" w:w="100"/>
            </w:tcMar>
            <w:vAlign w:val="center"/>
          </w:tcPr>
          <w:p>
            <w:pPr>
              <w:jc w:val="center"/>
            </w:pPr>
            <w:r>
              <w:rPr>
                <w:sz w:val="20"/>
                <w:szCs w:val="20"/>
              </w:rPr>
              <w:t xml:space="preserve">87.98 (87.57–88.18)</w:t>
            </w:r>
          </w:p>
        </w:tc>
        <w:tc>
          <w:tcPr>
            <w:tcW w:type="dxa" w:w="1000"/>
            <w:tcMar>
              <w:top w:type="dxa" w:w="60"/>
              <w:left w:type="dxa" w:w="100"/>
              <w:bottom w:type="dxa" w:w="60"/>
              <w:right w:type="dxa" w:w="100"/>
            </w:tcMar>
            <w:vAlign w:val="center"/>
          </w:tcPr>
          <w:p>
            <w:pPr>
              <w:jc w:val="center"/>
            </w:pPr>
            <w:r>
              <w:rPr>
                <w:sz w:val="20"/>
                <w:szCs w:val="20"/>
              </w:rPr>
              <w:t xml:space="preserve">923 (1.08%)</w:t>
            </w:r>
          </w:p>
        </w:tc>
      </w:tr>
      <w:tr>
        <w:tc>
          <w:tcPr>
            <w:tcW w:type="dxa" w:w="3300"/>
            <w:tcMar>
              <w:top w:type="dxa" w:w="60"/>
              <w:left w:type="dxa" w:w="100"/>
              <w:bottom w:type="dxa" w:w="60"/>
              <w:right w:type="dxa" w:w="100"/>
            </w:tcMar>
            <w:vAlign w:val="center"/>
          </w:tcPr>
          <w:p>
            <w:pPr>
              <w:jc w:val="left"/>
            </w:pPr>
            <w:r>
              <w:rPr>
                <w:sz w:val="20"/>
                <w:szCs w:val="20"/>
              </w:rPr>
              <w:t xml:space="preserve">Magnitude 80% → PQAT</w:t>
            </w:r>
          </w:p>
        </w:tc>
        <w:tc>
          <w:tcPr>
            <w:tcW w:type="dxa" w:w="1250"/>
            <w:tcMar>
              <w:top w:type="dxa" w:w="60"/>
              <w:left w:type="dxa" w:w="100"/>
              <w:bottom w:type="dxa" w:w="60"/>
              <w:right w:type="dxa" w:w="100"/>
            </w:tcMar>
            <w:vAlign w:val="center"/>
          </w:tcPr>
          <w:p>
            <w:pPr>
              <w:jc w:val="center"/>
            </w:pPr>
            <w:r>
              <w:rPr>
                <w:sz w:val="20"/>
                <w:szCs w:val="20"/>
              </w:rPr>
              <w:t xml:space="preserve">189 / 207</w:t>
            </w:r>
          </w:p>
        </w:tc>
        <w:tc>
          <w:tcPr>
            <w:tcW w:type="dxa" w:w="1250"/>
            <w:tcMar>
              <w:top w:type="dxa" w:w="60"/>
              <w:left w:type="dxa" w:w="100"/>
              <w:bottom w:type="dxa" w:w="60"/>
              <w:right w:type="dxa" w:w="100"/>
            </w:tcMar>
            <w:vAlign w:val="center"/>
          </w:tcPr>
          <w:p>
            <w:pPr>
              <w:jc w:val="center"/>
            </w:pPr>
            <w:r>
              <w:rPr>
                <w:sz w:val="20"/>
                <w:szCs w:val="20"/>
              </w:rPr>
              <w:t xml:space="preserve">58 / 57</w:t>
            </w:r>
          </w:p>
        </w:tc>
        <w:tc>
          <w:tcPr>
            <w:tcW w:type="dxa" w:w="1500"/>
            <w:tcMar>
              <w:top w:type="dxa" w:w="60"/>
              <w:left w:type="dxa" w:w="100"/>
              <w:bottom w:type="dxa" w:w="60"/>
              <w:right w:type="dxa" w:w="100"/>
            </w:tcMar>
            <w:vAlign w:val="center"/>
          </w:tcPr>
          <w:p>
            <w:pPr>
              <w:jc w:val="center"/>
            </w:pPr>
            <w:r>
              <w:rPr>
                <w:sz w:val="20"/>
                <w:szCs w:val="20"/>
              </w:rPr>
              <w:t xml:space="preserve">99.03 (98.82–99.43)</w:t>
            </w:r>
          </w:p>
        </w:tc>
        <w:tc>
          <w:tcPr>
            <w:tcW w:type="dxa" w:w="1500"/>
            <w:tcMar>
              <w:top w:type="dxa" w:w="60"/>
              <w:left w:type="dxa" w:w="100"/>
              <w:bottom w:type="dxa" w:w="60"/>
              <w:right w:type="dxa" w:w="100"/>
            </w:tcMar>
            <w:vAlign w:val="center"/>
          </w:tcPr>
          <w:p>
            <w:pPr>
              <w:jc w:val="center"/>
            </w:pPr>
            <w:r>
              <w:rPr>
                <w:sz w:val="20"/>
                <w:szCs w:val="20"/>
              </w:rPr>
              <w:t xml:space="preserve">89.77 (88.99–91.10)</w:t>
            </w:r>
          </w:p>
        </w:tc>
        <w:tc>
          <w:tcPr>
            <w:tcW w:type="dxa" w:w="1000"/>
            <w:tcMar>
              <w:top w:type="dxa" w:w="60"/>
              <w:left w:type="dxa" w:w="100"/>
              <w:bottom w:type="dxa" w:w="60"/>
              <w:right w:type="dxa" w:w="100"/>
            </w:tcMar>
            <w:vAlign w:val="center"/>
          </w:tcPr>
          <w:p>
            <w:pPr>
              <w:jc w:val="center"/>
            </w:pPr>
            <w:r>
              <w:rPr>
                <w:sz w:val="20"/>
                <w:szCs w:val="20"/>
              </w:rPr>
              <w:t xml:space="preserve">609 (0.72%)</w:t>
            </w:r>
          </w:p>
        </w:tc>
      </w:tr>
      <w:tr>
        <w:tc>
          <w:tcPr>
            <w:tcW w:type="dxa" w:w="3300"/>
            <w:tcMar>
              <w:top w:type="dxa" w:w="60"/>
              <w:left w:type="dxa" w:w="100"/>
              <w:bottom w:type="dxa" w:w="60"/>
              <w:right w:type="dxa" w:w="100"/>
            </w:tcMar>
            <w:vAlign w:val="center"/>
          </w:tcPr>
          <w:p>
            <w:pPr>
              <w:jc w:val="left"/>
            </w:pPr>
            <w:r>
              <w:rPr>
                <w:sz w:val="20"/>
                <w:szCs w:val="20"/>
              </w:rPr>
              <w:t xml:space="preserve">Magnitude 80% → standard QAT</w:t>
            </w:r>
          </w:p>
        </w:tc>
        <w:tc>
          <w:tcPr>
            <w:tcW w:type="dxa" w:w="1250"/>
            <w:tcMar>
              <w:top w:type="dxa" w:w="60"/>
              <w:left w:type="dxa" w:w="100"/>
              <w:bottom w:type="dxa" w:w="60"/>
              <w:right w:type="dxa" w:w="100"/>
            </w:tcMar>
            <w:vAlign w:val="center"/>
          </w:tcPr>
          <w:p>
            <w:pPr>
              <w:jc w:val="center"/>
            </w:pPr>
            <w:r>
              <w:rPr>
                <w:sz w:val="20"/>
                <w:szCs w:val="20"/>
              </w:rPr>
              <w:t xml:space="preserve">189 / 207</w:t>
            </w:r>
          </w:p>
        </w:tc>
        <w:tc>
          <w:tcPr>
            <w:tcW w:type="dxa" w:w="1250"/>
            <w:tcMar>
              <w:top w:type="dxa" w:w="60"/>
              <w:left w:type="dxa" w:w="100"/>
              <w:bottom w:type="dxa" w:w="60"/>
              <w:right w:type="dxa" w:w="100"/>
            </w:tcMar>
            <w:vAlign w:val="center"/>
          </w:tcPr>
          <w:p>
            <w:pPr>
              <w:jc w:val="center"/>
            </w:pPr>
            <w:r>
              <w:rPr>
                <w:sz w:val="20"/>
                <w:szCs w:val="20"/>
              </w:rPr>
              <w:t xml:space="preserve">80 / 62</w:t>
            </w:r>
          </w:p>
        </w:tc>
        <w:tc>
          <w:tcPr>
            <w:tcW w:type="dxa" w:w="1500"/>
            <w:tcMar>
              <w:top w:type="dxa" w:w="60"/>
              <w:left w:type="dxa" w:w="100"/>
              <w:bottom w:type="dxa" w:w="60"/>
              <w:right w:type="dxa" w:w="100"/>
            </w:tcMar>
            <w:vAlign w:val="center"/>
          </w:tcPr>
          <w:p>
            <w:pPr>
              <w:jc w:val="center"/>
            </w:pPr>
            <w:r>
              <w:rPr>
                <w:sz w:val="20"/>
                <w:szCs w:val="20"/>
              </w:rPr>
              <w:t xml:space="preserve">99.06 (98.86–99.46)</w:t>
            </w:r>
          </w:p>
        </w:tc>
        <w:tc>
          <w:tcPr>
            <w:tcW w:type="dxa" w:w="1500"/>
            <w:tcMar>
              <w:top w:type="dxa" w:w="60"/>
              <w:left w:type="dxa" w:w="100"/>
              <w:bottom w:type="dxa" w:w="60"/>
              <w:right w:type="dxa" w:w="100"/>
            </w:tcMar>
            <w:vAlign w:val="center"/>
          </w:tcPr>
          <w:p>
            <w:pPr>
              <w:jc w:val="center"/>
            </w:pPr>
            <w:r>
              <w:rPr>
                <w:sz w:val="20"/>
                <w:szCs w:val="20"/>
              </w:rPr>
              <w:t xml:space="preserve">89.77 (89.31–90.52)</w:t>
            </w:r>
          </w:p>
        </w:tc>
        <w:tc>
          <w:tcPr>
            <w:tcW w:type="dxa" w:w="1000"/>
            <w:tcMar>
              <w:top w:type="dxa" w:w="60"/>
              <w:left w:type="dxa" w:w="100"/>
              <w:bottom w:type="dxa" w:w="60"/>
              <w:right w:type="dxa" w:w="100"/>
            </w:tcMar>
            <w:vAlign w:val="center"/>
          </w:tcPr>
          <w:p>
            <w:pPr>
              <w:jc w:val="center"/>
            </w:pPr>
            <w:r>
              <w:rPr>
                <w:sz w:val="20"/>
                <w:szCs w:val="20"/>
              </w:rPr>
              <w:t xml:space="preserve">571 (0.67%)</w:t>
            </w:r>
          </w:p>
        </w:tc>
      </w:tr>
      <w:tr>
        <w:tc>
          <w:tcPr>
            <w:tcW w:type="dxa" w:w="3300"/>
            <w:tcMar>
              <w:top w:type="dxa" w:w="60"/>
              <w:left w:type="dxa" w:w="100"/>
              <w:bottom w:type="dxa" w:w="60"/>
              <w:right w:type="dxa" w:w="100"/>
            </w:tcMar>
            <w:vAlign w:val="center"/>
          </w:tcPr>
          <w:p>
            <w:pPr>
              <w:jc w:val="left"/>
            </w:pPr>
            <w:r>
              <w:rPr>
                <w:sz w:val="20"/>
                <w:szCs w:val="20"/>
              </w:rPr>
              <w:t xml:space="preserve">Structured 50% → FT → magnitude 50% → PQAT</w:t>
            </w:r>
          </w:p>
        </w:tc>
        <w:tc>
          <w:tcPr>
            <w:tcW w:type="dxa" w:w="1250"/>
            <w:tcMar>
              <w:top w:type="dxa" w:w="60"/>
              <w:left w:type="dxa" w:w="100"/>
              <w:bottom w:type="dxa" w:w="60"/>
              <w:right w:type="dxa" w:w="100"/>
            </w:tcMar>
            <w:vAlign w:val="center"/>
          </w:tcPr>
          <w:p>
            <w:pPr>
              <w:jc w:val="center"/>
            </w:pPr>
            <w:r>
              <w:rPr>
                <w:sz w:val="20"/>
                <w:szCs w:val="20"/>
              </w:rPr>
              <w:t xml:space="preserve">56 / 65</w:t>
            </w:r>
          </w:p>
        </w:tc>
        <w:tc>
          <w:tcPr>
            <w:tcW w:type="dxa" w:w="1250"/>
            <w:tcMar>
              <w:top w:type="dxa" w:w="60"/>
              <w:left w:type="dxa" w:w="100"/>
              <w:bottom w:type="dxa" w:w="60"/>
              <w:right w:type="dxa" w:w="100"/>
            </w:tcMar>
            <w:vAlign w:val="center"/>
          </w:tcPr>
          <w:p>
            <w:pPr>
              <w:jc w:val="center"/>
            </w:pPr>
            <w:r>
              <w:rPr>
                <w:sz w:val="20"/>
                <w:szCs w:val="20"/>
              </w:rPr>
              <w:t xml:space="preserve">33 / 31</w:t>
            </w:r>
          </w:p>
        </w:tc>
        <w:tc>
          <w:tcPr>
            <w:tcW w:type="dxa" w:w="1500"/>
            <w:tcMar>
              <w:top w:type="dxa" w:w="60"/>
              <w:left w:type="dxa" w:w="100"/>
              <w:bottom w:type="dxa" w:w="60"/>
              <w:right w:type="dxa" w:w="100"/>
            </w:tcMar>
            <w:vAlign w:val="center"/>
          </w:tcPr>
          <w:p>
            <w:pPr>
              <w:jc w:val="center"/>
            </w:pPr>
            <w:r>
              <w:rPr>
                <w:sz w:val="20"/>
                <w:szCs w:val="20"/>
              </w:rPr>
              <w:t xml:space="preserve">99.01 (98.74–99.46)</w:t>
            </w:r>
          </w:p>
        </w:tc>
        <w:tc>
          <w:tcPr>
            <w:tcW w:type="dxa" w:w="1500"/>
            <w:tcMar>
              <w:top w:type="dxa" w:w="60"/>
              <w:left w:type="dxa" w:w="100"/>
              <w:bottom w:type="dxa" w:w="60"/>
              <w:right w:type="dxa" w:w="100"/>
            </w:tcMar>
            <w:vAlign w:val="center"/>
          </w:tcPr>
          <w:p>
            <w:pPr>
              <w:jc w:val="center"/>
            </w:pPr>
            <w:r>
              <w:rPr>
                <w:sz w:val="20"/>
                <w:szCs w:val="20"/>
              </w:rPr>
              <w:t xml:space="preserve">88.66 (88.05–89.86)</w:t>
            </w:r>
          </w:p>
        </w:tc>
        <w:tc>
          <w:tcPr>
            <w:tcW w:type="dxa" w:w="1000"/>
            <w:tcMar>
              <w:top w:type="dxa" w:w="60"/>
              <w:left w:type="dxa" w:w="100"/>
              <w:bottom w:type="dxa" w:w="60"/>
              <w:right w:type="dxa" w:w="100"/>
            </w:tcMar>
            <w:vAlign w:val="center"/>
          </w:tcPr>
          <w:p>
            <w:pPr>
              <w:jc w:val="center"/>
            </w:pPr>
            <w:r>
              <w:rPr>
                <w:sz w:val="20"/>
                <w:szCs w:val="20"/>
              </w:rPr>
              <w:t xml:space="preserve">699 (0.82%)</w:t>
            </w:r>
          </w:p>
        </w:tc>
      </w:tr>
    </w:tbl>
    <w:p>
      <w:pPr>
        <w:spacing w:after="240" w:before="80"/>
      </w:pPr>
      <w:r>
        <w:rPr>
          <w:i/>
          <w:iCs/>
          <w:sz w:val="20"/>
          <w:szCs w:val="20"/>
        </w:rPr>
        <w:t xml:space="preserve">Table 10. Complete compression pipelines from the near-IID federated model, using only client 0's data; mean and range over three fine-tuning draws (test split, threshold 0.3). Flash is the TFLite file that TensorFlow Lite Micro stores; gzip shows what a compressed weight format or an over-the-air update would transfer. Clipping is at ±5 standard deviations. CIC-IDS2017 missed attacks are means over draws (85,173 test attacks). Table 3's single draw of the base recipe (F1 85.59) lies below this table's range for the same pipeline.</w:t>
      </w:r>
    </w:p>
    <w:p>
      <w:pPr>
        <w:spacing w:after="160"/>
      </w:pPr>
      <w:r>
        <w:t xml:space="preserve">Only structured pruning shrinks what the microcontroller stores. TensorFlow Lite Micro keeps weights dense, so magnitude pruning leaves the flash size at that of the unpruned INT8 model (189–227 KB) even at 80% sparsity; it only reduces the gzip size (to 57–80 KB at 80%), which matters for transferring model updates but not for flash. Adding magnitude pruning on top of structured pruning likewise leaves flash at 56–65 KB and reduces gzip to 31–33 KB. PQAT keeps the target sparsity (50% and 80%; slightly more on CIC-IDS2017, where INT8 rounding adds zeros), whereas standard QAT after 80% magnitude pruning lets part of the pruned weights grow back (to 60% zeros on TON_IoT and 75% on CIC-IDS2017, where INT8 rounding alone already zeroes 33–40% of the QAT-fine-tuned weights).</w:t>
      </w:r>
    </w:p>
    <w:p>
      <w:pPr>
        <w:spacing w:after="160"/>
      </w:pPr>
      <w:r>
        <w:t xml:space="preserve">Clipping the inputs at ±5 standard deviations helps every pipeline on TON_IoT. PTQ becomes stable (structured + PTQ: range 96.89–99.19 → 99.40–99.44), and QAT fine-tuning on clipped inputs slightly exceeds the FP32 model's F1 at 57 KB (99.49 vs. 99.41, range 99.47–99.51) while missing 84 attacks on average against 174 for the base recipe. On CIC-IDS2017, clipped calibration also removes the PTQ collapses (structured + PTQ: 79.37–87.27 → 86.86–88.09) and, for the unpruned model, lowers both FAR and missed attacks. After pruning and fine-tuning, however, clipping raises F1 by moving the operating point toward precision: QAT on clipped inputs reaches the highest structured-pruning F1 (90.36) but misses 1,163 attacks on average (one draw 2,747), against 498 for the base recipe. Distillation fine-tuning goes the other way: it lowers CIC-IDS2017 F1 to 86.04 but misses the fewest attacks of any 65 KB pipeline (274), because the student inherits the teacher's recall-heavy operating point (Section 5.10). Quantizing before pruning changes nothing beyond the draw-to-draw spread (99.17 vs. 99.12 and 88.64 vs. 88.37).</w:t>
      </w:r>
    </w:p>
    <w:p>
      <w:pPr>
        <w:spacing w:after="160"/>
      </w:pPr>
      <w:r>
        <w:t xml:space="preserve">Three recommendations follow. First, always clip calibration inputs for PTQ; it costs nothing and removes the failures of Section 5.9. Second, for a TensorFlow Lite Micro target, use structured pruning; unstructured sparsity helps only if the runtime or the update channel compresses weights. Third, on CIC-IDS2017 no pipeline dominates: at 65 KB the choice between QAT on clipped inputs (higher F1, more missed attacks), the base recipe, and distillation fine-tuning (fewest missed attacks) is a choice of operating point, which should be made with a validation-set threshold rather than by picking a pipeline (Section 5.13). On TON_IoT, structured pruning followed by QAT fine-tuning on clipped inputs is the best 57 KB pipeline at the fixed threshold and loses nothing in F1 relative to the federated FP32 model.</w:t>
      </w:r>
    </w:p>
    <w:p>
      <w:pPr>
        <w:pStyle w:val="Heading2"/>
        <w:spacing w:after="140" w:before="260"/>
      </w:pPr>
      <w:r>
        <w:t xml:space="preserve">5.13 Recall-Priority Deployment</w:t>
      </w:r>
    </w:p>
    <w:p>
      <w:pPr>
        <w:spacing w:after="160"/>
      </w:pPr>
      <w:r>
        <w:t xml:space="preserve">For intrusion detection a missed attack usually costs more than a false alarm. The FP32 federated model misses 52 of 85,173 CIC-IDS2017 test attacks at the 0.3 threshold, whereas the 65 KB base-recipe model misses 463 on average over three fine-tuning draws (Table 10 setting). We therefore ask how close the 65 KB model can get to the FP32 model's missed-attack count without pooled data. Two levers are combined: fine-tuning targets that preserve the teacher's recall (distillation from the federated model with α = 0.5 or α = 0, or a 4× loss weight on attacks), and a decision threshold chosen on client 0's own held-out data (20,000 samples disjoint from every fine-tuning draw) as the largest threshold that reaches a target Attack Recall there. The test split is never used for selection.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800"/>
        <w:gridCol w:w="1500"/>
        <w:gridCol w:w="900"/>
        <w:gridCol w:w="900"/>
        <w:gridCol w:w="800"/>
      </w:tblGrid>
      <w:tr>
        <w:trPr>
          <w:tblHeader/>
        </w:trPr>
        <w:tc>
          <w:tcPr>
            <w:tcW w:type="dxa" w:w="2700"/>
            <w:shd w:fill="D9E2F3" w:val="clear"/>
            <w:tcMar>
              <w:top w:type="dxa" w:w="60"/>
              <w:left w:type="dxa" w:w="100"/>
              <w:bottom w:type="dxa" w:w="60"/>
              <w:right w:type="dxa" w:w="100"/>
            </w:tcMar>
            <w:vAlign w:val="center"/>
          </w:tcPr>
          <w:p>
            <w:pPr>
              <w:jc w:val="center"/>
            </w:pPr>
            <w:r>
              <w:rPr>
                <w:b/>
                <w:bCs/>
                <w:sz w:val="20"/>
                <w:szCs w:val="20"/>
              </w:rPr>
              <w:t xml:space="preserve">Model (CIC-IDS2017)</w:t>
            </w:r>
          </w:p>
        </w:tc>
        <w:tc>
          <w:tcPr>
            <w:tcW w:type="dxa" w:w="1900"/>
            <w:shd w:fill="D9E2F3" w:val="clear"/>
            <w:tcMar>
              <w:top w:type="dxa" w:w="60"/>
              <w:left w:type="dxa" w:w="100"/>
              <w:bottom w:type="dxa" w:w="60"/>
              <w:right w:type="dxa" w:w="100"/>
            </w:tcMar>
            <w:vAlign w:val="center"/>
          </w:tcPr>
          <w:p>
            <w:pPr>
              <w:jc w:val="center"/>
            </w:pPr>
            <w:r>
              <w:rPr>
                <w:b/>
                <w:bCs/>
                <w:sz w:val="20"/>
                <w:szCs w:val="20"/>
              </w:rPr>
              <w:t xml:space="preserve">Threshold selection</w:t>
            </w:r>
          </w:p>
        </w:tc>
        <w:tc>
          <w:tcPr>
            <w:tcW w:type="dxa" w:w="800"/>
            <w:shd w:fill="D9E2F3" w:val="clear"/>
            <w:tcMar>
              <w:top w:type="dxa" w:w="60"/>
              <w:left w:type="dxa" w:w="100"/>
              <w:bottom w:type="dxa" w:w="60"/>
              <w:right w:type="dxa" w:w="100"/>
            </w:tcMar>
            <w:vAlign w:val="center"/>
          </w:tcPr>
          <w:p>
            <w:pPr>
              <w:jc w:val="center"/>
            </w:pPr>
            <w:r>
              <w:rPr>
                <w:b/>
                <w:bCs/>
                <w:sz w:val="20"/>
                <w:szCs w:val="20"/>
              </w:rPr>
              <w:t xml:space="preserve">Threshold</w:t>
            </w:r>
          </w:p>
        </w:tc>
        <w:tc>
          <w:tcPr>
            <w:tcW w:type="dxa" w:w="1500"/>
            <w:shd w:fill="D9E2F3" w:val="clear"/>
            <w:tcMar>
              <w:top w:type="dxa" w:w="60"/>
              <w:left w:type="dxa" w:w="100"/>
              <w:bottom w:type="dxa" w:w="60"/>
              <w:right w:type="dxa" w:w="100"/>
            </w:tcMar>
            <w:vAlign w:val="center"/>
          </w:tcPr>
          <w:p>
            <w:pPr>
              <w:jc w:val="center"/>
            </w:pPr>
            <w:r>
              <w:rPr>
                <w:b/>
                <w:bCs/>
                <w:sz w:val="20"/>
                <w:szCs w:val="20"/>
              </w:rPr>
              <w:t xml:space="preserve">Missed attacks / all (mean)</w:t>
            </w:r>
          </w:p>
        </w:tc>
        <w:tc>
          <w:tcPr>
            <w:tcW w:type="dxa" w:w="900"/>
            <w:shd w:fill="D9E2F3" w:val="clear"/>
            <w:tcMar>
              <w:top w:type="dxa" w:w="60"/>
              <w:left w:type="dxa" w:w="100"/>
              <w:bottom w:type="dxa" w:w="60"/>
              <w:right w:type="dxa" w:w="100"/>
            </w:tcMar>
            <w:vAlign w:val="center"/>
          </w:tcPr>
          <w:p>
            <w:pPr>
              <w:jc w:val="center"/>
            </w:pPr>
            <w:r>
              <w:rPr>
                <w:b/>
                <w:bCs/>
                <w:sz w:val="20"/>
                <w:szCs w:val="20"/>
              </w:rPr>
              <w:t xml:space="preserve">Missed share</w:t>
            </w:r>
          </w:p>
        </w:tc>
        <w:tc>
          <w:tcPr>
            <w:tcW w:type="dxa" w:w="900"/>
            <w:shd w:fill="D9E2F3" w:val="clear"/>
            <w:tcMar>
              <w:top w:type="dxa" w:w="60"/>
              <w:left w:type="dxa" w:w="100"/>
              <w:bottom w:type="dxa" w:w="60"/>
              <w:right w:type="dxa" w:w="100"/>
            </w:tcMar>
            <w:vAlign w:val="center"/>
          </w:tcPr>
          <w:p>
            <w:pPr>
              <w:jc w:val="center"/>
            </w:pPr>
            <w:r>
              <w:rPr>
                <w:b/>
                <w:bCs/>
                <w:sz w:val="20"/>
                <w:szCs w:val="20"/>
              </w:rPr>
              <w:t xml:space="preserve">Worst of 3 draws</w:t>
            </w:r>
          </w:p>
        </w:tc>
        <w:tc>
          <w:tcPr>
            <w:tcW w:type="dxa" w:w="800"/>
            <w:shd w:fill="D9E2F3" w:val="clear"/>
            <w:tcMar>
              <w:top w:type="dxa" w:w="60"/>
              <w:left w:type="dxa" w:w="100"/>
              <w:bottom w:type="dxa" w:w="60"/>
              <w:right w:type="dxa" w:w="100"/>
            </w:tcMar>
            <w:vAlign w:val="center"/>
          </w:tcPr>
          <w:p>
            <w:pPr>
              <w:jc w:val="center"/>
            </w:pPr>
            <w:r>
              <w:rPr>
                <w:b/>
                <w:bCs/>
                <w:sz w:val="20"/>
                <w:szCs w:val="20"/>
              </w:rPr>
              <w:t xml:space="preserve">FAR</w:t>
            </w:r>
          </w:p>
        </w:tc>
      </w:tr>
      <w:tr>
        <w:tc>
          <w:tcPr>
            <w:tcW w:type="dxa" w:w="2700"/>
            <w:tcMar>
              <w:top w:type="dxa" w:w="60"/>
              <w:left w:type="dxa" w:w="100"/>
              <w:bottom w:type="dxa" w:w="60"/>
              <w:right w:type="dxa" w:w="100"/>
            </w:tcMar>
            <w:vAlign w:val="center"/>
          </w:tcPr>
          <w:p>
            <w:pPr>
              <w:jc w:val="left"/>
            </w:pPr>
            <w:r>
              <w:rPr>
                <w:sz w:val="20"/>
                <w:szCs w:val="20"/>
              </w:rPr>
              <w:t xml:space="preserve">FP32 federated, 803 KB</w:t>
            </w:r>
          </w:p>
        </w:tc>
        <w:tc>
          <w:tcPr>
            <w:tcW w:type="dxa" w:w="1900"/>
            <w:tcMar>
              <w:top w:type="dxa" w:w="60"/>
              <w:left w:type="dxa" w:w="100"/>
              <w:bottom w:type="dxa" w:w="60"/>
              <w:right w:type="dxa" w:w="100"/>
            </w:tcMar>
            <w:vAlign w:val="center"/>
          </w:tcPr>
          <w:p>
            <w:pPr>
              <w:jc w:val="center"/>
            </w:pPr>
            <w:r>
              <w:rPr>
                <w:sz w:val="20"/>
                <w:szCs w:val="20"/>
              </w:rPr>
              <w:t xml:space="preserve">fixed</w:t>
            </w:r>
          </w:p>
        </w:tc>
        <w:tc>
          <w:tcPr>
            <w:tcW w:type="dxa" w:w="800"/>
            <w:tcMar>
              <w:top w:type="dxa" w:w="60"/>
              <w:left w:type="dxa" w:w="100"/>
              <w:bottom w:type="dxa" w:w="60"/>
              <w:right w:type="dxa" w:w="100"/>
            </w:tcMar>
            <w:vAlign w:val="center"/>
          </w:tcPr>
          <w:p>
            <w:pPr>
              <w:jc w:val="center"/>
            </w:pPr>
            <w:r>
              <w:rPr>
                <w:sz w:val="20"/>
                <w:szCs w:val="20"/>
              </w:rPr>
              <w:t xml:space="preserve">0.30</w:t>
            </w:r>
          </w:p>
        </w:tc>
        <w:tc>
          <w:tcPr>
            <w:tcW w:type="dxa" w:w="1500"/>
            <w:tcMar>
              <w:top w:type="dxa" w:w="60"/>
              <w:left w:type="dxa" w:w="100"/>
              <w:bottom w:type="dxa" w:w="60"/>
              <w:right w:type="dxa" w:w="100"/>
            </w:tcMar>
            <w:vAlign w:val="center"/>
          </w:tcPr>
          <w:p>
            <w:pPr>
              <w:jc w:val="center"/>
            </w:pPr>
            <w:r>
              <w:rPr>
                <w:sz w:val="20"/>
                <w:szCs w:val="20"/>
              </w:rPr>
              <w:t xml:space="preserve">52 / 85,173</w:t>
            </w:r>
          </w:p>
        </w:tc>
        <w:tc>
          <w:tcPr>
            <w:tcW w:type="dxa" w:w="900"/>
            <w:tcMar>
              <w:top w:type="dxa" w:w="60"/>
              <w:left w:type="dxa" w:w="100"/>
              <w:bottom w:type="dxa" w:w="60"/>
              <w:right w:type="dxa" w:w="100"/>
            </w:tcMar>
            <w:vAlign w:val="center"/>
          </w:tcPr>
          <w:p>
            <w:pPr>
              <w:jc w:val="center"/>
            </w:pPr>
            <w:r>
              <w:rPr>
                <w:sz w:val="20"/>
                <w:szCs w:val="20"/>
              </w:rPr>
              <w:t xml:space="preserve">0.061%</w:t>
            </w:r>
          </w:p>
        </w:tc>
        <w:tc>
          <w:tcPr>
            <w:tcW w:type="dxa" w:w="900"/>
            <w:tcMar>
              <w:top w:type="dxa" w:w="60"/>
              <w:left w:type="dxa" w:w="100"/>
              <w:bottom w:type="dxa" w:w="60"/>
              <w:right w:type="dxa" w:w="100"/>
            </w:tcMar>
            <w:vAlign w:val="center"/>
          </w:tcPr>
          <w:p>
            <w:pPr>
              <w:jc w:val="center"/>
            </w:pPr>
            <w:r>
              <w:rPr>
                <w:sz w:val="20"/>
                <w:szCs w:val="20"/>
              </w:rPr>
              <w:t xml:space="preserve"/>
            </w:r>
          </w:p>
        </w:tc>
        <w:tc>
          <w:tcPr>
            <w:tcW w:type="dxa" w:w="800"/>
            <w:tcMar>
              <w:top w:type="dxa" w:w="60"/>
              <w:left w:type="dxa" w:w="100"/>
              <w:bottom w:type="dxa" w:w="60"/>
              <w:right w:type="dxa" w:w="100"/>
            </w:tcMar>
            <w:vAlign w:val="center"/>
          </w:tcPr>
          <w:p>
            <w:pPr>
              <w:jc w:val="center"/>
            </w:pPr>
            <w:r>
              <w:rPr>
                <w:sz w:val="20"/>
                <w:szCs w:val="20"/>
              </w:rPr>
              <w:t xml:space="preserve">6.84%</w:t>
            </w:r>
          </w:p>
        </w:tc>
      </w:tr>
      <w:tr>
        <w:tc>
          <w:tcPr>
            <w:tcW w:type="dxa" w:w="2700"/>
            <w:tcMar>
              <w:top w:type="dxa" w:w="60"/>
              <w:left w:type="dxa" w:w="100"/>
              <w:bottom w:type="dxa" w:w="60"/>
              <w:right w:type="dxa" w:w="100"/>
            </w:tcMar>
            <w:vAlign w:val="center"/>
          </w:tcPr>
          <w:p>
            <w:pPr>
              <w:jc w:val="left"/>
            </w:pPr>
            <w:r>
              <w:rPr>
                <w:sz w:val="20"/>
                <w:szCs w:val="20"/>
              </w:rPr>
              <w:t xml:space="preserve">FP32 federated, 803 KB</w:t>
            </w:r>
          </w:p>
        </w:tc>
        <w:tc>
          <w:tcPr>
            <w:tcW w:type="dxa" w:w="1900"/>
            <w:tcMar>
              <w:top w:type="dxa" w:w="60"/>
              <w:left w:type="dxa" w:w="100"/>
              <w:bottom w:type="dxa" w:w="60"/>
              <w:right w:type="dxa" w:w="100"/>
            </w:tcMar>
            <w:vAlign w:val="center"/>
          </w:tcPr>
          <w:p>
            <w:pPr>
              <w:jc w:val="center"/>
            </w:pPr>
            <w:r>
              <w:rPr>
                <w:sz w:val="20"/>
                <w:szCs w:val="20"/>
              </w:rPr>
              <w:t xml:space="preserve">client val., recall ≥ 99.99%</w:t>
            </w:r>
          </w:p>
        </w:tc>
        <w:tc>
          <w:tcPr>
            <w:tcW w:type="dxa" w:w="800"/>
            <w:tcMar>
              <w:top w:type="dxa" w:w="60"/>
              <w:left w:type="dxa" w:w="100"/>
              <w:bottom w:type="dxa" w:w="60"/>
              <w:right w:type="dxa" w:w="100"/>
            </w:tcMar>
            <w:vAlign w:val="center"/>
          </w:tcPr>
          <w:p>
            <w:pPr>
              <w:jc w:val="center"/>
            </w:pPr>
            <w:r>
              <w:rPr>
                <w:sz w:val="20"/>
                <w:szCs w:val="20"/>
              </w:rPr>
              <w:t xml:space="preserve">0.269</w:t>
            </w:r>
          </w:p>
        </w:tc>
        <w:tc>
          <w:tcPr>
            <w:tcW w:type="dxa" w:w="1500"/>
            <w:tcMar>
              <w:top w:type="dxa" w:w="60"/>
              <w:left w:type="dxa" w:w="100"/>
              <w:bottom w:type="dxa" w:w="60"/>
              <w:right w:type="dxa" w:w="100"/>
            </w:tcMar>
            <w:vAlign w:val="center"/>
          </w:tcPr>
          <w:p>
            <w:pPr>
              <w:jc w:val="center"/>
            </w:pPr>
            <w:r>
              <w:rPr>
                <w:sz w:val="20"/>
                <w:szCs w:val="20"/>
              </w:rPr>
              <w:t xml:space="preserve">37 / 85,173</w:t>
            </w:r>
          </w:p>
        </w:tc>
        <w:tc>
          <w:tcPr>
            <w:tcW w:type="dxa" w:w="900"/>
            <w:tcMar>
              <w:top w:type="dxa" w:w="60"/>
              <w:left w:type="dxa" w:w="100"/>
              <w:bottom w:type="dxa" w:w="60"/>
              <w:right w:type="dxa" w:w="100"/>
            </w:tcMar>
            <w:vAlign w:val="center"/>
          </w:tcPr>
          <w:p>
            <w:pPr>
              <w:jc w:val="center"/>
            </w:pPr>
            <w:r>
              <w:rPr>
                <w:sz w:val="20"/>
                <w:szCs w:val="20"/>
              </w:rPr>
              <w:t xml:space="preserve">0.043%</w:t>
            </w:r>
          </w:p>
        </w:tc>
        <w:tc>
          <w:tcPr>
            <w:tcW w:type="dxa" w:w="900"/>
            <w:tcMar>
              <w:top w:type="dxa" w:w="60"/>
              <w:left w:type="dxa" w:w="100"/>
              <w:bottom w:type="dxa" w:w="60"/>
              <w:right w:type="dxa" w:w="100"/>
            </w:tcMar>
            <w:vAlign w:val="center"/>
          </w:tcPr>
          <w:p>
            <w:pPr>
              <w:jc w:val="center"/>
            </w:pPr>
            <w:r>
              <w:rPr>
                <w:sz w:val="20"/>
                <w:szCs w:val="20"/>
              </w:rPr>
              <w:t xml:space="preserve"/>
            </w:r>
          </w:p>
        </w:tc>
        <w:tc>
          <w:tcPr>
            <w:tcW w:type="dxa" w:w="800"/>
            <w:tcMar>
              <w:top w:type="dxa" w:w="60"/>
              <w:left w:type="dxa" w:w="100"/>
              <w:bottom w:type="dxa" w:w="60"/>
              <w:right w:type="dxa" w:w="100"/>
            </w:tcMar>
            <w:vAlign w:val="center"/>
          </w:tcPr>
          <w:p>
            <w:pPr>
              <w:jc w:val="center"/>
            </w:pPr>
            <w:r>
              <w:rPr>
                <w:sz w:val="20"/>
                <w:szCs w:val="20"/>
              </w:rPr>
              <w:t xml:space="preserve">7.56%</w:t>
            </w:r>
          </w:p>
        </w:tc>
      </w:tr>
      <w:tr>
        <w:tc>
          <w:tcPr>
            <w:tcW w:type="dxa" w:w="2700"/>
            <w:tcMar>
              <w:top w:type="dxa" w:w="60"/>
              <w:left w:type="dxa" w:w="100"/>
              <w:bottom w:type="dxa" w:w="60"/>
              <w:right w:type="dxa" w:w="100"/>
            </w:tcMar>
            <w:vAlign w:val="center"/>
          </w:tcPr>
          <w:p>
            <w:pPr>
              <w:jc w:val="left"/>
            </w:pPr>
            <w:r>
              <w:rPr>
                <w:sz w:val="20"/>
                <w:szCs w:val="20"/>
              </w:rPr>
              <w:t xml:space="preserve">65 KB, base recipe</w:t>
            </w:r>
          </w:p>
        </w:tc>
        <w:tc>
          <w:tcPr>
            <w:tcW w:type="dxa" w:w="1900"/>
            <w:tcMar>
              <w:top w:type="dxa" w:w="60"/>
              <w:left w:type="dxa" w:w="100"/>
              <w:bottom w:type="dxa" w:w="60"/>
              <w:right w:type="dxa" w:w="100"/>
            </w:tcMar>
            <w:vAlign w:val="center"/>
          </w:tcPr>
          <w:p>
            <w:pPr>
              <w:jc w:val="center"/>
            </w:pPr>
            <w:r>
              <w:rPr>
                <w:sz w:val="20"/>
                <w:szCs w:val="20"/>
              </w:rPr>
              <w:t xml:space="preserve">fixed</w:t>
            </w:r>
          </w:p>
        </w:tc>
        <w:tc>
          <w:tcPr>
            <w:tcW w:type="dxa" w:w="800"/>
            <w:tcMar>
              <w:top w:type="dxa" w:w="60"/>
              <w:left w:type="dxa" w:w="100"/>
              <w:bottom w:type="dxa" w:w="60"/>
              <w:right w:type="dxa" w:w="100"/>
            </w:tcMar>
            <w:vAlign w:val="center"/>
          </w:tcPr>
          <w:p>
            <w:pPr>
              <w:jc w:val="center"/>
            </w:pPr>
            <w:r>
              <w:rPr>
                <w:sz w:val="20"/>
                <w:szCs w:val="20"/>
              </w:rPr>
              <w:t xml:space="preserve">0.30</w:t>
            </w:r>
          </w:p>
        </w:tc>
        <w:tc>
          <w:tcPr>
            <w:tcW w:type="dxa" w:w="1500"/>
            <w:tcMar>
              <w:top w:type="dxa" w:w="60"/>
              <w:left w:type="dxa" w:w="100"/>
              <w:bottom w:type="dxa" w:w="60"/>
              <w:right w:type="dxa" w:w="100"/>
            </w:tcMar>
            <w:vAlign w:val="center"/>
          </w:tcPr>
          <w:p>
            <w:pPr>
              <w:jc w:val="center"/>
            </w:pPr>
            <w:r>
              <w:rPr>
                <w:sz w:val="20"/>
                <w:szCs w:val="20"/>
              </w:rPr>
              <w:t xml:space="preserve">463 / 85,173</w:t>
            </w:r>
          </w:p>
        </w:tc>
        <w:tc>
          <w:tcPr>
            <w:tcW w:type="dxa" w:w="900"/>
            <w:tcMar>
              <w:top w:type="dxa" w:w="60"/>
              <w:left w:type="dxa" w:w="100"/>
              <w:bottom w:type="dxa" w:w="60"/>
              <w:right w:type="dxa" w:w="100"/>
            </w:tcMar>
            <w:vAlign w:val="center"/>
          </w:tcPr>
          <w:p>
            <w:pPr>
              <w:jc w:val="center"/>
            </w:pPr>
            <w:r>
              <w:rPr>
                <w:sz w:val="20"/>
                <w:szCs w:val="20"/>
              </w:rPr>
              <w:t xml:space="preserve">0.54%</w:t>
            </w:r>
          </w:p>
        </w:tc>
        <w:tc>
          <w:tcPr>
            <w:tcW w:type="dxa" w:w="900"/>
            <w:tcMar>
              <w:top w:type="dxa" w:w="60"/>
              <w:left w:type="dxa" w:w="100"/>
              <w:bottom w:type="dxa" w:w="60"/>
              <w:right w:type="dxa" w:w="100"/>
            </w:tcMar>
            <w:vAlign w:val="center"/>
          </w:tcPr>
          <w:p>
            <w:pPr>
              <w:jc w:val="center"/>
            </w:pPr>
            <w:r>
              <w:rPr>
                <w:sz w:val="20"/>
                <w:szCs w:val="20"/>
              </w:rPr>
              <w:t xml:space="preserve">483</w:t>
            </w:r>
          </w:p>
        </w:tc>
        <w:tc>
          <w:tcPr>
            <w:tcW w:type="dxa" w:w="800"/>
            <w:tcMar>
              <w:top w:type="dxa" w:w="60"/>
              <w:left w:type="dxa" w:w="100"/>
              <w:bottom w:type="dxa" w:w="60"/>
              <w:right w:type="dxa" w:w="100"/>
            </w:tcMar>
            <w:vAlign w:val="center"/>
          </w:tcPr>
          <w:p>
            <w:pPr>
              <w:jc w:val="center"/>
            </w:pPr>
            <w:r>
              <w:rPr>
                <w:sz w:val="20"/>
                <w:szCs w:val="20"/>
              </w:rPr>
              <w:t xml:space="preserve">5.97%</w:t>
            </w:r>
          </w:p>
        </w:tc>
      </w:tr>
      <w:tr>
        <w:tc>
          <w:tcPr>
            <w:tcW w:type="dxa" w:w="2700"/>
            <w:tcMar>
              <w:top w:type="dxa" w:w="60"/>
              <w:left w:type="dxa" w:w="100"/>
              <w:bottom w:type="dxa" w:w="60"/>
              <w:right w:type="dxa" w:w="100"/>
            </w:tcMar>
            <w:vAlign w:val="center"/>
          </w:tcPr>
          <w:p>
            <w:pPr>
              <w:jc w:val="left"/>
            </w:pPr>
            <w:r>
              <w:rPr>
                <w:sz w:val="20"/>
                <w:szCs w:val="20"/>
              </w:rPr>
              <w:t xml:space="preserve">65 KB, base recipe</w:t>
            </w:r>
          </w:p>
        </w:tc>
        <w:tc>
          <w:tcPr>
            <w:tcW w:type="dxa" w:w="1900"/>
            <w:tcMar>
              <w:top w:type="dxa" w:w="60"/>
              <w:left w:type="dxa" w:w="100"/>
              <w:bottom w:type="dxa" w:w="60"/>
              <w:right w:type="dxa" w:w="100"/>
            </w:tcMar>
            <w:vAlign w:val="center"/>
          </w:tcPr>
          <w:p>
            <w:pPr>
              <w:jc w:val="center"/>
            </w:pPr>
            <w:r>
              <w:rPr>
                <w:sz w:val="20"/>
                <w:szCs w:val="20"/>
              </w:rPr>
              <w:t xml:space="preserve">client val., recall ≥ 99.95%</w:t>
            </w:r>
          </w:p>
        </w:tc>
        <w:tc>
          <w:tcPr>
            <w:tcW w:type="dxa" w:w="800"/>
            <w:tcMar>
              <w:top w:type="dxa" w:w="60"/>
              <w:left w:type="dxa" w:w="100"/>
              <w:bottom w:type="dxa" w:w="60"/>
              <w:right w:type="dxa" w:w="100"/>
            </w:tcMar>
            <w:vAlign w:val="center"/>
          </w:tcPr>
          <w:p>
            <w:pPr>
              <w:jc w:val="center"/>
            </w:pPr>
            <w:r>
              <w:rPr>
                <w:sz w:val="20"/>
                <w:szCs w:val="20"/>
              </w:rPr>
              <w:t xml:space="preserve">0.005</w:t>
            </w:r>
          </w:p>
        </w:tc>
        <w:tc>
          <w:tcPr>
            <w:tcW w:type="dxa" w:w="1500"/>
            <w:tcMar>
              <w:top w:type="dxa" w:w="60"/>
              <w:left w:type="dxa" w:w="100"/>
              <w:bottom w:type="dxa" w:w="60"/>
              <w:right w:type="dxa" w:w="100"/>
            </w:tcMar>
            <w:vAlign w:val="center"/>
          </w:tcPr>
          <w:p>
            <w:pPr>
              <w:jc w:val="center"/>
            </w:pPr>
            <w:r>
              <w:rPr>
                <w:sz w:val="20"/>
                <w:szCs w:val="20"/>
              </w:rPr>
              <w:t xml:space="preserve">44 / 85,173</w:t>
            </w:r>
          </w:p>
        </w:tc>
        <w:tc>
          <w:tcPr>
            <w:tcW w:type="dxa" w:w="900"/>
            <w:tcMar>
              <w:top w:type="dxa" w:w="60"/>
              <w:left w:type="dxa" w:w="100"/>
              <w:bottom w:type="dxa" w:w="60"/>
              <w:right w:type="dxa" w:w="100"/>
            </w:tcMar>
            <w:vAlign w:val="center"/>
          </w:tcPr>
          <w:p>
            <w:pPr>
              <w:jc w:val="center"/>
            </w:pPr>
            <w:r>
              <w:rPr>
                <w:sz w:val="20"/>
                <w:szCs w:val="20"/>
              </w:rPr>
              <w:t xml:space="preserve">0.052%</w:t>
            </w:r>
          </w:p>
        </w:tc>
        <w:tc>
          <w:tcPr>
            <w:tcW w:type="dxa" w:w="900"/>
            <w:tcMar>
              <w:top w:type="dxa" w:w="60"/>
              <w:left w:type="dxa" w:w="100"/>
              <w:bottom w:type="dxa" w:w="60"/>
              <w:right w:type="dxa" w:w="100"/>
            </w:tcMar>
            <w:vAlign w:val="center"/>
          </w:tcPr>
          <w:p>
            <w:pPr>
              <w:jc w:val="center"/>
            </w:pPr>
            <w:r>
              <w:rPr>
                <w:sz w:val="20"/>
                <w:szCs w:val="20"/>
              </w:rPr>
              <w:t xml:space="preserve">58</w:t>
            </w:r>
          </w:p>
        </w:tc>
        <w:tc>
          <w:tcPr>
            <w:tcW w:type="dxa" w:w="800"/>
            <w:tcMar>
              <w:top w:type="dxa" w:w="60"/>
              <w:left w:type="dxa" w:w="100"/>
              <w:bottom w:type="dxa" w:w="60"/>
              <w:right w:type="dxa" w:w="100"/>
            </w:tcMar>
            <w:vAlign w:val="center"/>
          </w:tcPr>
          <w:p>
            <w:pPr>
              <w:jc w:val="center"/>
            </w:pPr>
            <w:r>
              <w:rPr>
                <w:sz w:val="20"/>
                <w:szCs w:val="20"/>
              </w:rPr>
              <w:t xml:space="preserve">23.39%</w:t>
            </w:r>
          </w:p>
        </w:tc>
      </w:tr>
      <w:tr>
        <w:tc>
          <w:tcPr>
            <w:tcW w:type="dxa" w:w="2700"/>
            <w:tcMar>
              <w:top w:type="dxa" w:w="60"/>
              <w:left w:type="dxa" w:w="100"/>
              <w:bottom w:type="dxa" w:w="60"/>
              <w:right w:type="dxa" w:w="100"/>
            </w:tcMar>
            <w:vAlign w:val="center"/>
          </w:tcPr>
          <w:p>
            <w:pPr>
              <w:jc w:val="left"/>
            </w:pPr>
            <w:r>
              <w:rPr>
                <w:sz w:val="20"/>
                <w:szCs w:val="20"/>
              </w:rPr>
              <w:t xml:space="preserve">65 KB, attack weight 4×</w:t>
            </w:r>
          </w:p>
        </w:tc>
        <w:tc>
          <w:tcPr>
            <w:tcW w:type="dxa" w:w="1900"/>
            <w:tcMar>
              <w:top w:type="dxa" w:w="60"/>
              <w:left w:type="dxa" w:w="100"/>
              <w:bottom w:type="dxa" w:w="60"/>
              <w:right w:type="dxa" w:w="100"/>
            </w:tcMar>
            <w:vAlign w:val="center"/>
          </w:tcPr>
          <w:p>
            <w:pPr>
              <w:jc w:val="center"/>
            </w:pPr>
            <w:r>
              <w:rPr>
                <w:sz w:val="20"/>
                <w:szCs w:val="20"/>
              </w:rPr>
              <w:t xml:space="preserve">client val., recall ≥ 99.95%</w:t>
            </w:r>
          </w:p>
        </w:tc>
        <w:tc>
          <w:tcPr>
            <w:tcW w:type="dxa" w:w="800"/>
            <w:tcMar>
              <w:top w:type="dxa" w:w="60"/>
              <w:left w:type="dxa" w:w="100"/>
              <w:bottom w:type="dxa" w:w="60"/>
              <w:right w:type="dxa" w:w="100"/>
            </w:tcMar>
            <w:vAlign w:val="center"/>
          </w:tcPr>
          <w:p>
            <w:pPr>
              <w:jc w:val="center"/>
            </w:pPr>
            <w:r>
              <w:rPr>
                <w:sz w:val="20"/>
                <w:szCs w:val="20"/>
              </w:rPr>
              <w:t xml:space="preserve">0.027</w:t>
            </w:r>
          </w:p>
        </w:tc>
        <w:tc>
          <w:tcPr>
            <w:tcW w:type="dxa" w:w="1500"/>
            <w:tcMar>
              <w:top w:type="dxa" w:w="60"/>
              <w:left w:type="dxa" w:w="100"/>
              <w:bottom w:type="dxa" w:w="60"/>
              <w:right w:type="dxa" w:w="100"/>
            </w:tcMar>
            <w:vAlign w:val="center"/>
          </w:tcPr>
          <w:p>
            <w:pPr>
              <w:jc w:val="center"/>
            </w:pPr>
            <w:r>
              <w:rPr>
                <w:sz w:val="20"/>
                <w:szCs w:val="20"/>
              </w:rPr>
              <w:t xml:space="preserve">63 / 85,173</w:t>
            </w:r>
          </w:p>
        </w:tc>
        <w:tc>
          <w:tcPr>
            <w:tcW w:type="dxa" w:w="900"/>
            <w:tcMar>
              <w:top w:type="dxa" w:w="60"/>
              <w:left w:type="dxa" w:w="100"/>
              <w:bottom w:type="dxa" w:w="60"/>
              <w:right w:type="dxa" w:w="100"/>
            </w:tcMar>
            <w:vAlign w:val="center"/>
          </w:tcPr>
          <w:p>
            <w:pPr>
              <w:jc w:val="center"/>
            </w:pPr>
            <w:r>
              <w:rPr>
                <w:sz w:val="20"/>
                <w:szCs w:val="20"/>
              </w:rPr>
              <w:t xml:space="preserve">0.074%</w:t>
            </w:r>
          </w:p>
        </w:tc>
        <w:tc>
          <w:tcPr>
            <w:tcW w:type="dxa" w:w="900"/>
            <w:tcMar>
              <w:top w:type="dxa" w:w="60"/>
              <w:left w:type="dxa" w:w="100"/>
              <w:bottom w:type="dxa" w:w="60"/>
              <w:right w:type="dxa" w:w="100"/>
            </w:tcMar>
            <w:vAlign w:val="center"/>
          </w:tcPr>
          <w:p>
            <w:pPr>
              <w:jc w:val="center"/>
            </w:pPr>
            <w:r>
              <w:rPr>
                <w:sz w:val="20"/>
                <w:szCs w:val="20"/>
              </w:rPr>
              <w:t xml:space="preserve">81</w:t>
            </w:r>
          </w:p>
        </w:tc>
        <w:tc>
          <w:tcPr>
            <w:tcW w:type="dxa" w:w="800"/>
            <w:tcMar>
              <w:top w:type="dxa" w:w="60"/>
              <w:left w:type="dxa" w:w="100"/>
              <w:bottom w:type="dxa" w:w="60"/>
              <w:right w:type="dxa" w:w="100"/>
            </w:tcMar>
            <w:vAlign w:val="center"/>
          </w:tcPr>
          <w:p>
            <w:pPr>
              <w:jc w:val="center"/>
            </w:pPr>
            <w:r>
              <w:rPr>
                <w:sz w:val="20"/>
                <w:szCs w:val="20"/>
              </w:rPr>
              <w:t xml:space="preserve">20.31%</w:t>
            </w:r>
          </w:p>
        </w:tc>
      </w:tr>
      <w:tr>
        <w:tc>
          <w:tcPr>
            <w:tcW w:type="dxa" w:w="2700"/>
            <w:tcMar>
              <w:top w:type="dxa" w:w="60"/>
              <w:left w:type="dxa" w:w="100"/>
              <w:bottom w:type="dxa" w:w="60"/>
              <w:right w:type="dxa" w:w="100"/>
            </w:tcMar>
            <w:vAlign w:val="center"/>
          </w:tcPr>
          <w:p>
            <w:pPr>
              <w:jc w:val="left"/>
            </w:pPr>
            <w:r>
              <w:rPr>
                <w:sz w:val="20"/>
                <w:szCs w:val="20"/>
              </w:rPr>
              <w:t xml:space="preserve">65 KB, distillation α = 0.5</w:t>
            </w:r>
          </w:p>
        </w:tc>
        <w:tc>
          <w:tcPr>
            <w:tcW w:type="dxa" w:w="1900"/>
            <w:tcMar>
              <w:top w:type="dxa" w:w="60"/>
              <w:left w:type="dxa" w:w="100"/>
              <w:bottom w:type="dxa" w:w="60"/>
              <w:right w:type="dxa" w:w="100"/>
            </w:tcMar>
            <w:vAlign w:val="center"/>
          </w:tcPr>
          <w:p>
            <w:pPr>
              <w:jc w:val="center"/>
            </w:pPr>
            <w:r>
              <w:rPr>
                <w:sz w:val="20"/>
                <w:szCs w:val="20"/>
              </w:rPr>
              <w:t xml:space="preserve">client val., recall ≥ 99.95%</w:t>
            </w:r>
          </w:p>
        </w:tc>
        <w:tc>
          <w:tcPr>
            <w:tcW w:type="dxa" w:w="800"/>
            <w:tcMar>
              <w:top w:type="dxa" w:w="60"/>
              <w:left w:type="dxa" w:w="100"/>
              <w:bottom w:type="dxa" w:w="60"/>
              <w:right w:type="dxa" w:w="100"/>
            </w:tcMar>
            <w:vAlign w:val="center"/>
          </w:tcPr>
          <w:p>
            <w:pPr>
              <w:jc w:val="center"/>
            </w:pPr>
            <w:r>
              <w:rPr>
                <w:sz w:val="20"/>
                <w:szCs w:val="20"/>
              </w:rPr>
              <w:t xml:space="preserve">0.164</w:t>
            </w:r>
          </w:p>
        </w:tc>
        <w:tc>
          <w:tcPr>
            <w:tcW w:type="dxa" w:w="1500"/>
            <w:tcMar>
              <w:top w:type="dxa" w:w="60"/>
              <w:left w:type="dxa" w:w="100"/>
              <w:bottom w:type="dxa" w:w="60"/>
              <w:right w:type="dxa" w:w="100"/>
            </w:tcMar>
            <w:vAlign w:val="center"/>
          </w:tcPr>
          <w:p>
            <w:pPr>
              <w:jc w:val="center"/>
            </w:pPr>
            <w:r>
              <w:rPr>
                <w:sz w:val="20"/>
                <w:szCs w:val="20"/>
              </w:rPr>
              <w:t xml:space="preserve">37 / 85,173</w:t>
            </w:r>
          </w:p>
        </w:tc>
        <w:tc>
          <w:tcPr>
            <w:tcW w:type="dxa" w:w="900"/>
            <w:tcMar>
              <w:top w:type="dxa" w:w="60"/>
              <w:left w:type="dxa" w:w="100"/>
              <w:bottom w:type="dxa" w:w="60"/>
              <w:right w:type="dxa" w:w="100"/>
            </w:tcMar>
            <w:vAlign w:val="center"/>
          </w:tcPr>
          <w:p>
            <w:pPr>
              <w:jc w:val="center"/>
            </w:pPr>
            <w:r>
              <w:rPr>
                <w:sz w:val="20"/>
                <w:szCs w:val="20"/>
              </w:rPr>
              <w:t xml:space="preserve">0.044%</w:t>
            </w:r>
          </w:p>
        </w:tc>
        <w:tc>
          <w:tcPr>
            <w:tcW w:type="dxa" w:w="900"/>
            <w:tcMar>
              <w:top w:type="dxa" w:w="60"/>
              <w:left w:type="dxa" w:w="100"/>
              <w:bottom w:type="dxa" w:w="60"/>
              <w:right w:type="dxa" w:w="100"/>
            </w:tcMar>
            <w:vAlign w:val="center"/>
          </w:tcPr>
          <w:p>
            <w:pPr>
              <w:jc w:val="center"/>
            </w:pPr>
            <w:r>
              <w:rPr>
                <w:sz w:val="20"/>
                <w:szCs w:val="20"/>
              </w:rPr>
              <w:t xml:space="preserve">52</w:t>
            </w:r>
          </w:p>
        </w:tc>
        <w:tc>
          <w:tcPr>
            <w:tcW w:type="dxa" w:w="800"/>
            <w:tcMar>
              <w:top w:type="dxa" w:w="60"/>
              <w:left w:type="dxa" w:w="100"/>
              <w:bottom w:type="dxa" w:w="60"/>
              <w:right w:type="dxa" w:w="100"/>
            </w:tcMar>
            <w:vAlign w:val="center"/>
          </w:tcPr>
          <w:p>
            <w:pPr>
              <w:jc w:val="center"/>
            </w:pPr>
            <w:r>
              <w:rPr>
                <w:sz w:val="20"/>
                <w:szCs w:val="20"/>
              </w:rPr>
              <w:t xml:space="preserve">19.92%</w:t>
            </w:r>
          </w:p>
        </w:tc>
      </w:tr>
      <w:tr>
        <w:tc>
          <w:tcPr>
            <w:tcW w:type="dxa" w:w="2700"/>
            <w:tcMar>
              <w:top w:type="dxa" w:w="60"/>
              <w:left w:type="dxa" w:w="100"/>
              <w:bottom w:type="dxa" w:w="60"/>
              <w:right w:type="dxa" w:w="100"/>
            </w:tcMar>
            <w:vAlign w:val="center"/>
          </w:tcPr>
          <w:p>
            <w:pPr>
              <w:jc w:val="left"/>
            </w:pPr>
            <w:r>
              <w:rPr>
                <w:sz w:val="20"/>
                <w:szCs w:val="20"/>
              </w:rPr>
              <w:t xml:space="preserve">65 KB, distillation + clipped inputs</w:t>
            </w:r>
          </w:p>
        </w:tc>
        <w:tc>
          <w:tcPr>
            <w:tcW w:type="dxa" w:w="1900"/>
            <w:tcMar>
              <w:top w:type="dxa" w:w="60"/>
              <w:left w:type="dxa" w:w="100"/>
              <w:bottom w:type="dxa" w:w="60"/>
              <w:right w:type="dxa" w:w="100"/>
            </w:tcMar>
            <w:vAlign w:val="center"/>
          </w:tcPr>
          <w:p>
            <w:pPr>
              <w:jc w:val="center"/>
            </w:pPr>
            <w:r>
              <w:rPr>
                <w:sz w:val="20"/>
                <w:szCs w:val="20"/>
              </w:rPr>
              <w:t xml:space="preserve">fixed</w:t>
            </w:r>
          </w:p>
        </w:tc>
        <w:tc>
          <w:tcPr>
            <w:tcW w:type="dxa" w:w="800"/>
            <w:tcMar>
              <w:top w:type="dxa" w:w="60"/>
              <w:left w:type="dxa" w:w="100"/>
              <w:bottom w:type="dxa" w:w="60"/>
              <w:right w:type="dxa" w:w="100"/>
            </w:tcMar>
            <w:vAlign w:val="center"/>
          </w:tcPr>
          <w:p>
            <w:pPr>
              <w:jc w:val="center"/>
            </w:pPr>
            <w:r>
              <w:rPr>
                <w:sz w:val="20"/>
                <w:szCs w:val="20"/>
              </w:rPr>
              <w:t xml:space="preserve">0.30</w:t>
            </w:r>
          </w:p>
        </w:tc>
        <w:tc>
          <w:tcPr>
            <w:tcW w:type="dxa" w:w="1500"/>
            <w:tcMar>
              <w:top w:type="dxa" w:w="60"/>
              <w:left w:type="dxa" w:w="100"/>
              <w:bottom w:type="dxa" w:w="60"/>
              <w:right w:type="dxa" w:w="100"/>
            </w:tcMar>
            <w:vAlign w:val="center"/>
          </w:tcPr>
          <w:p>
            <w:pPr>
              <w:jc w:val="center"/>
            </w:pPr>
            <w:r>
              <w:rPr>
                <w:sz w:val="20"/>
                <w:szCs w:val="20"/>
              </w:rPr>
              <w:t xml:space="preserve">231 / 85,173</w:t>
            </w:r>
          </w:p>
        </w:tc>
        <w:tc>
          <w:tcPr>
            <w:tcW w:type="dxa" w:w="900"/>
            <w:tcMar>
              <w:top w:type="dxa" w:w="60"/>
              <w:left w:type="dxa" w:w="100"/>
              <w:bottom w:type="dxa" w:w="60"/>
              <w:right w:type="dxa" w:w="100"/>
            </w:tcMar>
            <w:vAlign w:val="center"/>
          </w:tcPr>
          <w:p>
            <w:pPr>
              <w:jc w:val="center"/>
            </w:pPr>
            <w:r>
              <w:rPr>
                <w:sz w:val="20"/>
                <w:szCs w:val="20"/>
              </w:rPr>
              <w:t xml:space="preserve">0.27%</w:t>
            </w:r>
          </w:p>
        </w:tc>
        <w:tc>
          <w:tcPr>
            <w:tcW w:type="dxa" w:w="900"/>
            <w:tcMar>
              <w:top w:type="dxa" w:w="60"/>
              <w:left w:type="dxa" w:w="100"/>
              <w:bottom w:type="dxa" w:w="60"/>
              <w:right w:type="dxa" w:w="100"/>
            </w:tcMar>
            <w:vAlign w:val="center"/>
          </w:tcPr>
          <w:p>
            <w:pPr>
              <w:jc w:val="center"/>
            </w:pPr>
            <w:r>
              <w:rPr>
                <w:sz w:val="20"/>
                <w:szCs w:val="20"/>
              </w:rPr>
              <w:t xml:space="preserve">292</w:t>
            </w:r>
          </w:p>
        </w:tc>
        <w:tc>
          <w:tcPr>
            <w:tcW w:type="dxa" w:w="800"/>
            <w:tcMar>
              <w:top w:type="dxa" w:w="60"/>
              <w:left w:type="dxa" w:w="100"/>
              <w:bottom w:type="dxa" w:w="60"/>
              <w:right w:type="dxa" w:w="100"/>
            </w:tcMar>
            <w:vAlign w:val="center"/>
          </w:tcPr>
          <w:p>
            <w:pPr>
              <w:jc w:val="center"/>
            </w:pPr>
            <w:r>
              <w:rPr>
                <w:sz w:val="20"/>
                <w:szCs w:val="20"/>
              </w:rPr>
              <w:t xml:space="preserve">6.04%</w:t>
            </w:r>
          </w:p>
        </w:tc>
      </w:tr>
      <w:tr>
        <w:tc>
          <w:tcPr>
            <w:tcW w:type="dxa" w:w="2700"/>
            <w:tcMar>
              <w:top w:type="dxa" w:w="60"/>
              <w:left w:type="dxa" w:w="100"/>
              <w:bottom w:type="dxa" w:w="60"/>
              <w:right w:type="dxa" w:w="100"/>
            </w:tcMar>
            <w:vAlign w:val="center"/>
          </w:tcPr>
          <w:p>
            <w:pPr>
              <w:jc w:val="left"/>
            </w:pPr>
            <w:r>
              <w:rPr>
                <w:sz w:val="20"/>
                <w:szCs w:val="20"/>
              </w:rPr>
              <w:t xml:space="preserve">65 KB, distillation + clipped inputs</w:t>
            </w:r>
          </w:p>
        </w:tc>
        <w:tc>
          <w:tcPr>
            <w:tcW w:type="dxa" w:w="1900"/>
            <w:tcMar>
              <w:top w:type="dxa" w:w="60"/>
              <w:left w:type="dxa" w:w="100"/>
              <w:bottom w:type="dxa" w:w="60"/>
              <w:right w:type="dxa" w:w="100"/>
            </w:tcMar>
            <w:vAlign w:val="center"/>
          </w:tcPr>
          <w:p>
            <w:pPr>
              <w:jc w:val="center"/>
            </w:pPr>
            <w:r>
              <w:rPr>
                <w:sz w:val="20"/>
                <w:szCs w:val="20"/>
              </w:rPr>
              <w:t xml:space="preserve">client val., recall ≥ 99.9%</w:t>
            </w:r>
          </w:p>
        </w:tc>
        <w:tc>
          <w:tcPr>
            <w:tcW w:type="dxa" w:w="800"/>
            <w:tcMar>
              <w:top w:type="dxa" w:w="60"/>
              <w:left w:type="dxa" w:w="100"/>
              <w:bottom w:type="dxa" w:w="60"/>
              <w:right w:type="dxa" w:w="100"/>
            </w:tcMar>
            <w:vAlign w:val="center"/>
          </w:tcPr>
          <w:p>
            <w:pPr>
              <w:jc w:val="center"/>
            </w:pPr>
            <w:r>
              <w:rPr>
                <w:sz w:val="20"/>
                <w:szCs w:val="20"/>
              </w:rPr>
              <w:t xml:space="preserve">0.213</w:t>
            </w:r>
          </w:p>
        </w:tc>
        <w:tc>
          <w:tcPr>
            <w:tcW w:type="dxa" w:w="1500"/>
            <w:tcMar>
              <w:top w:type="dxa" w:w="60"/>
              <w:left w:type="dxa" w:w="100"/>
              <w:bottom w:type="dxa" w:w="60"/>
              <w:right w:type="dxa" w:w="100"/>
            </w:tcMar>
            <w:vAlign w:val="center"/>
          </w:tcPr>
          <w:p>
            <w:pPr>
              <w:jc w:val="center"/>
            </w:pPr>
            <w:r>
              <w:rPr>
                <w:sz w:val="20"/>
                <w:szCs w:val="20"/>
              </w:rPr>
              <w:t xml:space="preserve">77 / 85,173</w:t>
            </w:r>
          </w:p>
        </w:tc>
        <w:tc>
          <w:tcPr>
            <w:tcW w:type="dxa" w:w="900"/>
            <w:tcMar>
              <w:top w:type="dxa" w:w="60"/>
              <w:left w:type="dxa" w:w="100"/>
              <w:bottom w:type="dxa" w:w="60"/>
              <w:right w:type="dxa" w:w="100"/>
            </w:tcMar>
            <w:vAlign w:val="center"/>
          </w:tcPr>
          <w:p>
            <w:pPr>
              <w:jc w:val="center"/>
            </w:pPr>
            <w:r>
              <w:rPr>
                <w:sz w:val="20"/>
                <w:szCs w:val="20"/>
              </w:rPr>
              <w:t xml:space="preserve">0.090%</w:t>
            </w:r>
          </w:p>
        </w:tc>
        <w:tc>
          <w:tcPr>
            <w:tcW w:type="dxa" w:w="900"/>
            <w:tcMar>
              <w:top w:type="dxa" w:w="60"/>
              <w:left w:type="dxa" w:w="100"/>
              <w:bottom w:type="dxa" w:w="60"/>
              <w:right w:type="dxa" w:w="100"/>
            </w:tcMar>
            <w:vAlign w:val="center"/>
          </w:tcPr>
          <w:p>
            <w:pPr>
              <w:jc w:val="center"/>
            </w:pPr>
            <w:r>
              <w:rPr>
                <w:sz w:val="20"/>
                <w:szCs w:val="20"/>
              </w:rPr>
              <w:t xml:space="preserve">133</w:t>
            </w:r>
          </w:p>
        </w:tc>
        <w:tc>
          <w:tcPr>
            <w:tcW w:type="dxa" w:w="800"/>
            <w:tcMar>
              <w:top w:type="dxa" w:w="60"/>
              <w:left w:type="dxa" w:w="100"/>
              <w:bottom w:type="dxa" w:w="60"/>
              <w:right w:type="dxa" w:w="100"/>
            </w:tcMar>
            <w:vAlign w:val="center"/>
          </w:tcPr>
          <w:p>
            <w:pPr>
              <w:jc w:val="center"/>
            </w:pPr>
            <w:r>
              <w:rPr>
                <w:sz w:val="20"/>
                <w:szCs w:val="20"/>
              </w:rPr>
              <w:t xml:space="preserve">9.54%</w:t>
            </w:r>
          </w:p>
        </w:tc>
      </w:tr>
      <w:tr>
        <w:tc>
          <w:tcPr>
            <w:tcW w:type="dxa" w:w="2700"/>
            <w:tcMar>
              <w:top w:type="dxa" w:w="60"/>
              <w:left w:type="dxa" w:w="100"/>
              <w:bottom w:type="dxa" w:w="60"/>
              <w:right w:type="dxa" w:w="100"/>
            </w:tcMar>
            <w:vAlign w:val="center"/>
          </w:tcPr>
          <w:p>
            <w:pPr>
              <w:jc w:val="left"/>
            </w:pPr>
            <w:r>
              <w:rPr>
                <w:sz w:val="20"/>
                <w:szCs w:val="20"/>
              </w:rPr>
              <w:t xml:space="preserve">65 KB, distillation + clipped inputs</w:t>
            </w:r>
          </w:p>
        </w:tc>
        <w:tc>
          <w:tcPr>
            <w:tcW w:type="dxa" w:w="1900"/>
            <w:tcMar>
              <w:top w:type="dxa" w:w="60"/>
              <w:left w:type="dxa" w:w="100"/>
              <w:bottom w:type="dxa" w:w="60"/>
              <w:right w:type="dxa" w:w="100"/>
            </w:tcMar>
            <w:vAlign w:val="center"/>
          </w:tcPr>
          <w:p>
            <w:pPr>
              <w:jc w:val="center"/>
            </w:pPr>
            <w:r>
              <w:rPr>
                <w:sz w:val="20"/>
                <w:szCs w:val="20"/>
              </w:rPr>
              <w:t xml:space="preserve">client val., recall ≥ 99.95%</w:t>
            </w:r>
          </w:p>
        </w:tc>
        <w:tc>
          <w:tcPr>
            <w:tcW w:type="dxa" w:w="800"/>
            <w:tcMar>
              <w:top w:type="dxa" w:w="60"/>
              <w:left w:type="dxa" w:w="100"/>
              <w:bottom w:type="dxa" w:w="60"/>
              <w:right w:type="dxa" w:w="100"/>
            </w:tcMar>
            <w:vAlign w:val="center"/>
          </w:tcPr>
          <w:p>
            <w:pPr>
              <w:jc w:val="center"/>
            </w:pPr>
            <w:r>
              <w:rPr>
                <w:sz w:val="20"/>
                <w:szCs w:val="20"/>
              </w:rPr>
              <w:t xml:space="preserve">0.198</w:t>
            </w:r>
          </w:p>
        </w:tc>
        <w:tc>
          <w:tcPr>
            <w:tcW w:type="dxa" w:w="1500"/>
            <w:tcMar>
              <w:top w:type="dxa" w:w="60"/>
              <w:left w:type="dxa" w:w="100"/>
              <w:bottom w:type="dxa" w:w="60"/>
              <w:right w:type="dxa" w:w="100"/>
            </w:tcMar>
            <w:vAlign w:val="center"/>
          </w:tcPr>
          <w:p>
            <w:pPr>
              <w:jc w:val="center"/>
            </w:pPr>
            <w:r>
              <w:rPr>
                <w:sz w:val="20"/>
                <w:szCs w:val="20"/>
              </w:rPr>
              <w:t xml:space="preserve">44 / 85,173</w:t>
            </w:r>
          </w:p>
        </w:tc>
        <w:tc>
          <w:tcPr>
            <w:tcW w:type="dxa" w:w="900"/>
            <w:tcMar>
              <w:top w:type="dxa" w:w="60"/>
              <w:left w:type="dxa" w:w="100"/>
              <w:bottom w:type="dxa" w:w="60"/>
              <w:right w:type="dxa" w:w="100"/>
            </w:tcMar>
            <w:vAlign w:val="center"/>
          </w:tcPr>
          <w:p>
            <w:pPr>
              <w:jc w:val="center"/>
            </w:pPr>
            <w:r>
              <w:rPr>
                <w:sz w:val="20"/>
                <w:szCs w:val="20"/>
              </w:rPr>
              <w:t xml:space="preserve">0.052%</w:t>
            </w:r>
          </w:p>
        </w:tc>
        <w:tc>
          <w:tcPr>
            <w:tcW w:type="dxa" w:w="900"/>
            <w:tcMar>
              <w:top w:type="dxa" w:w="60"/>
              <w:left w:type="dxa" w:w="100"/>
              <w:bottom w:type="dxa" w:w="60"/>
              <w:right w:type="dxa" w:w="100"/>
            </w:tcMar>
            <w:vAlign w:val="center"/>
          </w:tcPr>
          <w:p>
            <w:pPr>
              <w:jc w:val="center"/>
            </w:pPr>
            <w:r>
              <w:rPr>
                <w:sz w:val="20"/>
                <w:szCs w:val="20"/>
              </w:rPr>
              <w:t xml:space="preserve">55</w:t>
            </w:r>
          </w:p>
        </w:tc>
        <w:tc>
          <w:tcPr>
            <w:tcW w:type="dxa" w:w="800"/>
            <w:tcMar>
              <w:top w:type="dxa" w:w="60"/>
              <w:left w:type="dxa" w:w="100"/>
              <w:bottom w:type="dxa" w:w="60"/>
              <w:right w:type="dxa" w:w="100"/>
            </w:tcMar>
            <w:vAlign w:val="center"/>
          </w:tcPr>
          <w:p>
            <w:pPr>
              <w:jc w:val="center"/>
            </w:pPr>
            <w:r>
              <w:rPr>
                <w:sz w:val="20"/>
                <w:szCs w:val="20"/>
              </w:rPr>
              <w:t xml:space="preserve">10.43%</w:t>
            </w:r>
          </w:p>
        </w:tc>
      </w:tr>
      <w:tr>
        <w:tc>
          <w:tcPr>
            <w:tcW w:type="dxa" w:w="2700"/>
            <w:tcMar>
              <w:top w:type="dxa" w:w="60"/>
              <w:left w:type="dxa" w:w="100"/>
              <w:bottom w:type="dxa" w:w="60"/>
              <w:right w:type="dxa" w:w="100"/>
            </w:tcMar>
            <w:vAlign w:val="center"/>
          </w:tcPr>
          <w:p>
            <w:pPr>
              <w:jc w:val="left"/>
            </w:pPr>
            <w:r>
              <w:rPr>
                <w:sz w:val="20"/>
                <w:szCs w:val="20"/>
              </w:rPr>
              <w:t xml:space="preserve">65 KB, distillation + clipped inputs</w:t>
            </w:r>
          </w:p>
        </w:tc>
        <w:tc>
          <w:tcPr>
            <w:tcW w:type="dxa" w:w="1900"/>
            <w:tcMar>
              <w:top w:type="dxa" w:w="60"/>
              <w:left w:type="dxa" w:w="100"/>
              <w:bottom w:type="dxa" w:w="60"/>
              <w:right w:type="dxa" w:w="100"/>
            </w:tcMar>
            <w:vAlign w:val="center"/>
          </w:tcPr>
          <w:p>
            <w:pPr>
              <w:jc w:val="center"/>
            </w:pPr>
            <w:r>
              <w:rPr>
                <w:sz w:val="20"/>
                <w:szCs w:val="20"/>
              </w:rPr>
              <w:t xml:space="preserve">client val., recall ≥ 99.99%</w:t>
            </w:r>
          </w:p>
        </w:tc>
        <w:tc>
          <w:tcPr>
            <w:tcW w:type="dxa" w:w="800"/>
            <w:tcMar>
              <w:top w:type="dxa" w:w="60"/>
              <w:left w:type="dxa" w:w="100"/>
              <w:bottom w:type="dxa" w:w="60"/>
              <w:right w:type="dxa" w:w="100"/>
            </w:tcMar>
            <w:vAlign w:val="center"/>
          </w:tcPr>
          <w:p>
            <w:pPr>
              <w:jc w:val="center"/>
            </w:pPr>
            <w:r>
              <w:rPr>
                <w:sz w:val="20"/>
                <w:szCs w:val="20"/>
              </w:rPr>
              <w:t xml:space="preserve">0.171</w:t>
            </w:r>
          </w:p>
        </w:tc>
        <w:tc>
          <w:tcPr>
            <w:tcW w:type="dxa" w:w="1500"/>
            <w:tcMar>
              <w:top w:type="dxa" w:w="60"/>
              <w:left w:type="dxa" w:w="100"/>
              <w:bottom w:type="dxa" w:w="60"/>
              <w:right w:type="dxa" w:w="100"/>
            </w:tcMar>
            <w:vAlign w:val="center"/>
          </w:tcPr>
          <w:p>
            <w:pPr>
              <w:jc w:val="center"/>
            </w:pPr>
            <w:r>
              <w:rPr>
                <w:sz w:val="20"/>
                <w:szCs w:val="20"/>
              </w:rPr>
              <w:t xml:space="preserve">24 / 85,173</w:t>
            </w:r>
          </w:p>
        </w:tc>
        <w:tc>
          <w:tcPr>
            <w:tcW w:type="dxa" w:w="900"/>
            <w:tcMar>
              <w:top w:type="dxa" w:w="60"/>
              <w:left w:type="dxa" w:w="100"/>
              <w:bottom w:type="dxa" w:w="60"/>
              <w:right w:type="dxa" w:w="100"/>
            </w:tcMar>
            <w:vAlign w:val="center"/>
          </w:tcPr>
          <w:p>
            <w:pPr>
              <w:jc w:val="center"/>
            </w:pPr>
            <w:r>
              <w:rPr>
                <w:sz w:val="20"/>
                <w:szCs w:val="20"/>
              </w:rPr>
              <w:t xml:space="preserve">0.028%</w:t>
            </w:r>
          </w:p>
        </w:tc>
        <w:tc>
          <w:tcPr>
            <w:tcW w:type="dxa" w:w="900"/>
            <w:tcMar>
              <w:top w:type="dxa" w:w="60"/>
              <w:left w:type="dxa" w:w="100"/>
              <w:bottom w:type="dxa" w:w="60"/>
              <w:right w:type="dxa" w:w="100"/>
            </w:tcMar>
            <w:vAlign w:val="center"/>
          </w:tcPr>
          <w:p>
            <w:pPr>
              <w:jc w:val="center"/>
            </w:pPr>
            <w:r>
              <w:rPr>
                <w:sz w:val="20"/>
                <w:szCs w:val="20"/>
              </w:rPr>
              <w:t xml:space="preserve">25</w:t>
            </w:r>
          </w:p>
        </w:tc>
        <w:tc>
          <w:tcPr>
            <w:tcW w:type="dxa" w:w="800"/>
            <w:tcMar>
              <w:top w:type="dxa" w:w="60"/>
              <w:left w:type="dxa" w:w="100"/>
              <w:bottom w:type="dxa" w:w="60"/>
              <w:right w:type="dxa" w:w="100"/>
            </w:tcMar>
            <w:vAlign w:val="center"/>
          </w:tcPr>
          <w:p>
            <w:pPr>
              <w:jc w:val="center"/>
            </w:pPr>
            <w:r>
              <w:rPr>
                <w:sz w:val="20"/>
                <w:szCs w:val="20"/>
              </w:rPr>
              <w:t xml:space="preserve">14.33%</w:t>
            </w:r>
          </w:p>
        </w:tc>
      </w:tr>
      <w:tr>
        <w:tc>
          <w:tcPr>
            <w:tcW w:type="dxa" w:w="2700"/>
            <w:tcMar>
              <w:top w:type="dxa" w:w="60"/>
              <w:left w:type="dxa" w:w="100"/>
              <w:bottom w:type="dxa" w:w="60"/>
              <w:right w:type="dxa" w:w="100"/>
            </w:tcMar>
            <w:vAlign w:val="center"/>
          </w:tcPr>
          <w:p>
            <w:pPr>
              <w:jc w:val="left"/>
            </w:pPr>
            <w:r>
              <w:rPr>
                <w:sz w:val="20"/>
                <w:szCs w:val="20"/>
              </w:rPr>
              <w:t xml:space="preserve">65 KB, same + longer fine-tuning (6 + 4 ep)</w:t>
            </w:r>
          </w:p>
        </w:tc>
        <w:tc>
          <w:tcPr>
            <w:tcW w:type="dxa" w:w="1900"/>
            <w:tcMar>
              <w:top w:type="dxa" w:w="60"/>
              <w:left w:type="dxa" w:w="100"/>
              <w:bottom w:type="dxa" w:w="60"/>
              <w:right w:type="dxa" w:w="100"/>
            </w:tcMar>
            <w:vAlign w:val="center"/>
          </w:tcPr>
          <w:p>
            <w:pPr>
              <w:jc w:val="center"/>
            </w:pPr>
            <w:r>
              <w:rPr>
                <w:sz w:val="20"/>
                <w:szCs w:val="20"/>
              </w:rPr>
              <w:t xml:space="preserve">client val., recall ≥ 99.99%</w:t>
            </w:r>
          </w:p>
        </w:tc>
        <w:tc>
          <w:tcPr>
            <w:tcW w:type="dxa" w:w="800"/>
            <w:tcMar>
              <w:top w:type="dxa" w:w="60"/>
              <w:left w:type="dxa" w:w="100"/>
              <w:bottom w:type="dxa" w:w="60"/>
              <w:right w:type="dxa" w:w="100"/>
            </w:tcMar>
            <w:vAlign w:val="center"/>
          </w:tcPr>
          <w:p>
            <w:pPr>
              <w:jc w:val="center"/>
            </w:pPr>
            <w:r>
              <w:rPr>
                <w:sz w:val="20"/>
                <w:szCs w:val="20"/>
              </w:rPr>
              <w:t xml:space="preserve">0.184</w:t>
            </w:r>
          </w:p>
        </w:tc>
        <w:tc>
          <w:tcPr>
            <w:tcW w:type="dxa" w:w="1500"/>
            <w:tcMar>
              <w:top w:type="dxa" w:w="60"/>
              <w:left w:type="dxa" w:w="100"/>
              <w:bottom w:type="dxa" w:w="60"/>
              <w:right w:type="dxa" w:w="100"/>
            </w:tcMar>
            <w:vAlign w:val="center"/>
          </w:tcPr>
          <w:p>
            <w:pPr>
              <w:jc w:val="center"/>
            </w:pPr>
            <w:r>
              <w:rPr>
                <w:sz w:val="20"/>
                <w:szCs w:val="20"/>
              </w:rPr>
              <w:t xml:space="preserve">31 / 85,173</w:t>
            </w:r>
          </w:p>
        </w:tc>
        <w:tc>
          <w:tcPr>
            <w:tcW w:type="dxa" w:w="900"/>
            <w:tcMar>
              <w:top w:type="dxa" w:w="60"/>
              <w:left w:type="dxa" w:w="100"/>
              <w:bottom w:type="dxa" w:w="60"/>
              <w:right w:type="dxa" w:w="100"/>
            </w:tcMar>
            <w:vAlign w:val="center"/>
          </w:tcPr>
          <w:p>
            <w:pPr>
              <w:jc w:val="center"/>
            </w:pPr>
            <w:r>
              <w:rPr>
                <w:sz w:val="20"/>
                <w:szCs w:val="20"/>
              </w:rPr>
              <w:t xml:space="preserve">0.036%</w:t>
            </w:r>
          </w:p>
        </w:tc>
        <w:tc>
          <w:tcPr>
            <w:tcW w:type="dxa" w:w="900"/>
            <w:tcMar>
              <w:top w:type="dxa" w:w="60"/>
              <w:left w:type="dxa" w:w="100"/>
              <w:bottom w:type="dxa" w:w="60"/>
              <w:right w:type="dxa" w:w="100"/>
            </w:tcMar>
            <w:vAlign w:val="center"/>
          </w:tcPr>
          <w:p>
            <w:pPr>
              <w:jc w:val="center"/>
            </w:pPr>
            <w:r>
              <w:rPr>
                <w:sz w:val="20"/>
                <w:szCs w:val="20"/>
              </w:rPr>
              <w:t xml:space="preserve">45</w:t>
            </w:r>
          </w:p>
        </w:tc>
        <w:tc>
          <w:tcPr>
            <w:tcW w:type="dxa" w:w="800"/>
            <w:tcMar>
              <w:top w:type="dxa" w:w="60"/>
              <w:left w:type="dxa" w:w="100"/>
              <w:bottom w:type="dxa" w:w="60"/>
              <w:right w:type="dxa" w:w="100"/>
            </w:tcMar>
            <w:vAlign w:val="center"/>
          </w:tcPr>
          <w:p>
            <w:pPr>
              <w:jc w:val="center"/>
            </w:pPr>
            <w:r>
              <w:rPr>
                <w:sz w:val="20"/>
                <w:szCs w:val="20"/>
              </w:rPr>
              <w:t xml:space="preserve">10.94%</w:t>
            </w:r>
          </w:p>
        </w:tc>
      </w:tr>
      <w:tr>
        <w:tc>
          <w:tcPr>
            <w:tcW w:type="dxa" w:w="2700"/>
            <w:tcMar>
              <w:top w:type="dxa" w:w="60"/>
              <w:left w:type="dxa" w:w="100"/>
              <w:bottom w:type="dxa" w:w="60"/>
              <w:right w:type="dxa" w:w="100"/>
            </w:tcMar>
            <w:vAlign w:val="center"/>
          </w:tcPr>
          <w:p>
            <w:pPr>
              <w:jc w:val="left"/>
            </w:pPr>
            <w:r>
              <w:rPr>
                <w:sz w:val="20"/>
                <w:szCs w:val="20"/>
              </w:rPr>
              <w:t xml:space="preserve">65 KB, same + federated fine-tuning (4 clients)</w:t>
            </w:r>
          </w:p>
        </w:tc>
        <w:tc>
          <w:tcPr>
            <w:tcW w:type="dxa" w:w="1900"/>
            <w:tcMar>
              <w:top w:type="dxa" w:w="60"/>
              <w:left w:type="dxa" w:w="100"/>
              <w:bottom w:type="dxa" w:w="60"/>
              <w:right w:type="dxa" w:w="100"/>
            </w:tcMar>
            <w:vAlign w:val="center"/>
          </w:tcPr>
          <w:p>
            <w:pPr>
              <w:jc w:val="center"/>
            </w:pPr>
            <w:r>
              <w:rPr>
                <w:sz w:val="20"/>
                <w:szCs w:val="20"/>
              </w:rPr>
              <w:t xml:space="preserve">client val., recall ≥ 99.95%</w:t>
            </w:r>
          </w:p>
        </w:tc>
        <w:tc>
          <w:tcPr>
            <w:tcW w:type="dxa" w:w="800"/>
            <w:tcMar>
              <w:top w:type="dxa" w:w="60"/>
              <w:left w:type="dxa" w:w="100"/>
              <w:bottom w:type="dxa" w:w="60"/>
              <w:right w:type="dxa" w:w="100"/>
            </w:tcMar>
            <w:vAlign w:val="center"/>
          </w:tcPr>
          <w:p>
            <w:pPr>
              <w:jc w:val="center"/>
            </w:pPr>
            <w:r>
              <w:rPr>
                <w:sz w:val="20"/>
                <w:szCs w:val="20"/>
              </w:rPr>
              <w:t xml:space="preserve">0.204</w:t>
            </w:r>
          </w:p>
        </w:tc>
        <w:tc>
          <w:tcPr>
            <w:tcW w:type="dxa" w:w="1500"/>
            <w:tcMar>
              <w:top w:type="dxa" w:w="60"/>
              <w:left w:type="dxa" w:w="100"/>
              <w:bottom w:type="dxa" w:w="60"/>
              <w:right w:type="dxa" w:w="100"/>
            </w:tcMar>
            <w:vAlign w:val="center"/>
          </w:tcPr>
          <w:p>
            <w:pPr>
              <w:jc w:val="center"/>
            </w:pPr>
            <w:r>
              <w:rPr>
                <w:sz w:val="20"/>
                <w:szCs w:val="20"/>
              </w:rPr>
              <w:t xml:space="preserve">51 / 85,173</w:t>
            </w:r>
          </w:p>
        </w:tc>
        <w:tc>
          <w:tcPr>
            <w:tcW w:type="dxa" w:w="900"/>
            <w:tcMar>
              <w:top w:type="dxa" w:w="60"/>
              <w:left w:type="dxa" w:w="100"/>
              <w:bottom w:type="dxa" w:w="60"/>
              <w:right w:type="dxa" w:w="100"/>
            </w:tcMar>
            <w:vAlign w:val="center"/>
          </w:tcPr>
          <w:p>
            <w:pPr>
              <w:jc w:val="center"/>
            </w:pPr>
            <w:r>
              <w:rPr>
                <w:sz w:val="20"/>
                <w:szCs w:val="20"/>
              </w:rPr>
              <w:t xml:space="preserve">0.060%</w:t>
            </w:r>
          </w:p>
        </w:tc>
        <w:tc>
          <w:tcPr>
            <w:tcW w:type="dxa" w:w="900"/>
            <w:tcMar>
              <w:top w:type="dxa" w:w="60"/>
              <w:left w:type="dxa" w:w="100"/>
              <w:bottom w:type="dxa" w:w="60"/>
              <w:right w:type="dxa" w:w="100"/>
            </w:tcMar>
            <w:vAlign w:val="center"/>
          </w:tcPr>
          <w:p>
            <w:pPr>
              <w:jc w:val="center"/>
            </w:pPr>
            <w:r>
              <w:rPr>
                <w:sz w:val="20"/>
                <w:szCs w:val="20"/>
              </w:rPr>
              <w:t xml:space="preserve">79</w:t>
            </w:r>
          </w:p>
        </w:tc>
        <w:tc>
          <w:tcPr>
            <w:tcW w:type="dxa" w:w="800"/>
            <w:tcMar>
              <w:top w:type="dxa" w:w="60"/>
              <w:left w:type="dxa" w:w="100"/>
              <w:bottom w:type="dxa" w:w="60"/>
              <w:right w:type="dxa" w:w="100"/>
            </w:tcMar>
            <w:vAlign w:val="center"/>
          </w:tcPr>
          <w:p>
            <w:pPr>
              <w:jc w:val="center"/>
            </w:pPr>
            <w:r>
              <w:rPr>
                <w:sz w:val="20"/>
                <w:szCs w:val="20"/>
              </w:rPr>
              <w:t xml:space="preserve">9.31%</w:t>
            </w:r>
          </w:p>
        </w:tc>
      </w:tr>
      <w:tr>
        <w:tc>
          <w:tcPr>
            <w:tcW w:type="dxa" w:w="2700"/>
            <w:tcMar>
              <w:top w:type="dxa" w:w="60"/>
              <w:left w:type="dxa" w:w="100"/>
              <w:bottom w:type="dxa" w:w="60"/>
              <w:right w:type="dxa" w:w="100"/>
            </w:tcMar>
            <w:vAlign w:val="center"/>
          </w:tcPr>
          <w:p>
            <w:pPr>
              <w:jc w:val="left"/>
            </w:pPr>
            <w:r>
              <w:rPr>
                <w:sz w:val="20"/>
                <w:szCs w:val="20"/>
              </w:rPr>
              <w:t xml:space="preserve">65 KB, same + federated fine-tuning (4 clients)</w:t>
            </w:r>
          </w:p>
        </w:tc>
        <w:tc>
          <w:tcPr>
            <w:tcW w:type="dxa" w:w="1900"/>
            <w:tcMar>
              <w:top w:type="dxa" w:w="60"/>
              <w:left w:type="dxa" w:w="100"/>
              <w:bottom w:type="dxa" w:w="60"/>
              <w:right w:type="dxa" w:w="100"/>
            </w:tcMar>
            <w:vAlign w:val="center"/>
          </w:tcPr>
          <w:p>
            <w:pPr>
              <w:jc w:val="center"/>
            </w:pPr>
            <w:r>
              <w:rPr>
                <w:sz w:val="20"/>
                <w:szCs w:val="20"/>
              </w:rPr>
              <w:t xml:space="preserve">client val., recall ≥ 99.99%</w:t>
            </w:r>
          </w:p>
        </w:tc>
        <w:tc>
          <w:tcPr>
            <w:tcW w:type="dxa" w:w="800"/>
            <w:tcMar>
              <w:top w:type="dxa" w:w="60"/>
              <w:left w:type="dxa" w:w="100"/>
              <w:bottom w:type="dxa" w:w="60"/>
              <w:right w:type="dxa" w:w="100"/>
            </w:tcMar>
            <w:vAlign w:val="center"/>
          </w:tcPr>
          <w:p>
            <w:pPr>
              <w:jc w:val="center"/>
            </w:pPr>
            <w:r>
              <w:rPr>
                <w:sz w:val="20"/>
                <w:szCs w:val="20"/>
              </w:rPr>
              <w:t xml:space="preserve">0.180</w:t>
            </w:r>
          </w:p>
        </w:tc>
        <w:tc>
          <w:tcPr>
            <w:tcW w:type="dxa" w:w="1500"/>
            <w:tcMar>
              <w:top w:type="dxa" w:w="60"/>
              <w:left w:type="dxa" w:w="100"/>
              <w:bottom w:type="dxa" w:w="60"/>
              <w:right w:type="dxa" w:w="100"/>
            </w:tcMar>
            <w:vAlign w:val="center"/>
          </w:tcPr>
          <w:p>
            <w:pPr>
              <w:jc w:val="center"/>
            </w:pPr>
            <w:r>
              <w:rPr>
                <w:sz w:val="20"/>
                <w:szCs w:val="20"/>
              </w:rPr>
              <w:t xml:space="preserve">27 / 85,173</w:t>
            </w:r>
          </w:p>
        </w:tc>
        <w:tc>
          <w:tcPr>
            <w:tcW w:type="dxa" w:w="900"/>
            <w:tcMar>
              <w:top w:type="dxa" w:w="60"/>
              <w:left w:type="dxa" w:w="100"/>
              <w:bottom w:type="dxa" w:w="60"/>
              <w:right w:type="dxa" w:w="100"/>
            </w:tcMar>
            <w:vAlign w:val="center"/>
          </w:tcPr>
          <w:p>
            <w:pPr>
              <w:jc w:val="center"/>
            </w:pPr>
            <w:r>
              <w:rPr>
                <w:sz w:val="20"/>
                <w:szCs w:val="20"/>
              </w:rPr>
              <w:t xml:space="preserve">0.032%</w:t>
            </w:r>
          </w:p>
        </w:tc>
        <w:tc>
          <w:tcPr>
            <w:tcW w:type="dxa" w:w="900"/>
            <w:tcMar>
              <w:top w:type="dxa" w:w="60"/>
              <w:left w:type="dxa" w:w="100"/>
              <w:bottom w:type="dxa" w:w="60"/>
              <w:right w:type="dxa" w:w="100"/>
            </w:tcMar>
            <w:vAlign w:val="center"/>
          </w:tcPr>
          <w:p>
            <w:pPr>
              <w:jc w:val="center"/>
            </w:pPr>
            <w:r>
              <w:rPr>
                <w:sz w:val="20"/>
                <w:szCs w:val="20"/>
              </w:rPr>
              <w:t xml:space="preserve">33</w:t>
            </w:r>
          </w:p>
        </w:tc>
        <w:tc>
          <w:tcPr>
            <w:tcW w:type="dxa" w:w="800"/>
            <w:tcMar>
              <w:top w:type="dxa" w:w="60"/>
              <w:left w:type="dxa" w:w="100"/>
              <w:bottom w:type="dxa" w:w="60"/>
              <w:right w:type="dxa" w:w="100"/>
            </w:tcMar>
            <w:vAlign w:val="center"/>
          </w:tcPr>
          <w:p>
            <w:pPr>
              <w:jc w:val="center"/>
            </w:pPr>
            <w:r>
              <w:rPr>
                <w:sz w:val="20"/>
                <w:szCs w:val="20"/>
              </w:rPr>
              <w:t xml:space="preserve">11.28%</w:t>
            </w:r>
          </w:p>
        </w:tc>
      </w:tr>
      <w:tr>
        <w:tc>
          <w:tcPr>
            <w:tcW w:type="dxa" w:w="2700"/>
            <w:tcMar>
              <w:top w:type="dxa" w:w="60"/>
              <w:left w:type="dxa" w:w="100"/>
              <w:bottom w:type="dxa" w:w="60"/>
              <w:right w:type="dxa" w:w="100"/>
            </w:tcMar>
            <w:vAlign w:val="center"/>
          </w:tcPr>
          <w:p>
            <w:pPr>
              <w:jc w:val="left"/>
            </w:pPr>
            <w:r>
              <w:rPr>
                <w:sz w:val="20"/>
                <w:szCs w:val="20"/>
              </w:rPr>
              <w:t xml:space="preserve">112 KB (prune 30%), distillation + clipped inputs</w:t>
            </w:r>
          </w:p>
        </w:tc>
        <w:tc>
          <w:tcPr>
            <w:tcW w:type="dxa" w:w="1900"/>
            <w:tcMar>
              <w:top w:type="dxa" w:w="60"/>
              <w:left w:type="dxa" w:w="100"/>
              <w:bottom w:type="dxa" w:w="60"/>
              <w:right w:type="dxa" w:w="100"/>
            </w:tcMar>
            <w:vAlign w:val="center"/>
          </w:tcPr>
          <w:p>
            <w:pPr>
              <w:jc w:val="center"/>
            </w:pPr>
            <w:r>
              <w:rPr>
                <w:sz w:val="20"/>
                <w:szCs w:val="20"/>
              </w:rPr>
              <w:t xml:space="preserve">client val., recall ≥ 99.95%</w:t>
            </w:r>
          </w:p>
        </w:tc>
        <w:tc>
          <w:tcPr>
            <w:tcW w:type="dxa" w:w="800"/>
            <w:tcMar>
              <w:top w:type="dxa" w:w="60"/>
              <w:left w:type="dxa" w:w="100"/>
              <w:bottom w:type="dxa" w:w="60"/>
              <w:right w:type="dxa" w:w="100"/>
            </w:tcMar>
            <w:vAlign w:val="center"/>
          </w:tcPr>
          <w:p>
            <w:pPr>
              <w:jc w:val="center"/>
            </w:pPr>
            <w:r>
              <w:rPr>
                <w:sz w:val="20"/>
                <w:szCs w:val="20"/>
              </w:rPr>
              <w:t xml:space="preserve">0.221</w:t>
            </w:r>
          </w:p>
        </w:tc>
        <w:tc>
          <w:tcPr>
            <w:tcW w:type="dxa" w:w="1500"/>
            <w:tcMar>
              <w:top w:type="dxa" w:w="60"/>
              <w:left w:type="dxa" w:w="100"/>
              <w:bottom w:type="dxa" w:w="60"/>
              <w:right w:type="dxa" w:w="100"/>
            </w:tcMar>
            <w:vAlign w:val="center"/>
          </w:tcPr>
          <w:p>
            <w:pPr>
              <w:jc w:val="center"/>
            </w:pPr>
            <w:r>
              <w:rPr>
                <w:sz w:val="20"/>
                <w:szCs w:val="20"/>
              </w:rPr>
              <w:t xml:space="preserve">54 / 85,173</w:t>
            </w:r>
          </w:p>
        </w:tc>
        <w:tc>
          <w:tcPr>
            <w:tcW w:type="dxa" w:w="900"/>
            <w:tcMar>
              <w:top w:type="dxa" w:w="60"/>
              <w:left w:type="dxa" w:w="100"/>
              <w:bottom w:type="dxa" w:w="60"/>
              <w:right w:type="dxa" w:w="100"/>
            </w:tcMar>
            <w:vAlign w:val="center"/>
          </w:tcPr>
          <w:p>
            <w:pPr>
              <w:jc w:val="center"/>
            </w:pPr>
            <w:r>
              <w:rPr>
                <w:sz w:val="20"/>
                <w:szCs w:val="20"/>
              </w:rPr>
              <w:t xml:space="preserve">0.063%</w:t>
            </w:r>
          </w:p>
        </w:tc>
        <w:tc>
          <w:tcPr>
            <w:tcW w:type="dxa" w:w="900"/>
            <w:tcMar>
              <w:top w:type="dxa" w:w="60"/>
              <w:left w:type="dxa" w:w="100"/>
              <w:bottom w:type="dxa" w:w="60"/>
              <w:right w:type="dxa" w:w="100"/>
            </w:tcMar>
            <w:vAlign w:val="center"/>
          </w:tcPr>
          <w:p>
            <w:pPr>
              <w:jc w:val="center"/>
            </w:pPr>
            <w:r>
              <w:rPr>
                <w:sz w:val="20"/>
                <w:szCs w:val="20"/>
              </w:rPr>
              <w:t xml:space="preserve">73</w:t>
            </w:r>
          </w:p>
        </w:tc>
        <w:tc>
          <w:tcPr>
            <w:tcW w:type="dxa" w:w="800"/>
            <w:tcMar>
              <w:top w:type="dxa" w:w="60"/>
              <w:left w:type="dxa" w:w="100"/>
              <w:bottom w:type="dxa" w:w="60"/>
              <w:right w:type="dxa" w:w="100"/>
            </w:tcMar>
            <w:vAlign w:val="center"/>
          </w:tcPr>
          <w:p>
            <w:pPr>
              <w:jc w:val="center"/>
            </w:pPr>
            <w:r>
              <w:rPr>
                <w:sz w:val="20"/>
                <w:szCs w:val="20"/>
              </w:rPr>
              <w:t xml:space="preserve">7.63%</w:t>
            </w:r>
          </w:p>
        </w:tc>
      </w:tr>
      <w:tr>
        <w:tc>
          <w:tcPr>
            <w:tcW w:type="dxa" w:w="2700"/>
            <w:tcMar>
              <w:top w:type="dxa" w:w="60"/>
              <w:left w:type="dxa" w:w="100"/>
              <w:bottom w:type="dxa" w:w="60"/>
              <w:right w:type="dxa" w:w="100"/>
            </w:tcMar>
            <w:vAlign w:val="center"/>
          </w:tcPr>
          <w:p>
            <w:pPr>
              <w:jc w:val="left"/>
            </w:pPr>
            <w:r>
              <w:rPr>
                <w:sz w:val="20"/>
                <w:szCs w:val="20"/>
              </w:rPr>
              <w:t xml:space="preserve">112 KB (prune 30%), distillation + clipped inputs</w:t>
            </w:r>
          </w:p>
        </w:tc>
        <w:tc>
          <w:tcPr>
            <w:tcW w:type="dxa" w:w="1900"/>
            <w:tcMar>
              <w:top w:type="dxa" w:w="60"/>
              <w:left w:type="dxa" w:w="100"/>
              <w:bottom w:type="dxa" w:w="60"/>
              <w:right w:type="dxa" w:w="100"/>
            </w:tcMar>
            <w:vAlign w:val="center"/>
          </w:tcPr>
          <w:p>
            <w:pPr>
              <w:jc w:val="center"/>
            </w:pPr>
            <w:r>
              <w:rPr>
                <w:sz w:val="20"/>
                <w:szCs w:val="20"/>
              </w:rPr>
              <w:t xml:space="preserve">client val., recall ≥ 99.99%</w:t>
            </w:r>
          </w:p>
        </w:tc>
        <w:tc>
          <w:tcPr>
            <w:tcW w:type="dxa" w:w="800"/>
            <w:tcMar>
              <w:top w:type="dxa" w:w="60"/>
              <w:left w:type="dxa" w:w="100"/>
              <w:bottom w:type="dxa" w:w="60"/>
              <w:right w:type="dxa" w:w="100"/>
            </w:tcMar>
            <w:vAlign w:val="center"/>
          </w:tcPr>
          <w:p>
            <w:pPr>
              <w:jc w:val="center"/>
            </w:pPr>
            <w:r>
              <w:rPr>
                <w:sz w:val="20"/>
                <w:szCs w:val="20"/>
              </w:rPr>
              <w:t xml:space="preserve">0.189</w:t>
            </w:r>
          </w:p>
        </w:tc>
        <w:tc>
          <w:tcPr>
            <w:tcW w:type="dxa" w:w="1500"/>
            <w:tcMar>
              <w:top w:type="dxa" w:w="60"/>
              <w:left w:type="dxa" w:w="100"/>
              <w:bottom w:type="dxa" w:w="60"/>
              <w:right w:type="dxa" w:w="100"/>
            </w:tcMar>
            <w:vAlign w:val="center"/>
          </w:tcPr>
          <w:p>
            <w:pPr>
              <w:jc w:val="center"/>
            </w:pPr>
            <w:r>
              <w:rPr>
                <w:sz w:val="20"/>
                <w:szCs w:val="20"/>
              </w:rPr>
              <w:t xml:space="preserve">23 / 85,173</w:t>
            </w:r>
          </w:p>
        </w:tc>
        <w:tc>
          <w:tcPr>
            <w:tcW w:type="dxa" w:w="900"/>
            <w:tcMar>
              <w:top w:type="dxa" w:w="60"/>
              <w:left w:type="dxa" w:w="100"/>
              <w:bottom w:type="dxa" w:w="60"/>
              <w:right w:type="dxa" w:w="100"/>
            </w:tcMar>
            <w:vAlign w:val="center"/>
          </w:tcPr>
          <w:p>
            <w:pPr>
              <w:jc w:val="center"/>
            </w:pPr>
            <w:r>
              <w:rPr>
                <w:sz w:val="20"/>
                <w:szCs w:val="20"/>
              </w:rPr>
              <w:t xml:space="preserve">0.027%</w:t>
            </w:r>
          </w:p>
        </w:tc>
        <w:tc>
          <w:tcPr>
            <w:tcW w:type="dxa" w:w="900"/>
            <w:tcMar>
              <w:top w:type="dxa" w:w="60"/>
              <w:left w:type="dxa" w:w="100"/>
              <w:bottom w:type="dxa" w:w="60"/>
              <w:right w:type="dxa" w:w="100"/>
            </w:tcMar>
            <w:vAlign w:val="center"/>
          </w:tcPr>
          <w:p>
            <w:pPr>
              <w:jc w:val="center"/>
            </w:pPr>
            <w:r>
              <w:rPr>
                <w:sz w:val="20"/>
                <w:szCs w:val="20"/>
              </w:rPr>
              <w:t xml:space="preserve">27</w:t>
            </w:r>
          </w:p>
        </w:tc>
        <w:tc>
          <w:tcPr>
            <w:tcW w:type="dxa" w:w="800"/>
            <w:tcMar>
              <w:top w:type="dxa" w:w="60"/>
              <w:left w:type="dxa" w:w="100"/>
              <w:bottom w:type="dxa" w:w="60"/>
              <w:right w:type="dxa" w:w="100"/>
            </w:tcMar>
            <w:vAlign w:val="center"/>
          </w:tcPr>
          <w:p>
            <w:pPr>
              <w:jc w:val="center"/>
            </w:pPr>
            <w:r>
              <w:rPr>
                <w:sz w:val="20"/>
                <w:szCs w:val="20"/>
              </w:rPr>
              <w:t xml:space="preserve">9.65%</w:t>
            </w:r>
          </w:p>
        </w:tc>
      </w:tr>
      <w:tr>
        <w:tc>
          <w:tcPr>
            <w:tcW w:type="dxa" w:w="2700"/>
            <w:tcMar>
              <w:top w:type="dxa" w:w="60"/>
              <w:left w:type="dxa" w:w="100"/>
              <w:bottom w:type="dxa" w:w="60"/>
              <w:right w:type="dxa" w:w="100"/>
            </w:tcMar>
            <w:vAlign w:val="center"/>
          </w:tcPr>
          <w:p>
            <w:pPr>
              <w:jc w:val="left"/>
            </w:pPr>
            <w:r>
              <w:rPr>
                <w:sz w:val="20"/>
                <w:szCs w:val="20"/>
              </w:rPr>
              <w:t xml:space="preserve">207 KB (no pruning), distillation + clipped inputs</w:t>
            </w:r>
          </w:p>
        </w:tc>
        <w:tc>
          <w:tcPr>
            <w:tcW w:type="dxa" w:w="1900"/>
            <w:tcMar>
              <w:top w:type="dxa" w:w="60"/>
              <w:left w:type="dxa" w:w="100"/>
              <w:bottom w:type="dxa" w:w="60"/>
              <w:right w:type="dxa" w:w="100"/>
            </w:tcMar>
            <w:vAlign w:val="center"/>
          </w:tcPr>
          <w:p>
            <w:pPr>
              <w:jc w:val="center"/>
            </w:pPr>
            <w:r>
              <w:rPr>
                <w:sz w:val="20"/>
                <w:szCs w:val="20"/>
              </w:rPr>
              <w:t xml:space="preserve">client val., recall ≥ 99.95%</w:t>
            </w:r>
          </w:p>
        </w:tc>
        <w:tc>
          <w:tcPr>
            <w:tcW w:type="dxa" w:w="800"/>
            <w:tcMar>
              <w:top w:type="dxa" w:w="60"/>
              <w:left w:type="dxa" w:w="100"/>
              <w:bottom w:type="dxa" w:w="60"/>
              <w:right w:type="dxa" w:w="100"/>
            </w:tcMar>
            <w:vAlign w:val="center"/>
          </w:tcPr>
          <w:p>
            <w:pPr>
              <w:jc w:val="center"/>
            </w:pPr>
            <w:r>
              <w:rPr>
                <w:sz w:val="20"/>
                <w:szCs w:val="20"/>
              </w:rPr>
              <w:t xml:space="preserve">0.229</w:t>
            </w:r>
          </w:p>
        </w:tc>
        <w:tc>
          <w:tcPr>
            <w:tcW w:type="dxa" w:w="1500"/>
            <w:tcMar>
              <w:top w:type="dxa" w:w="60"/>
              <w:left w:type="dxa" w:w="100"/>
              <w:bottom w:type="dxa" w:w="60"/>
              <w:right w:type="dxa" w:w="100"/>
            </w:tcMar>
            <w:vAlign w:val="center"/>
          </w:tcPr>
          <w:p>
            <w:pPr>
              <w:jc w:val="center"/>
            </w:pPr>
            <w:r>
              <w:rPr>
                <w:sz w:val="20"/>
                <w:szCs w:val="20"/>
              </w:rPr>
              <w:t xml:space="preserve">51 / 85,173</w:t>
            </w:r>
          </w:p>
        </w:tc>
        <w:tc>
          <w:tcPr>
            <w:tcW w:type="dxa" w:w="900"/>
            <w:tcMar>
              <w:top w:type="dxa" w:w="60"/>
              <w:left w:type="dxa" w:w="100"/>
              <w:bottom w:type="dxa" w:w="60"/>
              <w:right w:type="dxa" w:w="100"/>
            </w:tcMar>
            <w:vAlign w:val="center"/>
          </w:tcPr>
          <w:p>
            <w:pPr>
              <w:jc w:val="center"/>
            </w:pPr>
            <w:r>
              <w:rPr>
                <w:sz w:val="20"/>
                <w:szCs w:val="20"/>
              </w:rPr>
              <w:t xml:space="preserve">0.060%</w:t>
            </w:r>
          </w:p>
        </w:tc>
        <w:tc>
          <w:tcPr>
            <w:tcW w:type="dxa" w:w="900"/>
            <w:tcMar>
              <w:top w:type="dxa" w:w="60"/>
              <w:left w:type="dxa" w:w="100"/>
              <w:bottom w:type="dxa" w:w="60"/>
              <w:right w:type="dxa" w:w="100"/>
            </w:tcMar>
            <w:vAlign w:val="center"/>
          </w:tcPr>
          <w:p>
            <w:pPr>
              <w:jc w:val="center"/>
            </w:pPr>
            <w:r>
              <w:rPr>
                <w:sz w:val="20"/>
                <w:szCs w:val="20"/>
              </w:rPr>
              <w:t xml:space="preserve">52</w:t>
            </w:r>
          </w:p>
        </w:tc>
        <w:tc>
          <w:tcPr>
            <w:tcW w:type="dxa" w:w="800"/>
            <w:tcMar>
              <w:top w:type="dxa" w:w="60"/>
              <w:left w:type="dxa" w:w="100"/>
              <w:bottom w:type="dxa" w:w="60"/>
              <w:right w:type="dxa" w:w="100"/>
            </w:tcMar>
            <w:vAlign w:val="center"/>
          </w:tcPr>
          <w:p>
            <w:pPr>
              <w:jc w:val="center"/>
            </w:pPr>
            <w:r>
              <w:rPr>
                <w:sz w:val="20"/>
                <w:szCs w:val="20"/>
              </w:rPr>
              <w:t xml:space="preserve">6.71%</w:t>
            </w:r>
          </w:p>
        </w:tc>
      </w:tr>
      <w:tr>
        <w:tc>
          <w:tcPr>
            <w:tcW w:type="dxa" w:w="2700"/>
            <w:tcMar>
              <w:top w:type="dxa" w:w="60"/>
              <w:left w:type="dxa" w:w="100"/>
              <w:bottom w:type="dxa" w:w="60"/>
              <w:right w:type="dxa" w:w="100"/>
            </w:tcMar>
            <w:vAlign w:val="center"/>
          </w:tcPr>
          <w:p>
            <w:pPr>
              <w:jc w:val="left"/>
            </w:pPr>
            <w:r>
              <w:rPr>
                <w:sz w:val="20"/>
                <w:szCs w:val="20"/>
              </w:rPr>
              <w:t xml:space="preserve">207 KB (no pruning), distillation + clipped inputs</w:t>
            </w:r>
          </w:p>
        </w:tc>
        <w:tc>
          <w:tcPr>
            <w:tcW w:type="dxa" w:w="1900"/>
            <w:tcMar>
              <w:top w:type="dxa" w:w="60"/>
              <w:left w:type="dxa" w:w="100"/>
              <w:bottom w:type="dxa" w:w="60"/>
              <w:right w:type="dxa" w:w="100"/>
            </w:tcMar>
            <w:vAlign w:val="center"/>
          </w:tcPr>
          <w:p>
            <w:pPr>
              <w:jc w:val="center"/>
            </w:pPr>
            <w:r>
              <w:rPr>
                <w:sz w:val="20"/>
                <w:szCs w:val="20"/>
              </w:rPr>
              <w:t xml:space="preserve">client val., recall ≥ 99.99%</w:t>
            </w:r>
          </w:p>
        </w:tc>
        <w:tc>
          <w:tcPr>
            <w:tcW w:type="dxa" w:w="800"/>
            <w:tcMar>
              <w:top w:type="dxa" w:w="60"/>
              <w:left w:type="dxa" w:w="100"/>
              <w:bottom w:type="dxa" w:w="60"/>
              <w:right w:type="dxa" w:w="100"/>
            </w:tcMar>
            <w:vAlign w:val="center"/>
          </w:tcPr>
          <w:p>
            <w:pPr>
              <w:jc w:val="center"/>
            </w:pPr>
            <w:r>
              <w:rPr>
                <w:sz w:val="20"/>
                <w:szCs w:val="20"/>
              </w:rPr>
              <w:t xml:space="preserve">0.182</w:t>
            </w:r>
          </w:p>
        </w:tc>
        <w:tc>
          <w:tcPr>
            <w:tcW w:type="dxa" w:w="1500"/>
            <w:tcMar>
              <w:top w:type="dxa" w:w="60"/>
              <w:left w:type="dxa" w:w="100"/>
              <w:bottom w:type="dxa" w:w="60"/>
              <w:right w:type="dxa" w:w="100"/>
            </w:tcMar>
            <w:vAlign w:val="center"/>
          </w:tcPr>
          <w:p>
            <w:pPr>
              <w:jc w:val="center"/>
            </w:pPr>
            <w:r>
              <w:rPr>
                <w:sz w:val="20"/>
                <w:szCs w:val="20"/>
              </w:rPr>
              <w:t xml:space="preserve">23 / 85,173</w:t>
            </w:r>
          </w:p>
        </w:tc>
        <w:tc>
          <w:tcPr>
            <w:tcW w:type="dxa" w:w="900"/>
            <w:tcMar>
              <w:top w:type="dxa" w:w="60"/>
              <w:left w:type="dxa" w:w="100"/>
              <w:bottom w:type="dxa" w:w="60"/>
              <w:right w:type="dxa" w:w="100"/>
            </w:tcMar>
            <w:vAlign w:val="center"/>
          </w:tcPr>
          <w:p>
            <w:pPr>
              <w:jc w:val="center"/>
            </w:pPr>
            <w:r>
              <w:rPr>
                <w:sz w:val="20"/>
                <w:szCs w:val="20"/>
              </w:rPr>
              <w:t xml:space="preserve">0.027%</w:t>
            </w:r>
          </w:p>
        </w:tc>
        <w:tc>
          <w:tcPr>
            <w:tcW w:type="dxa" w:w="900"/>
            <w:tcMar>
              <w:top w:type="dxa" w:w="60"/>
              <w:left w:type="dxa" w:w="100"/>
              <w:bottom w:type="dxa" w:w="60"/>
              <w:right w:type="dxa" w:w="100"/>
            </w:tcMar>
            <w:vAlign w:val="center"/>
          </w:tcPr>
          <w:p>
            <w:pPr>
              <w:jc w:val="center"/>
            </w:pPr>
            <w:r>
              <w:rPr>
                <w:sz w:val="20"/>
                <w:szCs w:val="20"/>
              </w:rPr>
              <w:t xml:space="preserve">28</w:t>
            </w:r>
          </w:p>
        </w:tc>
        <w:tc>
          <w:tcPr>
            <w:tcW w:type="dxa" w:w="800"/>
            <w:tcMar>
              <w:top w:type="dxa" w:w="60"/>
              <w:left w:type="dxa" w:w="100"/>
              <w:bottom w:type="dxa" w:w="60"/>
              <w:right w:type="dxa" w:w="100"/>
            </w:tcMar>
            <w:vAlign w:val="center"/>
          </w:tcPr>
          <w:p>
            <w:pPr>
              <w:jc w:val="center"/>
            </w:pPr>
            <w:r>
              <w:rPr>
                <w:sz w:val="20"/>
                <w:szCs w:val="20"/>
              </w:rPr>
              <w:t xml:space="preserve">10.39%</w:t>
            </w:r>
          </w:p>
        </w:tc>
      </w:tr>
    </w:tbl>
    <w:p>
      <w:pPr>
        <w:spacing w:after="240" w:before="80"/>
      </w:pPr>
      <w:r>
        <w:rPr>
          <w:i/>
          <w:iCs/>
          <w:sz w:val="20"/>
          <w:szCs w:val="20"/>
        </w:rPr>
        <w:t xml:space="preserve">Table 11. Recall-priority deployment on CIC-IDS2017 (85,173 test attacks). All models: structured pruning (50% unless stated) → fine-tuning → QAT fine-tuning → INT8, on client 0's data unless "federated fine-tuning" (FedAvg over all four clients' local data after every epoch); means over three fine-tuning draws. "Client val.": threshold chosen on 20,000 held-out samples of client 0 to reach the stated recall there.</w:t>
      </w:r>
    </w:p>
    <w:p>
      <w:pPr>
        <w:spacing w:after="160"/>
      </w:pPr>
      <w:r>
        <w:t xml:space="preserve">Lowering the threshold of the base-recipe model alone does reach the FP32 model's missed-attack count (44), but only at a 23.4% FAR. The hard-label QAT model pushes most attack and benign scores into the lowest output levels, and the selected thresholds (0.004–0.012) are one to three steps of the INT8 output's 1/256 resolution, so the threshold cannot be tuned finely. Distillation keeps the student's scores in the middle of the range, where the INT8 output has resolution (selected thresholds 0.15–0.26), and clipping the inputs during fine-tuning (Section 5.12) separates the classes further. Together they let the 65 KB model miss 44 attacks, fewer than the FP32 model at 0.3, at a 10.4% FAR, or 24 attacks at a 14.3% FAR. A 4× attack weight, pure teacher targets (α = 0; 66 missed at 18.5% FAR), and five times more fine-tuning data (50,000 samples; 40 missed at 17.9% FAR) do not do better. Measured at equal recall, compression still costs FAR: on the test sweep the FP32 model misses 22 attacks at an 11.0% FAR, against 24 at 14.3% for the best 65 KB model.</w:t>
      </w:r>
    </w:p>
    <w:p>
      <w:pPr>
        <w:spacing w:after="160"/>
      </w:pPr>
      <w:r>
        <w:t xml:space="preserve">The client's own held-out data is a reliable guide. Its FAR predicts the test FAR to within 0.35 points in every draw, and the 99.9% and 99.95% recall targets are met on the test split on average (99.91% and 99.95%). The 99.99% target is not (99.97%): with about 10,000 attacks in the client validation set it allows a single miss, and the client data are SMOTE-augmented, so very high recall targets need a larger validation set.</w:t>
      </w:r>
    </w:p>
    <w:p>
      <w:pPr>
        <w:spacing w:after="160"/>
      </w:pPr>
      <w:r>
        <w:t xml:space="preserve">Three further levers improve the trade-off (lower rows of Table 11). Federated fine-tuning, in which all four clients fine-tune on their own data and the server averages the weights after every fine-tuning and QAT epoch, gives the best 65 KB operating points: 27 missed attacks at an 11.3% FAR, against 24 at 14.3% when client 0 fine-tunes alone, or 51 at 9.3%. It also removes the dependence on a single fine-tuning client (Section 5.4) without moving any data. Longer fine-tuning helps to a similar degree (31 missed at 10.9%), whereas a higher distillation temperature (T = 4) is worse (39 missed at 13.0%). Pruning less trades flash for false alarms: at 112 KB (30% pruning) the model misses 23 attacks at a 9.7% FAR, and at 207 KB (no pruning) 51 at 6.7%. The larger models thus reach the FP32 model's missed-attack counts at a lower FAR than the FP32 model itself (52 missed at 6.84%, 22 at 11.0% on the test sweep), because distillation on clipped inputs moves the whole recall–FAR curve and not only the operating point.</w:t>
      </w:r>
    </w:p>
    <w:p>
      <w:pPr>
        <w:spacing w:after="160"/>
      </w:pPr>
      <w:r>
        <w:t xml:space="preserve">The remaining misses show where the ceiling is (Table 12). At the 99.99% target the best models miss 22–31 of 85,173 attacks. The FP32 federated model itself misses 7 of the 11 Infiltration test flows and 1 of the 4 SQL-injection flows at every threshold for which we recorded attack types, and 11–32 of 368 Bot flows depending on the threshold; Infiltration has only 25 training flows. The compressed models share these misses, and compression adds one of its own: the 65 KB models miss on average 3.3 of the 5 Heartbleed test flows, which the FP32 model detects, whereas the 112 KB model detects all five. Heartbleed has only 6 training flows, and halving the hidden layers evidently removes the capacity that represented them. All other attack types lose at most a few flows in tens of thousands. Engelen et al. [24] also report labelling errors in CIC-IDS2017, including attack-labelled flows without malicious content, which we did not check for these flows. Fewer misses would therefore require a better federated model (for example, class-aware objectives for rare attack types or corrected labels), not a better compression pipeline.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400"/>
        <w:gridCol w:w="1600"/>
        <w:gridCol w:w="1700"/>
        <w:gridCol w:w="1300"/>
      </w:tblGrid>
      <w:tr>
        <w:trPr>
          <w:tblHeader/>
        </w:trPr>
        <w:tc>
          <w:tcPr>
            <w:tcW w:type="dxa" w:w="2600"/>
            <w:shd w:fill="D9E2F3" w:val="clear"/>
            <w:tcMar>
              <w:top w:type="dxa" w:w="60"/>
              <w:left w:type="dxa" w:w="100"/>
              <w:bottom w:type="dxa" w:w="60"/>
              <w:right w:type="dxa" w:w="100"/>
            </w:tcMar>
            <w:vAlign w:val="center"/>
          </w:tcPr>
          <w:p>
            <w:pPr>
              <w:jc w:val="center"/>
            </w:pPr>
            <w:r>
              <w:rPr>
                <w:b/>
                <w:bCs/>
                <w:sz w:val="20"/>
                <w:szCs w:val="20"/>
              </w:rPr>
              <w:t xml:space="preserve">Attack type (CIC-IDS2017)</w:t>
            </w:r>
          </w:p>
        </w:tc>
        <w:tc>
          <w:tcPr>
            <w:tcW w:type="dxa" w:w="1000"/>
            <w:shd w:fill="D9E2F3" w:val="clear"/>
            <w:tcMar>
              <w:top w:type="dxa" w:w="60"/>
              <w:left w:type="dxa" w:w="100"/>
              <w:bottom w:type="dxa" w:w="60"/>
              <w:right w:type="dxa" w:w="100"/>
            </w:tcMar>
            <w:vAlign w:val="center"/>
          </w:tcPr>
          <w:p>
            <w:pPr>
              <w:jc w:val="center"/>
            </w:pPr>
            <w:r>
              <w:rPr>
                <w:b/>
                <w:bCs/>
                <w:sz w:val="20"/>
                <w:szCs w:val="20"/>
              </w:rPr>
              <w:t xml:space="preserve">Test flows</w:t>
            </w:r>
          </w:p>
        </w:tc>
        <w:tc>
          <w:tcPr>
            <w:tcW w:type="dxa" w:w="1400"/>
            <w:shd w:fill="D9E2F3" w:val="clear"/>
            <w:tcMar>
              <w:top w:type="dxa" w:w="60"/>
              <w:left w:type="dxa" w:w="100"/>
              <w:bottom w:type="dxa" w:w="60"/>
              <w:right w:type="dxa" w:w="100"/>
            </w:tcMar>
            <w:vAlign w:val="center"/>
          </w:tcPr>
          <w:p>
            <w:pPr>
              <w:jc w:val="center"/>
            </w:pPr>
            <w:r>
              <w:rPr>
                <w:b/>
                <w:bCs/>
                <w:sz w:val="20"/>
                <w:szCs w:val="20"/>
              </w:rPr>
              <w:t xml:space="preserve">FP32, threshold 0.3</w:t>
            </w:r>
          </w:p>
        </w:tc>
        <w:tc>
          <w:tcPr>
            <w:tcW w:type="dxa" w:w="1600"/>
            <w:shd w:fill="D9E2F3" w:val="clear"/>
            <w:tcMar>
              <w:top w:type="dxa" w:w="60"/>
              <w:left w:type="dxa" w:w="100"/>
              <w:bottom w:type="dxa" w:w="60"/>
              <w:right w:type="dxa" w:w="100"/>
            </w:tcMar>
            <w:vAlign w:val="center"/>
          </w:tcPr>
          <w:p>
            <w:pPr>
              <w:jc w:val="center"/>
            </w:pPr>
            <w:r>
              <w:rPr>
                <w:b/>
                <w:bCs/>
                <w:sz w:val="20"/>
                <w:szCs w:val="20"/>
              </w:rPr>
              <w:t xml:space="preserve">FP32, client val. ≥ 99.99%</w:t>
            </w:r>
          </w:p>
        </w:tc>
        <w:tc>
          <w:tcPr>
            <w:tcW w:type="dxa" w:w="1700"/>
            <w:shd w:fill="D9E2F3" w:val="clear"/>
            <w:tcMar>
              <w:top w:type="dxa" w:w="60"/>
              <w:left w:type="dxa" w:w="100"/>
              <w:bottom w:type="dxa" w:w="60"/>
              <w:right w:type="dxa" w:w="100"/>
            </w:tcMar>
            <w:vAlign w:val="center"/>
          </w:tcPr>
          <w:p>
            <w:pPr>
              <w:jc w:val="center"/>
            </w:pPr>
            <w:r>
              <w:rPr>
                <w:b/>
                <w:bCs/>
                <w:sz w:val="20"/>
                <w:szCs w:val="20"/>
              </w:rPr>
              <w:t xml:space="preserve">65 KB, federated FT, ≥ 99.99%</w:t>
            </w:r>
          </w:p>
        </w:tc>
        <w:tc>
          <w:tcPr>
            <w:tcW w:type="dxa" w:w="1300"/>
            <w:shd w:fill="D9E2F3" w:val="clear"/>
            <w:tcMar>
              <w:top w:type="dxa" w:w="60"/>
              <w:left w:type="dxa" w:w="100"/>
              <w:bottom w:type="dxa" w:w="60"/>
              <w:right w:type="dxa" w:w="100"/>
            </w:tcMar>
            <w:vAlign w:val="center"/>
          </w:tcPr>
          <w:p>
            <w:pPr>
              <w:jc w:val="center"/>
            </w:pPr>
            <w:r>
              <w:rPr>
                <w:b/>
                <w:bCs/>
                <w:sz w:val="20"/>
                <w:szCs w:val="20"/>
              </w:rPr>
              <w:t xml:space="preserve">112 KB, ≥ 99.99%</w:t>
            </w:r>
          </w:p>
        </w:tc>
      </w:tr>
      <w:tr>
        <w:tc>
          <w:tcPr>
            <w:tcW w:type="dxa" w:w="2600"/>
            <w:tcMar>
              <w:top w:type="dxa" w:w="60"/>
              <w:left w:type="dxa" w:w="100"/>
              <w:bottom w:type="dxa" w:w="60"/>
              <w:right w:type="dxa" w:w="100"/>
            </w:tcMar>
            <w:vAlign w:val="center"/>
          </w:tcPr>
          <w:p>
            <w:pPr>
              <w:jc w:val="left"/>
            </w:pPr>
            <w:r>
              <w:rPr>
                <w:sz w:val="20"/>
                <w:szCs w:val="20"/>
              </w:rPr>
              <w:t xml:space="preserve">Infiltration</w:t>
            </w:r>
          </w:p>
        </w:tc>
        <w:tc>
          <w:tcPr>
            <w:tcW w:type="dxa" w:w="1000"/>
            <w:tcMar>
              <w:top w:type="dxa" w:w="60"/>
              <w:left w:type="dxa" w:w="100"/>
              <w:bottom w:type="dxa" w:w="60"/>
              <w:right w:type="dxa" w:w="100"/>
            </w:tcMar>
            <w:vAlign w:val="center"/>
          </w:tcPr>
          <w:p>
            <w:pPr>
              <w:jc w:val="center"/>
            </w:pPr>
            <w:r>
              <w:rPr>
                <w:sz w:val="20"/>
                <w:szCs w:val="20"/>
              </w:rPr>
              <w:t xml:space="preserve">11</w:t>
            </w:r>
          </w:p>
        </w:tc>
        <w:tc>
          <w:tcPr>
            <w:tcW w:type="dxa" w:w="1400"/>
            <w:tcMar>
              <w:top w:type="dxa" w:w="60"/>
              <w:left w:type="dxa" w:w="100"/>
              <w:bottom w:type="dxa" w:w="60"/>
              <w:right w:type="dxa" w:w="100"/>
            </w:tcMar>
            <w:vAlign w:val="center"/>
          </w:tcPr>
          <w:p>
            <w:pPr>
              <w:jc w:val="center"/>
            </w:pPr>
            <w:r>
              <w:rPr>
                <w:sz w:val="20"/>
                <w:szCs w:val="20"/>
              </w:rPr>
              <w:t xml:space="preserve">7 (64%)</w:t>
            </w:r>
          </w:p>
        </w:tc>
        <w:tc>
          <w:tcPr>
            <w:tcW w:type="dxa" w:w="1600"/>
            <w:tcMar>
              <w:top w:type="dxa" w:w="60"/>
              <w:left w:type="dxa" w:w="100"/>
              <w:bottom w:type="dxa" w:w="60"/>
              <w:right w:type="dxa" w:w="100"/>
            </w:tcMar>
            <w:vAlign w:val="center"/>
          </w:tcPr>
          <w:p>
            <w:pPr>
              <w:jc w:val="center"/>
            </w:pPr>
            <w:r>
              <w:rPr>
                <w:sz w:val="20"/>
                <w:szCs w:val="20"/>
              </w:rPr>
              <w:t xml:space="preserve">7 (64%)</w:t>
            </w:r>
          </w:p>
        </w:tc>
        <w:tc>
          <w:tcPr>
            <w:tcW w:type="dxa" w:w="1700"/>
            <w:tcMar>
              <w:top w:type="dxa" w:w="60"/>
              <w:left w:type="dxa" w:w="100"/>
              <w:bottom w:type="dxa" w:w="60"/>
              <w:right w:type="dxa" w:w="100"/>
            </w:tcMar>
            <w:vAlign w:val="center"/>
          </w:tcPr>
          <w:p>
            <w:pPr>
              <w:jc w:val="center"/>
            </w:pPr>
            <w:r>
              <w:rPr>
                <w:sz w:val="20"/>
                <w:szCs w:val="20"/>
              </w:rPr>
              <w:t xml:space="preserve">8.3 (76%)</w:t>
            </w:r>
          </w:p>
        </w:tc>
        <w:tc>
          <w:tcPr>
            <w:tcW w:type="dxa" w:w="1300"/>
            <w:tcMar>
              <w:top w:type="dxa" w:w="60"/>
              <w:left w:type="dxa" w:w="100"/>
              <w:bottom w:type="dxa" w:w="60"/>
              <w:right w:type="dxa" w:w="100"/>
            </w:tcMar>
            <w:vAlign w:val="center"/>
          </w:tcPr>
          <w:p>
            <w:pPr>
              <w:jc w:val="center"/>
            </w:pPr>
            <w:r>
              <w:rPr>
                <w:sz w:val="20"/>
                <w:szCs w:val="20"/>
              </w:rPr>
              <w:t xml:space="preserve">6.3 (58%)</w:t>
            </w:r>
          </w:p>
        </w:tc>
      </w:tr>
      <w:tr>
        <w:tc>
          <w:tcPr>
            <w:tcW w:type="dxa" w:w="2600"/>
            <w:tcMar>
              <w:top w:type="dxa" w:w="60"/>
              <w:left w:type="dxa" w:w="100"/>
              <w:bottom w:type="dxa" w:w="60"/>
              <w:right w:type="dxa" w:w="100"/>
            </w:tcMar>
            <w:vAlign w:val="center"/>
          </w:tcPr>
          <w:p>
            <w:pPr>
              <w:jc w:val="left"/>
            </w:pPr>
            <w:r>
              <w:rPr>
                <w:sz w:val="20"/>
                <w:szCs w:val="20"/>
              </w:rPr>
              <w:t xml:space="preserve">Heartbleed</w:t>
            </w:r>
          </w:p>
        </w:tc>
        <w:tc>
          <w:tcPr>
            <w:tcW w:type="dxa" w:w="1000"/>
            <w:tcMar>
              <w:top w:type="dxa" w:w="60"/>
              <w:left w:type="dxa" w:w="100"/>
              <w:bottom w:type="dxa" w:w="60"/>
              <w:right w:type="dxa" w:w="100"/>
            </w:tcMar>
            <w:vAlign w:val="center"/>
          </w:tcPr>
          <w:p>
            <w:pPr>
              <w:jc w:val="center"/>
            </w:pPr>
            <w:r>
              <w:rPr>
                <w:sz w:val="20"/>
                <w:szCs w:val="20"/>
              </w:rPr>
              <w:t xml:space="preserve">5</w:t>
            </w:r>
          </w:p>
        </w:tc>
        <w:tc>
          <w:tcPr>
            <w:tcW w:type="dxa" w:w="1400"/>
            <w:tcMar>
              <w:top w:type="dxa" w:w="60"/>
              <w:left w:type="dxa" w:w="100"/>
              <w:bottom w:type="dxa" w:w="60"/>
              <w:right w:type="dxa" w:w="100"/>
            </w:tcMar>
            <w:vAlign w:val="center"/>
          </w:tcPr>
          <w:p>
            <w:pPr>
              <w:jc w:val="center"/>
            </w:pPr>
            <w:r>
              <w:rPr>
                <w:sz w:val="20"/>
                <w:szCs w:val="20"/>
              </w:rPr>
              <w:t xml:space="preserve">0</w:t>
            </w:r>
          </w:p>
        </w:tc>
        <w:tc>
          <w:tcPr>
            <w:tcW w:type="dxa" w:w="1600"/>
            <w:tcMar>
              <w:top w:type="dxa" w:w="60"/>
              <w:left w:type="dxa" w:w="100"/>
              <w:bottom w:type="dxa" w:w="60"/>
              <w:right w:type="dxa" w:w="100"/>
            </w:tcMar>
            <w:vAlign w:val="center"/>
          </w:tcPr>
          <w:p>
            <w:pPr>
              <w:jc w:val="center"/>
            </w:pPr>
            <w:r>
              <w:rPr>
                <w:sz w:val="20"/>
                <w:szCs w:val="20"/>
              </w:rPr>
              <w:t xml:space="preserve">0</w:t>
            </w:r>
          </w:p>
        </w:tc>
        <w:tc>
          <w:tcPr>
            <w:tcW w:type="dxa" w:w="1700"/>
            <w:tcMar>
              <w:top w:type="dxa" w:w="60"/>
              <w:left w:type="dxa" w:w="100"/>
              <w:bottom w:type="dxa" w:w="60"/>
              <w:right w:type="dxa" w:w="100"/>
            </w:tcMar>
            <w:vAlign w:val="center"/>
          </w:tcPr>
          <w:p>
            <w:pPr>
              <w:jc w:val="center"/>
            </w:pPr>
            <w:r>
              <w:rPr>
                <w:sz w:val="20"/>
                <w:szCs w:val="20"/>
              </w:rPr>
              <w:t xml:space="preserve">3.3 (67%)</w:t>
            </w:r>
          </w:p>
        </w:tc>
        <w:tc>
          <w:tcPr>
            <w:tcW w:type="dxa" w:w="1300"/>
            <w:tcMar>
              <w:top w:type="dxa" w:w="60"/>
              <w:left w:type="dxa" w:w="100"/>
              <w:bottom w:type="dxa" w:w="60"/>
              <w:right w:type="dxa" w:w="100"/>
            </w:tcMar>
            <w:vAlign w:val="center"/>
          </w:tcPr>
          <w:p>
            <w:pPr>
              <w:jc w:val="center"/>
            </w:pPr>
            <w:r>
              <w:rPr>
                <w:sz w:val="20"/>
                <w:szCs w:val="20"/>
              </w:rPr>
              <w:t xml:space="preserve">0</w:t>
            </w:r>
          </w:p>
        </w:tc>
      </w:tr>
      <w:tr>
        <w:tc>
          <w:tcPr>
            <w:tcW w:type="dxa" w:w="2600"/>
            <w:tcMar>
              <w:top w:type="dxa" w:w="60"/>
              <w:left w:type="dxa" w:w="100"/>
              <w:bottom w:type="dxa" w:w="60"/>
              <w:right w:type="dxa" w:w="100"/>
            </w:tcMar>
            <w:vAlign w:val="center"/>
          </w:tcPr>
          <w:p>
            <w:pPr>
              <w:jc w:val="left"/>
            </w:pPr>
            <w:r>
              <w:rPr>
                <w:sz w:val="20"/>
                <w:szCs w:val="20"/>
              </w:rPr>
              <w:t xml:space="preserve">Web Attack – SQL injection</w:t>
            </w:r>
          </w:p>
        </w:tc>
        <w:tc>
          <w:tcPr>
            <w:tcW w:type="dxa" w:w="1000"/>
            <w:tcMar>
              <w:top w:type="dxa" w:w="60"/>
              <w:left w:type="dxa" w:w="100"/>
              <w:bottom w:type="dxa" w:w="60"/>
              <w:right w:type="dxa" w:w="100"/>
            </w:tcMar>
            <w:vAlign w:val="center"/>
          </w:tcPr>
          <w:p>
            <w:pPr>
              <w:jc w:val="center"/>
            </w:pPr>
            <w:r>
              <w:rPr>
                <w:sz w:val="20"/>
                <w:szCs w:val="20"/>
              </w:rPr>
              <w:t xml:space="preserve">4</w:t>
            </w:r>
          </w:p>
        </w:tc>
        <w:tc>
          <w:tcPr>
            <w:tcW w:type="dxa" w:w="1400"/>
            <w:tcMar>
              <w:top w:type="dxa" w:w="60"/>
              <w:left w:type="dxa" w:w="100"/>
              <w:bottom w:type="dxa" w:w="60"/>
              <w:right w:type="dxa" w:w="100"/>
            </w:tcMar>
            <w:vAlign w:val="center"/>
          </w:tcPr>
          <w:p>
            <w:pPr>
              <w:jc w:val="center"/>
            </w:pPr>
            <w:r>
              <w:rPr>
                <w:sz w:val="20"/>
                <w:szCs w:val="20"/>
              </w:rPr>
              <w:t xml:space="preserve">1 (25%)</w:t>
            </w:r>
          </w:p>
        </w:tc>
        <w:tc>
          <w:tcPr>
            <w:tcW w:type="dxa" w:w="1600"/>
            <w:tcMar>
              <w:top w:type="dxa" w:w="60"/>
              <w:left w:type="dxa" w:w="100"/>
              <w:bottom w:type="dxa" w:w="60"/>
              <w:right w:type="dxa" w:w="100"/>
            </w:tcMar>
            <w:vAlign w:val="center"/>
          </w:tcPr>
          <w:p>
            <w:pPr>
              <w:jc w:val="center"/>
            </w:pPr>
            <w:r>
              <w:rPr>
                <w:sz w:val="20"/>
                <w:szCs w:val="20"/>
              </w:rPr>
              <w:t xml:space="preserve">1 (25%)</w:t>
            </w:r>
          </w:p>
        </w:tc>
        <w:tc>
          <w:tcPr>
            <w:tcW w:type="dxa" w:w="1700"/>
            <w:tcMar>
              <w:top w:type="dxa" w:w="60"/>
              <w:left w:type="dxa" w:w="100"/>
              <w:bottom w:type="dxa" w:w="60"/>
              <w:right w:type="dxa" w:w="100"/>
            </w:tcMar>
            <w:vAlign w:val="center"/>
          </w:tcPr>
          <w:p>
            <w:pPr>
              <w:jc w:val="center"/>
            </w:pPr>
            <w:r>
              <w:rPr>
                <w:sz w:val="20"/>
                <w:szCs w:val="20"/>
              </w:rPr>
              <w:t xml:space="preserve">0</w:t>
            </w:r>
          </w:p>
        </w:tc>
        <w:tc>
          <w:tcPr>
            <w:tcW w:type="dxa" w:w="1300"/>
            <w:tcMar>
              <w:top w:type="dxa" w:w="60"/>
              <w:left w:type="dxa" w:w="100"/>
              <w:bottom w:type="dxa" w:w="60"/>
              <w:right w:type="dxa" w:w="100"/>
            </w:tcMar>
            <w:vAlign w:val="center"/>
          </w:tcPr>
          <w:p>
            <w:pPr>
              <w:jc w:val="center"/>
            </w:pPr>
            <w:r>
              <w:rPr>
                <w:sz w:val="20"/>
                <w:szCs w:val="20"/>
              </w:rPr>
              <w:t xml:space="preserve">0.3 (8%)</w:t>
            </w:r>
          </w:p>
        </w:tc>
      </w:tr>
      <w:tr>
        <w:tc>
          <w:tcPr>
            <w:tcW w:type="dxa" w:w="2600"/>
            <w:tcMar>
              <w:top w:type="dxa" w:w="60"/>
              <w:left w:type="dxa" w:w="100"/>
              <w:bottom w:type="dxa" w:w="60"/>
              <w:right w:type="dxa" w:w="100"/>
            </w:tcMar>
            <w:vAlign w:val="center"/>
          </w:tcPr>
          <w:p>
            <w:pPr>
              <w:jc w:val="left"/>
            </w:pPr>
            <w:r>
              <w:rPr>
                <w:sz w:val="20"/>
                <w:szCs w:val="20"/>
              </w:rPr>
              <w:t xml:space="preserve">Bot</w:t>
            </w:r>
          </w:p>
        </w:tc>
        <w:tc>
          <w:tcPr>
            <w:tcW w:type="dxa" w:w="1000"/>
            <w:tcMar>
              <w:top w:type="dxa" w:w="60"/>
              <w:left w:type="dxa" w:w="100"/>
              <w:bottom w:type="dxa" w:w="60"/>
              <w:right w:type="dxa" w:w="100"/>
            </w:tcMar>
            <w:vAlign w:val="center"/>
          </w:tcPr>
          <w:p>
            <w:pPr>
              <w:jc w:val="center"/>
            </w:pPr>
            <w:r>
              <w:rPr>
                <w:sz w:val="20"/>
                <w:szCs w:val="20"/>
              </w:rPr>
              <w:t xml:space="preserve">368</w:t>
            </w:r>
          </w:p>
        </w:tc>
        <w:tc>
          <w:tcPr>
            <w:tcW w:type="dxa" w:w="1400"/>
            <w:tcMar>
              <w:top w:type="dxa" w:w="60"/>
              <w:left w:type="dxa" w:w="100"/>
              <w:bottom w:type="dxa" w:w="60"/>
              <w:right w:type="dxa" w:w="100"/>
            </w:tcMar>
            <w:vAlign w:val="center"/>
          </w:tcPr>
          <w:p>
            <w:pPr>
              <w:jc w:val="center"/>
            </w:pPr>
            <w:r>
              <w:rPr>
                <w:sz w:val="20"/>
                <w:szCs w:val="20"/>
              </w:rPr>
              <w:t xml:space="preserve">20 (5.4%)</w:t>
            </w:r>
          </w:p>
        </w:tc>
        <w:tc>
          <w:tcPr>
            <w:tcW w:type="dxa" w:w="1600"/>
            <w:tcMar>
              <w:top w:type="dxa" w:w="60"/>
              <w:left w:type="dxa" w:w="100"/>
              <w:bottom w:type="dxa" w:w="60"/>
              <w:right w:type="dxa" w:w="100"/>
            </w:tcMar>
            <w:vAlign w:val="center"/>
          </w:tcPr>
          <w:p>
            <w:pPr>
              <w:jc w:val="center"/>
            </w:pPr>
            <w:r>
              <w:rPr>
                <w:sz w:val="20"/>
                <w:szCs w:val="20"/>
              </w:rPr>
              <w:t xml:space="preserve">11 (3.0%)</w:t>
            </w:r>
          </w:p>
        </w:tc>
        <w:tc>
          <w:tcPr>
            <w:tcW w:type="dxa" w:w="1700"/>
            <w:tcMar>
              <w:top w:type="dxa" w:w="60"/>
              <w:left w:type="dxa" w:w="100"/>
              <w:bottom w:type="dxa" w:w="60"/>
              <w:right w:type="dxa" w:w="100"/>
            </w:tcMar>
            <w:vAlign w:val="center"/>
          </w:tcPr>
          <w:p>
            <w:pPr>
              <w:jc w:val="center"/>
            </w:pPr>
            <w:r>
              <w:rPr>
                <w:sz w:val="20"/>
                <w:szCs w:val="20"/>
              </w:rPr>
              <w:t xml:space="preserve">6.0 (1.6%)</w:t>
            </w:r>
          </w:p>
        </w:tc>
        <w:tc>
          <w:tcPr>
            <w:tcW w:type="dxa" w:w="1300"/>
            <w:tcMar>
              <w:top w:type="dxa" w:w="60"/>
              <w:left w:type="dxa" w:w="100"/>
              <w:bottom w:type="dxa" w:w="60"/>
              <w:right w:type="dxa" w:w="100"/>
            </w:tcMar>
            <w:vAlign w:val="center"/>
          </w:tcPr>
          <w:p>
            <w:pPr>
              <w:jc w:val="center"/>
            </w:pPr>
            <w:r>
              <w:rPr>
                <w:sz w:val="20"/>
                <w:szCs w:val="20"/>
              </w:rPr>
              <w:t xml:space="preserve">6.7 (1.8%)</w:t>
            </w:r>
          </w:p>
        </w:tc>
      </w:tr>
      <w:tr>
        <w:tc>
          <w:tcPr>
            <w:tcW w:type="dxa" w:w="2600"/>
            <w:tcMar>
              <w:top w:type="dxa" w:w="60"/>
              <w:left w:type="dxa" w:w="100"/>
              <w:bottom w:type="dxa" w:w="60"/>
              <w:right w:type="dxa" w:w="100"/>
            </w:tcMar>
            <w:vAlign w:val="center"/>
          </w:tcPr>
          <w:p>
            <w:pPr>
              <w:jc w:val="left"/>
            </w:pPr>
            <w:r>
              <w:rPr>
                <w:sz w:val="20"/>
                <w:szCs w:val="20"/>
              </w:rPr>
              <w:t xml:space="preserve">Web Attack – brute force</w:t>
            </w:r>
          </w:p>
        </w:tc>
        <w:tc>
          <w:tcPr>
            <w:tcW w:type="dxa" w:w="1000"/>
            <w:tcMar>
              <w:top w:type="dxa" w:w="60"/>
              <w:left w:type="dxa" w:w="100"/>
              <w:bottom w:type="dxa" w:w="60"/>
              <w:right w:type="dxa" w:w="100"/>
            </w:tcMar>
            <w:vAlign w:val="center"/>
          </w:tcPr>
          <w:p>
            <w:pPr>
              <w:jc w:val="center"/>
            </w:pPr>
            <w:r>
              <w:rPr>
                <w:sz w:val="20"/>
                <w:szCs w:val="20"/>
              </w:rPr>
              <w:t xml:space="preserve">301</w:t>
            </w:r>
          </w:p>
        </w:tc>
        <w:tc>
          <w:tcPr>
            <w:tcW w:type="dxa" w:w="1400"/>
            <w:tcMar>
              <w:top w:type="dxa" w:w="60"/>
              <w:left w:type="dxa" w:w="100"/>
              <w:bottom w:type="dxa" w:w="60"/>
              <w:right w:type="dxa" w:w="100"/>
            </w:tcMar>
            <w:vAlign w:val="center"/>
          </w:tcPr>
          <w:p>
            <w:pPr>
              <w:jc w:val="center"/>
            </w:pPr>
            <w:r>
              <w:rPr>
                <w:sz w:val="20"/>
                <w:szCs w:val="20"/>
              </w:rPr>
              <w:t xml:space="preserve">3 (1.0%)</w:t>
            </w:r>
          </w:p>
        </w:tc>
        <w:tc>
          <w:tcPr>
            <w:tcW w:type="dxa" w:w="1600"/>
            <w:tcMar>
              <w:top w:type="dxa" w:w="60"/>
              <w:left w:type="dxa" w:w="100"/>
              <w:bottom w:type="dxa" w:w="60"/>
              <w:right w:type="dxa" w:w="100"/>
            </w:tcMar>
            <w:vAlign w:val="center"/>
          </w:tcPr>
          <w:p>
            <w:pPr>
              <w:jc w:val="center"/>
            </w:pPr>
            <w:r>
              <w:rPr>
                <w:sz w:val="20"/>
                <w:szCs w:val="20"/>
              </w:rPr>
              <w:t xml:space="preserve">2 (0.7%)</w:t>
            </w:r>
          </w:p>
        </w:tc>
        <w:tc>
          <w:tcPr>
            <w:tcW w:type="dxa" w:w="1700"/>
            <w:tcMar>
              <w:top w:type="dxa" w:w="60"/>
              <w:left w:type="dxa" w:w="100"/>
              <w:bottom w:type="dxa" w:w="60"/>
              <w:right w:type="dxa" w:w="100"/>
            </w:tcMar>
            <w:vAlign w:val="center"/>
          </w:tcPr>
          <w:p>
            <w:pPr>
              <w:jc w:val="center"/>
            </w:pPr>
            <w:r>
              <w:rPr>
                <w:sz w:val="20"/>
                <w:szCs w:val="20"/>
              </w:rPr>
              <w:t xml:space="preserve">1.3 (0.4%)</w:t>
            </w:r>
          </w:p>
        </w:tc>
        <w:tc>
          <w:tcPr>
            <w:tcW w:type="dxa" w:w="1300"/>
            <w:tcMar>
              <w:top w:type="dxa" w:w="60"/>
              <w:left w:type="dxa" w:w="100"/>
              <w:bottom w:type="dxa" w:w="60"/>
              <w:right w:type="dxa" w:w="100"/>
            </w:tcMar>
            <w:vAlign w:val="center"/>
          </w:tcPr>
          <w:p>
            <w:pPr>
              <w:jc w:val="center"/>
            </w:pPr>
            <w:r>
              <w:rPr>
                <w:sz w:val="20"/>
                <w:szCs w:val="20"/>
              </w:rPr>
              <w:t xml:space="preserve">1.0 (0.3%)</w:t>
            </w:r>
          </w:p>
        </w:tc>
      </w:tr>
      <w:tr>
        <w:tc>
          <w:tcPr>
            <w:tcW w:type="dxa" w:w="2600"/>
            <w:tcMar>
              <w:top w:type="dxa" w:w="60"/>
              <w:left w:type="dxa" w:w="100"/>
              <w:bottom w:type="dxa" w:w="60"/>
              <w:right w:type="dxa" w:w="100"/>
            </w:tcMar>
            <w:vAlign w:val="center"/>
          </w:tcPr>
          <w:p>
            <w:pPr>
              <w:jc w:val="left"/>
            </w:pPr>
            <w:r>
              <w:rPr>
                <w:sz w:val="20"/>
                <w:szCs w:val="20"/>
              </w:rPr>
              <w:t xml:space="preserve">DoS slowloris</w:t>
            </w:r>
          </w:p>
        </w:tc>
        <w:tc>
          <w:tcPr>
            <w:tcW w:type="dxa" w:w="1000"/>
            <w:tcMar>
              <w:top w:type="dxa" w:w="60"/>
              <w:left w:type="dxa" w:w="100"/>
              <w:bottom w:type="dxa" w:w="60"/>
              <w:right w:type="dxa" w:w="100"/>
            </w:tcMar>
            <w:vAlign w:val="center"/>
          </w:tcPr>
          <w:p>
            <w:pPr>
              <w:jc w:val="center"/>
            </w:pPr>
            <w:r>
              <w:rPr>
                <w:sz w:val="20"/>
                <w:szCs w:val="20"/>
              </w:rPr>
              <w:t xml:space="preserve">1,063</w:t>
            </w:r>
          </w:p>
        </w:tc>
        <w:tc>
          <w:tcPr>
            <w:tcW w:type="dxa" w:w="1400"/>
            <w:tcMar>
              <w:top w:type="dxa" w:w="60"/>
              <w:left w:type="dxa" w:w="100"/>
              <w:bottom w:type="dxa" w:w="60"/>
              <w:right w:type="dxa" w:w="100"/>
            </w:tcMar>
            <w:vAlign w:val="center"/>
          </w:tcPr>
          <w:p>
            <w:pPr>
              <w:jc w:val="center"/>
            </w:pPr>
            <w:r>
              <w:rPr>
                <w:sz w:val="20"/>
                <w:szCs w:val="20"/>
              </w:rPr>
              <w:t xml:space="preserve">2</w:t>
            </w:r>
          </w:p>
        </w:tc>
        <w:tc>
          <w:tcPr>
            <w:tcW w:type="dxa" w:w="1600"/>
            <w:tcMar>
              <w:top w:type="dxa" w:w="60"/>
              <w:left w:type="dxa" w:w="100"/>
              <w:bottom w:type="dxa" w:w="60"/>
              <w:right w:type="dxa" w:w="100"/>
            </w:tcMar>
            <w:vAlign w:val="center"/>
          </w:tcPr>
          <w:p>
            <w:pPr>
              <w:jc w:val="center"/>
            </w:pPr>
            <w:r>
              <w:rPr>
                <w:sz w:val="20"/>
                <w:szCs w:val="20"/>
              </w:rPr>
              <w:t xml:space="preserve">2</w:t>
            </w:r>
          </w:p>
        </w:tc>
        <w:tc>
          <w:tcPr>
            <w:tcW w:type="dxa" w:w="1700"/>
            <w:tcMar>
              <w:top w:type="dxa" w:w="60"/>
              <w:left w:type="dxa" w:w="100"/>
              <w:bottom w:type="dxa" w:w="60"/>
              <w:right w:type="dxa" w:w="100"/>
            </w:tcMar>
            <w:vAlign w:val="center"/>
          </w:tcPr>
          <w:p>
            <w:pPr>
              <w:jc w:val="center"/>
            </w:pPr>
            <w:r>
              <w:rPr>
                <w:sz w:val="20"/>
                <w:szCs w:val="20"/>
              </w:rPr>
              <w:t xml:space="preserve">2.0</w:t>
            </w:r>
          </w:p>
        </w:tc>
        <w:tc>
          <w:tcPr>
            <w:tcW w:type="dxa" w:w="1300"/>
            <w:tcMar>
              <w:top w:type="dxa" w:w="60"/>
              <w:left w:type="dxa" w:w="100"/>
              <w:bottom w:type="dxa" w:w="60"/>
              <w:right w:type="dxa" w:w="100"/>
            </w:tcMar>
            <w:vAlign w:val="center"/>
          </w:tcPr>
          <w:p>
            <w:pPr>
              <w:jc w:val="center"/>
            </w:pPr>
            <w:r>
              <w:rPr>
                <w:sz w:val="20"/>
                <w:szCs w:val="20"/>
              </w:rPr>
              <w:t xml:space="preserve">1.7</w:t>
            </w:r>
          </w:p>
        </w:tc>
      </w:tr>
      <w:tr>
        <w:tc>
          <w:tcPr>
            <w:tcW w:type="dxa" w:w="2600"/>
            <w:tcMar>
              <w:top w:type="dxa" w:w="60"/>
              <w:left w:type="dxa" w:w="100"/>
              <w:bottom w:type="dxa" w:w="60"/>
              <w:right w:type="dxa" w:w="100"/>
            </w:tcMar>
            <w:vAlign w:val="center"/>
          </w:tcPr>
          <w:p>
            <w:pPr>
              <w:jc w:val="left"/>
            </w:pPr>
            <w:r>
              <w:rPr>
                <w:sz w:val="20"/>
                <w:szCs w:val="20"/>
              </w:rPr>
              <w:t xml:space="preserve">DoS Slowhttptest</w:t>
            </w:r>
          </w:p>
        </w:tc>
        <w:tc>
          <w:tcPr>
            <w:tcW w:type="dxa" w:w="1000"/>
            <w:tcMar>
              <w:top w:type="dxa" w:w="60"/>
              <w:left w:type="dxa" w:w="100"/>
              <w:bottom w:type="dxa" w:w="60"/>
              <w:right w:type="dxa" w:w="100"/>
            </w:tcMar>
            <w:vAlign w:val="center"/>
          </w:tcPr>
          <w:p>
            <w:pPr>
              <w:jc w:val="center"/>
            </w:pPr>
            <w:r>
              <w:rPr>
                <w:sz w:val="20"/>
                <w:szCs w:val="20"/>
              </w:rPr>
              <w:t xml:space="preserve">1,071</w:t>
            </w:r>
          </w:p>
        </w:tc>
        <w:tc>
          <w:tcPr>
            <w:tcW w:type="dxa" w:w="1400"/>
            <w:tcMar>
              <w:top w:type="dxa" w:w="60"/>
              <w:left w:type="dxa" w:w="100"/>
              <w:bottom w:type="dxa" w:w="60"/>
              <w:right w:type="dxa" w:w="100"/>
            </w:tcMar>
            <w:vAlign w:val="center"/>
          </w:tcPr>
          <w:p>
            <w:pPr>
              <w:jc w:val="center"/>
            </w:pPr>
            <w:r>
              <w:rPr>
                <w:sz w:val="20"/>
                <w:szCs w:val="20"/>
              </w:rPr>
              <w:t xml:space="preserve">2</w:t>
            </w:r>
          </w:p>
        </w:tc>
        <w:tc>
          <w:tcPr>
            <w:tcW w:type="dxa" w:w="1600"/>
            <w:tcMar>
              <w:top w:type="dxa" w:w="60"/>
              <w:left w:type="dxa" w:w="100"/>
              <w:bottom w:type="dxa" w:w="60"/>
              <w:right w:type="dxa" w:w="100"/>
            </w:tcMar>
            <w:vAlign w:val="center"/>
          </w:tcPr>
          <w:p>
            <w:pPr>
              <w:jc w:val="center"/>
            </w:pPr>
            <w:r>
              <w:rPr>
                <w:sz w:val="20"/>
                <w:szCs w:val="20"/>
              </w:rPr>
              <w:t xml:space="preserve">0</w:t>
            </w:r>
          </w:p>
        </w:tc>
        <w:tc>
          <w:tcPr>
            <w:tcW w:type="dxa" w:w="1700"/>
            <w:tcMar>
              <w:top w:type="dxa" w:w="60"/>
              <w:left w:type="dxa" w:w="100"/>
              <w:bottom w:type="dxa" w:w="60"/>
              <w:right w:type="dxa" w:w="100"/>
            </w:tcMar>
            <w:vAlign w:val="center"/>
          </w:tcPr>
          <w:p>
            <w:pPr>
              <w:jc w:val="center"/>
            </w:pPr>
            <w:r>
              <w:rPr>
                <w:sz w:val="20"/>
                <w:szCs w:val="20"/>
              </w:rPr>
              <w:t xml:space="preserve">1.0</w:t>
            </w:r>
          </w:p>
        </w:tc>
        <w:tc>
          <w:tcPr>
            <w:tcW w:type="dxa" w:w="1300"/>
            <w:tcMar>
              <w:top w:type="dxa" w:w="60"/>
              <w:left w:type="dxa" w:w="100"/>
              <w:bottom w:type="dxa" w:w="60"/>
              <w:right w:type="dxa" w:w="100"/>
            </w:tcMar>
            <w:vAlign w:val="center"/>
          </w:tcPr>
          <w:p>
            <w:pPr>
              <w:jc w:val="center"/>
            </w:pPr>
            <w:r>
              <w:rPr>
                <w:sz w:val="20"/>
                <w:szCs w:val="20"/>
              </w:rPr>
              <w:t xml:space="preserve">1.0</w:t>
            </w:r>
          </w:p>
        </w:tc>
      </w:tr>
      <w:tr>
        <w:tc>
          <w:tcPr>
            <w:tcW w:type="dxa" w:w="2600"/>
            <w:tcMar>
              <w:top w:type="dxa" w:w="60"/>
              <w:left w:type="dxa" w:w="100"/>
              <w:bottom w:type="dxa" w:w="60"/>
              <w:right w:type="dxa" w:w="100"/>
            </w:tcMar>
            <w:vAlign w:val="center"/>
          </w:tcPr>
          <w:p>
            <w:pPr>
              <w:jc w:val="left"/>
            </w:pPr>
            <w:r>
              <w:rPr>
                <w:sz w:val="20"/>
                <w:szCs w:val="20"/>
              </w:rPr>
              <w:t xml:space="preserve">FTP-Patator</w:t>
            </w:r>
          </w:p>
        </w:tc>
        <w:tc>
          <w:tcPr>
            <w:tcW w:type="dxa" w:w="1000"/>
            <w:tcMar>
              <w:top w:type="dxa" w:w="60"/>
              <w:left w:type="dxa" w:w="100"/>
              <w:bottom w:type="dxa" w:w="60"/>
              <w:right w:type="dxa" w:w="100"/>
            </w:tcMar>
            <w:vAlign w:val="center"/>
          </w:tcPr>
          <w:p>
            <w:pPr>
              <w:jc w:val="center"/>
            </w:pPr>
            <w:r>
              <w:rPr>
                <w:sz w:val="20"/>
                <w:szCs w:val="20"/>
              </w:rPr>
              <w:t xml:space="preserve">1,236</w:t>
            </w:r>
          </w:p>
        </w:tc>
        <w:tc>
          <w:tcPr>
            <w:tcW w:type="dxa" w:w="1400"/>
            <w:tcMar>
              <w:top w:type="dxa" w:w="60"/>
              <w:left w:type="dxa" w:w="100"/>
              <w:bottom w:type="dxa" w:w="60"/>
              <w:right w:type="dxa" w:w="100"/>
            </w:tcMar>
            <w:vAlign w:val="center"/>
          </w:tcPr>
          <w:p>
            <w:pPr>
              <w:jc w:val="center"/>
            </w:pPr>
            <w:r>
              <w:rPr>
                <w:sz w:val="20"/>
                <w:szCs w:val="20"/>
              </w:rPr>
              <w:t xml:space="preserve">3</w:t>
            </w:r>
          </w:p>
        </w:tc>
        <w:tc>
          <w:tcPr>
            <w:tcW w:type="dxa" w:w="1600"/>
            <w:tcMar>
              <w:top w:type="dxa" w:w="60"/>
              <w:left w:type="dxa" w:w="100"/>
              <w:bottom w:type="dxa" w:w="60"/>
              <w:right w:type="dxa" w:w="100"/>
            </w:tcMar>
            <w:vAlign w:val="center"/>
          </w:tcPr>
          <w:p>
            <w:pPr>
              <w:jc w:val="center"/>
            </w:pPr>
            <w:r>
              <w:rPr>
                <w:sz w:val="20"/>
                <w:szCs w:val="20"/>
              </w:rPr>
              <w:t xml:space="preserve">3</w:t>
            </w:r>
          </w:p>
        </w:tc>
        <w:tc>
          <w:tcPr>
            <w:tcW w:type="dxa" w:w="1700"/>
            <w:tcMar>
              <w:top w:type="dxa" w:w="60"/>
              <w:left w:type="dxa" w:w="100"/>
              <w:bottom w:type="dxa" w:w="60"/>
              <w:right w:type="dxa" w:w="100"/>
            </w:tcMar>
            <w:vAlign w:val="center"/>
          </w:tcPr>
          <w:p>
            <w:pPr>
              <w:jc w:val="center"/>
            </w:pPr>
            <w:r>
              <w:rPr>
                <w:sz w:val="20"/>
                <w:szCs w:val="20"/>
              </w:rPr>
              <w:t xml:space="preserve">0</w:t>
            </w:r>
          </w:p>
        </w:tc>
        <w:tc>
          <w:tcPr>
            <w:tcW w:type="dxa" w:w="1300"/>
            <w:tcMar>
              <w:top w:type="dxa" w:w="60"/>
              <w:left w:type="dxa" w:w="100"/>
              <w:bottom w:type="dxa" w:w="60"/>
              <w:right w:type="dxa" w:w="100"/>
            </w:tcMar>
            <w:vAlign w:val="center"/>
          </w:tcPr>
          <w:p>
            <w:pPr>
              <w:jc w:val="center"/>
            </w:pPr>
            <w:r>
              <w:rPr>
                <w:sz w:val="20"/>
                <w:szCs w:val="20"/>
              </w:rPr>
              <w:t xml:space="preserve">1.3</w:t>
            </w:r>
          </w:p>
        </w:tc>
      </w:tr>
      <w:tr>
        <w:tc>
          <w:tcPr>
            <w:tcW w:type="dxa" w:w="2600"/>
            <w:tcMar>
              <w:top w:type="dxa" w:w="60"/>
              <w:left w:type="dxa" w:w="100"/>
              <w:bottom w:type="dxa" w:w="60"/>
              <w:right w:type="dxa" w:w="100"/>
            </w:tcMar>
            <w:vAlign w:val="center"/>
          </w:tcPr>
          <w:p>
            <w:pPr>
              <w:jc w:val="left"/>
            </w:pPr>
            <w:r>
              <w:rPr>
                <w:sz w:val="20"/>
                <w:szCs w:val="20"/>
              </w:rPr>
              <w:t xml:space="preserve">SSH-Patator</w:t>
            </w:r>
          </w:p>
        </w:tc>
        <w:tc>
          <w:tcPr>
            <w:tcW w:type="dxa" w:w="1000"/>
            <w:tcMar>
              <w:top w:type="dxa" w:w="60"/>
              <w:left w:type="dxa" w:w="100"/>
              <w:bottom w:type="dxa" w:w="60"/>
              <w:right w:type="dxa" w:w="100"/>
            </w:tcMar>
            <w:vAlign w:val="center"/>
          </w:tcPr>
          <w:p>
            <w:pPr>
              <w:jc w:val="center"/>
            </w:pPr>
            <w:r>
              <w:rPr>
                <w:sz w:val="20"/>
                <w:szCs w:val="20"/>
              </w:rPr>
              <w:t xml:space="preserve">650</w:t>
            </w:r>
          </w:p>
        </w:tc>
        <w:tc>
          <w:tcPr>
            <w:tcW w:type="dxa" w:w="1400"/>
            <w:tcMar>
              <w:top w:type="dxa" w:w="60"/>
              <w:left w:type="dxa" w:w="100"/>
              <w:bottom w:type="dxa" w:w="60"/>
              <w:right w:type="dxa" w:w="100"/>
            </w:tcMar>
            <w:vAlign w:val="center"/>
          </w:tcPr>
          <w:p>
            <w:pPr>
              <w:jc w:val="center"/>
            </w:pPr>
            <w:r>
              <w:rPr>
                <w:sz w:val="20"/>
                <w:szCs w:val="20"/>
              </w:rPr>
              <w:t xml:space="preserve">1</w:t>
            </w:r>
          </w:p>
        </w:tc>
        <w:tc>
          <w:tcPr>
            <w:tcW w:type="dxa" w:w="1600"/>
            <w:tcMar>
              <w:top w:type="dxa" w:w="60"/>
              <w:left w:type="dxa" w:w="100"/>
              <w:bottom w:type="dxa" w:w="60"/>
              <w:right w:type="dxa" w:w="100"/>
            </w:tcMar>
            <w:vAlign w:val="center"/>
          </w:tcPr>
          <w:p>
            <w:pPr>
              <w:jc w:val="center"/>
            </w:pPr>
            <w:r>
              <w:rPr>
                <w:sz w:val="20"/>
                <w:szCs w:val="20"/>
              </w:rPr>
              <w:t xml:space="preserve">0</w:t>
            </w:r>
          </w:p>
        </w:tc>
        <w:tc>
          <w:tcPr>
            <w:tcW w:type="dxa" w:w="1700"/>
            <w:tcMar>
              <w:top w:type="dxa" w:w="60"/>
              <w:left w:type="dxa" w:w="100"/>
              <w:bottom w:type="dxa" w:w="60"/>
              <w:right w:type="dxa" w:w="100"/>
            </w:tcMar>
            <w:vAlign w:val="center"/>
          </w:tcPr>
          <w:p>
            <w:pPr>
              <w:jc w:val="center"/>
            </w:pPr>
            <w:r>
              <w:rPr>
                <w:sz w:val="20"/>
                <w:szCs w:val="20"/>
              </w:rPr>
              <w:t xml:space="preserve">0</w:t>
            </w:r>
          </w:p>
        </w:tc>
        <w:tc>
          <w:tcPr>
            <w:tcW w:type="dxa" w:w="1300"/>
            <w:tcMar>
              <w:top w:type="dxa" w:w="60"/>
              <w:left w:type="dxa" w:w="100"/>
              <w:bottom w:type="dxa" w:w="60"/>
              <w:right w:type="dxa" w:w="100"/>
            </w:tcMar>
            <w:vAlign w:val="center"/>
          </w:tcPr>
          <w:p>
            <w:pPr>
              <w:jc w:val="center"/>
            </w:pPr>
            <w:r>
              <w:rPr>
                <w:sz w:val="20"/>
                <w:szCs w:val="20"/>
              </w:rPr>
              <w:t xml:space="preserve">0</w:t>
            </w:r>
          </w:p>
        </w:tc>
      </w:tr>
      <w:tr>
        <w:tc>
          <w:tcPr>
            <w:tcW w:type="dxa" w:w="2600"/>
            <w:tcMar>
              <w:top w:type="dxa" w:w="60"/>
              <w:left w:type="dxa" w:w="100"/>
              <w:bottom w:type="dxa" w:w="60"/>
              <w:right w:type="dxa" w:w="100"/>
            </w:tcMar>
            <w:vAlign w:val="center"/>
          </w:tcPr>
          <w:p>
            <w:pPr>
              <w:jc w:val="left"/>
            </w:pPr>
            <w:r>
              <w:rPr>
                <w:sz w:val="20"/>
                <w:szCs w:val="20"/>
              </w:rPr>
              <w:t xml:space="preserve">PortScan</w:t>
            </w:r>
          </w:p>
        </w:tc>
        <w:tc>
          <w:tcPr>
            <w:tcW w:type="dxa" w:w="1000"/>
            <w:tcMar>
              <w:top w:type="dxa" w:w="60"/>
              <w:left w:type="dxa" w:w="100"/>
              <w:bottom w:type="dxa" w:w="60"/>
              <w:right w:type="dxa" w:w="100"/>
            </w:tcMar>
            <w:vAlign w:val="center"/>
          </w:tcPr>
          <w:p>
            <w:pPr>
              <w:jc w:val="center"/>
            </w:pPr>
            <w:r>
              <w:rPr>
                <w:sz w:val="20"/>
                <w:szCs w:val="20"/>
              </w:rPr>
              <w:t xml:space="preserve">18,282</w:t>
            </w:r>
          </w:p>
        </w:tc>
        <w:tc>
          <w:tcPr>
            <w:tcW w:type="dxa" w:w="1400"/>
            <w:tcMar>
              <w:top w:type="dxa" w:w="60"/>
              <w:left w:type="dxa" w:w="100"/>
              <w:bottom w:type="dxa" w:w="60"/>
              <w:right w:type="dxa" w:w="100"/>
            </w:tcMar>
            <w:vAlign w:val="center"/>
          </w:tcPr>
          <w:p>
            <w:pPr>
              <w:jc w:val="center"/>
            </w:pPr>
            <w:r>
              <w:rPr>
                <w:sz w:val="20"/>
                <w:szCs w:val="20"/>
              </w:rPr>
              <w:t xml:space="preserve">4</w:t>
            </w:r>
          </w:p>
        </w:tc>
        <w:tc>
          <w:tcPr>
            <w:tcW w:type="dxa" w:w="1600"/>
            <w:tcMar>
              <w:top w:type="dxa" w:w="60"/>
              <w:left w:type="dxa" w:w="100"/>
              <w:bottom w:type="dxa" w:w="60"/>
              <w:right w:type="dxa" w:w="100"/>
            </w:tcMar>
            <w:vAlign w:val="center"/>
          </w:tcPr>
          <w:p>
            <w:pPr>
              <w:jc w:val="center"/>
            </w:pPr>
            <w:r>
              <w:rPr>
                <w:sz w:val="20"/>
                <w:szCs w:val="20"/>
              </w:rPr>
              <w:t xml:space="preserve">3</w:t>
            </w:r>
          </w:p>
        </w:tc>
        <w:tc>
          <w:tcPr>
            <w:tcW w:type="dxa" w:w="1700"/>
            <w:tcMar>
              <w:top w:type="dxa" w:w="60"/>
              <w:left w:type="dxa" w:w="100"/>
              <w:bottom w:type="dxa" w:w="60"/>
              <w:right w:type="dxa" w:w="100"/>
            </w:tcMar>
            <w:vAlign w:val="center"/>
          </w:tcPr>
          <w:p>
            <w:pPr>
              <w:jc w:val="center"/>
            </w:pPr>
            <w:r>
              <w:rPr>
                <w:sz w:val="20"/>
                <w:szCs w:val="20"/>
              </w:rPr>
              <w:t xml:space="preserve">3.7</w:t>
            </w:r>
          </w:p>
        </w:tc>
        <w:tc>
          <w:tcPr>
            <w:tcW w:type="dxa" w:w="1300"/>
            <w:tcMar>
              <w:top w:type="dxa" w:w="60"/>
              <w:left w:type="dxa" w:w="100"/>
              <w:bottom w:type="dxa" w:w="60"/>
              <w:right w:type="dxa" w:w="100"/>
            </w:tcMar>
            <w:vAlign w:val="center"/>
          </w:tcPr>
          <w:p>
            <w:pPr>
              <w:jc w:val="center"/>
            </w:pPr>
            <w:r>
              <w:rPr>
                <w:sz w:val="20"/>
                <w:szCs w:val="20"/>
              </w:rPr>
              <w:t xml:space="preserve">3.3</w:t>
            </w:r>
          </w:p>
        </w:tc>
      </w:tr>
      <w:tr>
        <w:tc>
          <w:tcPr>
            <w:tcW w:type="dxa" w:w="2600"/>
            <w:tcMar>
              <w:top w:type="dxa" w:w="60"/>
              <w:left w:type="dxa" w:w="100"/>
              <w:bottom w:type="dxa" w:w="60"/>
              <w:right w:type="dxa" w:w="100"/>
            </w:tcMar>
            <w:vAlign w:val="center"/>
          </w:tcPr>
          <w:p>
            <w:pPr>
              <w:jc w:val="left"/>
            </w:pPr>
            <w:r>
              <w:rPr>
                <w:sz w:val="20"/>
                <w:szCs w:val="20"/>
              </w:rPr>
              <w:t xml:space="preserve">DDoS</w:t>
            </w:r>
          </w:p>
        </w:tc>
        <w:tc>
          <w:tcPr>
            <w:tcW w:type="dxa" w:w="1000"/>
            <w:tcMar>
              <w:top w:type="dxa" w:w="60"/>
              <w:left w:type="dxa" w:w="100"/>
              <w:bottom w:type="dxa" w:w="60"/>
              <w:right w:type="dxa" w:w="100"/>
            </w:tcMar>
            <w:vAlign w:val="center"/>
          </w:tcPr>
          <w:p>
            <w:pPr>
              <w:jc w:val="center"/>
            </w:pPr>
            <w:r>
              <w:rPr>
                <w:sz w:val="20"/>
                <w:szCs w:val="20"/>
              </w:rPr>
              <w:t xml:space="preserve">25,569</w:t>
            </w:r>
          </w:p>
        </w:tc>
        <w:tc>
          <w:tcPr>
            <w:tcW w:type="dxa" w:w="1400"/>
            <w:tcMar>
              <w:top w:type="dxa" w:w="60"/>
              <w:left w:type="dxa" w:w="100"/>
              <w:bottom w:type="dxa" w:w="60"/>
              <w:right w:type="dxa" w:w="100"/>
            </w:tcMar>
            <w:vAlign w:val="center"/>
          </w:tcPr>
          <w:p>
            <w:pPr>
              <w:jc w:val="center"/>
            </w:pPr>
            <w:r>
              <w:rPr>
                <w:sz w:val="20"/>
                <w:szCs w:val="20"/>
              </w:rPr>
              <w:t xml:space="preserve">9</w:t>
            </w:r>
          </w:p>
        </w:tc>
        <w:tc>
          <w:tcPr>
            <w:tcW w:type="dxa" w:w="1600"/>
            <w:tcMar>
              <w:top w:type="dxa" w:w="60"/>
              <w:left w:type="dxa" w:w="100"/>
              <w:bottom w:type="dxa" w:w="60"/>
              <w:right w:type="dxa" w:w="100"/>
            </w:tcMar>
            <w:vAlign w:val="center"/>
          </w:tcPr>
          <w:p>
            <w:pPr>
              <w:jc w:val="center"/>
            </w:pPr>
            <w:r>
              <w:rPr>
                <w:sz w:val="20"/>
                <w:szCs w:val="20"/>
              </w:rPr>
              <w:t xml:space="preserve">8</w:t>
            </w:r>
          </w:p>
        </w:tc>
        <w:tc>
          <w:tcPr>
            <w:tcW w:type="dxa" w:w="1700"/>
            <w:tcMar>
              <w:top w:type="dxa" w:w="60"/>
              <w:left w:type="dxa" w:w="100"/>
              <w:bottom w:type="dxa" w:w="60"/>
              <w:right w:type="dxa" w:w="100"/>
            </w:tcMar>
            <w:vAlign w:val="center"/>
          </w:tcPr>
          <w:p>
            <w:pPr>
              <w:jc w:val="center"/>
            </w:pPr>
            <w:r>
              <w:rPr>
                <w:sz w:val="20"/>
                <w:szCs w:val="20"/>
              </w:rPr>
              <w:t xml:space="preserve">1.3</w:t>
            </w:r>
          </w:p>
        </w:tc>
        <w:tc>
          <w:tcPr>
            <w:tcW w:type="dxa" w:w="1300"/>
            <w:tcMar>
              <w:top w:type="dxa" w:w="60"/>
              <w:left w:type="dxa" w:w="100"/>
              <w:bottom w:type="dxa" w:w="60"/>
              <w:right w:type="dxa" w:w="100"/>
            </w:tcMar>
            <w:vAlign w:val="center"/>
          </w:tcPr>
          <w:p>
            <w:pPr>
              <w:jc w:val="center"/>
            </w:pPr>
            <w:r>
              <w:rPr>
                <w:sz w:val="20"/>
                <w:szCs w:val="20"/>
              </w:rPr>
              <w:t xml:space="preserve">1.7</w:t>
            </w:r>
          </w:p>
        </w:tc>
      </w:tr>
      <w:tr>
        <w:tc>
          <w:tcPr>
            <w:tcW w:type="dxa" w:w="2600"/>
            <w:tcMar>
              <w:top w:type="dxa" w:w="60"/>
              <w:left w:type="dxa" w:w="100"/>
              <w:bottom w:type="dxa" w:w="60"/>
              <w:right w:type="dxa" w:w="100"/>
            </w:tcMar>
            <w:vAlign w:val="center"/>
          </w:tcPr>
          <w:p>
            <w:pPr>
              <w:jc w:val="left"/>
            </w:pPr>
            <w:r>
              <w:rPr>
                <w:sz w:val="20"/>
                <w:szCs w:val="20"/>
              </w:rPr>
              <w:t xml:space="preserve">All attacks</w:t>
            </w:r>
          </w:p>
        </w:tc>
        <w:tc>
          <w:tcPr>
            <w:tcW w:type="dxa" w:w="1000"/>
            <w:tcMar>
              <w:top w:type="dxa" w:w="60"/>
              <w:left w:type="dxa" w:w="100"/>
              <w:bottom w:type="dxa" w:w="60"/>
              <w:right w:type="dxa" w:w="100"/>
            </w:tcMar>
            <w:vAlign w:val="center"/>
          </w:tcPr>
          <w:p>
            <w:pPr>
              <w:jc w:val="center"/>
            </w:pPr>
            <w:r>
              <w:rPr>
                <w:sz w:val="20"/>
                <w:szCs w:val="20"/>
              </w:rPr>
              <w:t xml:space="preserve">85,173</w:t>
            </w:r>
          </w:p>
        </w:tc>
        <w:tc>
          <w:tcPr>
            <w:tcW w:type="dxa" w:w="1400"/>
            <w:tcMar>
              <w:top w:type="dxa" w:w="60"/>
              <w:left w:type="dxa" w:w="100"/>
              <w:bottom w:type="dxa" w:w="60"/>
              <w:right w:type="dxa" w:w="100"/>
            </w:tcMar>
            <w:vAlign w:val="center"/>
          </w:tcPr>
          <w:p>
            <w:pPr>
              <w:jc w:val="center"/>
            </w:pPr>
            <w:r>
              <w:rPr>
                <w:sz w:val="20"/>
                <w:szCs w:val="20"/>
              </w:rPr>
              <w:t xml:space="preserve">52 (0.061%)</w:t>
            </w:r>
          </w:p>
        </w:tc>
        <w:tc>
          <w:tcPr>
            <w:tcW w:type="dxa" w:w="1600"/>
            <w:tcMar>
              <w:top w:type="dxa" w:w="60"/>
              <w:left w:type="dxa" w:w="100"/>
              <w:bottom w:type="dxa" w:w="60"/>
              <w:right w:type="dxa" w:w="100"/>
            </w:tcMar>
            <w:vAlign w:val="center"/>
          </w:tcPr>
          <w:p>
            <w:pPr>
              <w:jc w:val="center"/>
            </w:pPr>
            <w:r>
              <w:rPr>
                <w:sz w:val="20"/>
                <w:szCs w:val="20"/>
              </w:rPr>
              <w:t xml:space="preserve">37 (0.043%)</w:t>
            </w:r>
          </w:p>
        </w:tc>
        <w:tc>
          <w:tcPr>
            <w:tcW w:type="dxa" w:w="1700"/>
            <w:tcMar>
              <w:top w:type="dxa" w:w="60"/>
              <w:left w:type="dxa" w:w="100"/>
              <w:bottom w:type="dxa" w:w="60"/>
              <w:right w:type="dxa" w:w="100"/>
            </w:tcMar>
            <w:vAlign w:val="center"/>
          </w:tcPr>
          <w:p>
            <w:pPr>
              <w:jc w:val="center"/>
            </w:pPr>
            <w:r>
              <w:rPr>
                <w:sz w:val="20"/>
                <w:szCs w:val="20"/>
              </w:rPr>
              <w:t xml:space="preserve">27 (0.032%)</w:t>
            </w:r>
          </w:p>
        </w:tc>
        <w:tc>
          <w:tcPr>
            <w:tcW w:type="dxa" w:w="1300"/>
            <w:tcMar>
              <w:top w:type="dxa" w:w="60"/>
              <w:left w:type="dxa" w:w="100"/>
              <w:bottom w:type="dxa" w:w="60"/>
              <w:right w:type="dxa" w:w="100"/>
            </w:tcMar>
            <w:vAlign w:val="center"/>
          </w:tcPr>
          <w:p>
            <w:pPr>
              <w:jc w:val="center"/>
            </w:pPr>
            <w:r>
              <w:rPr>
                <w:sz w:val="20"/>
                <w:szCs w:val="20"/>
              </w:rPr>
              <w:t xml:space="preserve">23 (0.027%)</w:t>
            </w:r>
          </w:p>
        </w:tc>
      </w:tr>
    </w:tbl>
    <w:p>
      <w:pPr>
        <w:spacing w:after="240" w:before="80"/>
      </w:pPr>
      <w:r>
        <w:rPr>
          <w:i/>
          <w:iCs/>
          <w:sz w:val="20"/>
          <w:szCs w:val="20"/>
        </w:rPr>
        <w:t xml:space="preserve">Table 12. Missed test flows per attack type (means over three fine-tuning draws for the compressed models; share of that type's test flows in parentheses where it exceeds 0.1%). DoS Hulk (34,487 test flows), DoS GoldenEye (2,006) and Web Attack – XSS (120) are not missed by any of these four models.</w:t>
      </w:r>
    </w:p>
    <w:p>
      <w:pPr>
        <w:spacing w:after="160"/>
      </w:pPr>
      <w:r>
        <w:t xml:space="preserve">The same recipe also works on TON_IoT (Table 13), where the role of distillation is even clearer. Without distillation, the compressed models are so confident that a few client-validation attacks score near zero; reaching a 99.9% recall target on client data then pushes their threshold to almost zero and FAR to about 37%, with or without clipped inputs. Distilled students keep their scores in the middle of the range, and their thresholds (0.17–0.25) carry over to the test split. With federated fine-tuning the 57 KB model is also stable across draws: at a 99.99% client-validation target it misses 12 of 16,215 attacks (at most 14 over draws) at a 6.6% FAR (at most 6.8%), and at a 99.9% target 30 at 3.7%. Client-only fine-tuning misses fewer attacks on average (4) but its FAR varies between 7.2% and 17.3% across draws. The FP32 federated model reaches 9 missed attacks at a 4.7% FAR, so the 57 KB model pays roughly two FAR points at a similar miss count. XSS accounts for about half of the remaining misses. On TON_IoT the selected thresholds undershoot the recall targets on the test split (99.82% for a 99.9% target, 99.93% for 99.99% with federated fine-tuning), because client 0's 8,000-sample validation set holds only about 4,000 attacks.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800"/>
        <w:gridCol w:w="1500"/>
        <w:gridCol w:w="900"/>
        <w:gridCol w:w="900"/>
        <w:gridCol w:w="800"/>
      </w:tblGrid>
      <w:tr>
        <w:trPr>
          <w:tblHeader/>
        </w:trPr>
        <w:tc>
          <w:tcPr>
            <w:tcW w:type="dxa" w:w="2700"/>
            <w:shd w:fill="D9E2F3" w:val="clear"/>
            <w:tcMar>
              <w:top w:type="dxa" w:w="60"/>
              <w:left w:type="dxa" w:w="100"/>
              <w:bottom w:type="dxa" w:w="60"/>
              <w:right w:type="dxa" w:w="100"/>
            </w:tcMar>
            <w:vAlign w:val="center"/>
          </w:tcPr>
          <w:p>
            <w:pPr>
              <w:jc w:val="center"/>
            </w:pPr>
            <w:r>
              <w:rPr>
                <w:b/>
                <w:bCs/>
                <w:sz w:val="20"/>
                <w:szCs w:val="20"/>
              </w:rPr>
              <w:t xml:space="preserve">Model (TON_IoT)</w:t>
            </w:r>
          </w:p>
        </w:tc>
        <w:tc>
          <w:tcPr>
            <w:tcW w:type="dxa" w:w="1900"/>
            <w:shd w:fill="D9E2F3" w:val="clear"/>
            <w:tcMar>
              <w:top w:type="dxa" w:w="60"/>
              <w:left w:type="dxa" w:w="100"/>
              <w:bottom w:type="dxa" w:w="60"/>
              <w:right w:type="dxa" w:w="100"/>
            </w:tcMar>
            <w:vAlign w:val="center"/>
          </w:tcPr>
          <w:p>
            <w:pPr>
              <w:jc w:val="center"/>
            </w:pPr>
            <w:r>
              <w:rPr>
                <w:b/>
                <w:bCs/>
                <w:sz w:val="20"/>
                <w:szCs w:val="20"/>
              </w:rPr>
              <w:t xml:space="preserve">Threshold selection</w:t>
            </w:r>
          </w:p>
        </w:tc>
        <w:tc>
          <w:tcPr>
            <w:tcW w:type="dxa" w:w="800"/>
            <w:shd w:fill="D9E2F3" w:val="clear"/>
            <w:tcMar>
              <w:top w:type="dxa" w:w="60"/>
              <w:left w:type="dxa" w:w="100"/>
              <w:bottom w:type="dxa" w:w="60"/>
              <w:right w:type="dxa" w:w="100"/>
            </w:tcMar>
            <w:vAlign w:val="center"/>
          </w:tcPr>
          <w:p>
            <w:pPr>
              <w:jc w:val="center"/>
            </w:pPr>
            <w:r>
              <w:rPr>
                <w:b/>
                <w:bCs/>
                <w:sz w:val="20"/>
                <w:szCs w:val="20"/>
              </w:rPr>
              <w:t xml:space="preserve">Threshold</w:t>
            </w:r>
          </w:p>
        </w:tc>
        <w:tc>
          <w:tcPr>
            <w:tcW w:type="dxa" w:w="1500"/>
            <w:shd w:fill="D9E2F3" w:val="clear"/>
            <w:tcMar>
              <w:top w:type="dxa" w:w="60"/>
              <w:left w:type="dxa" w:w="100"/>
              <w:bottom w:type="dxa" w:w="60"/>
              <w:right w:type="dxa" w:w="100"/>
            </w:tcMar>
            <w:vAlign w:val="center"/>
          </w:tcPr>
          <w:p>
            <w:pPr>
              <w:jc w:val="center"/>
            </w:pPr>
            <w:r>
              <w:rPr>
                <w:b/>
                <w:bCs/>
                <w:sz w:val="20"/>
                <w:szCs w:val="20"/>
              </w:rPr>
              <w:t xml:space="preserve">Missed attacks / all (mean)</w:t>
            </w:r>
          </w:p>
        </w:tc>
        <w:tc>
          <w:tcPr>
            <w:tcW w:type="dxa" w:w="900"/>
            <w:shd w:fill="D9E2F3" w:val="clear"/>
            <w:tcMar>
              <w:top w:type="dxa" w:w="60"/>
              <w:left w:type="dxa" w:w="100"/>
              <w:bottom w:type="dxa" w:w="60"/>
              <w:right w:type="dxa" w:w="100"/>
            </w:tcMar>
            <w:vAlign w:val="center"/>
          </w:tcPr>
          <w:p>
            <w:pPr>
              <w:jc w:val="center"/>
            </w:pPr>
            <w:r>
              <w:rPr>
                <w:b/>
                <w:bCs/>
                <w:sz w:val="20"/>
                <w:szCs w:val="20"/>
              </w:rPr>
              <w:t xml:space="preserve">Missed share</w:t>
            </w:r>
          </w:p>
        </w:tc>
        <w:tc>
          <w:tcPr>
            <w:tcW w:type="dxa" w:w="900"/>
            <w:shd w:fill="D9E2F3" w:val="clear"/>
            <w:tcMar>
              <w:top w:type="dxa" w:w="60"/>
              <w:left w:type="dxa" w:w="100"/>
              <w:bottom w:type="dxa" w:w="60"/>
              <w:right w:type="dxa" w:w="100"/>
            </w:tcMar>
            <w:vAlign w:val="center"/>
          </w:tcPr>
          <w:p>
            <w:pPr>
              <w:jc w:val="center"/>
            </w:pPr>
            <w:r>
              <w:rPr>
                <w:b/>
                <w:bCs/>
                <w:sz w:val="20"/>
                <w:szCs w:val="20"/>
              </w:rPr>
              <w:t xml:space="preserve">Worst of 3 draws</w:t>
            </w:r>
          </w:p>
        </w:tc>
        <w:tc>
          <w:tcPr>
            <w:tcW w:type="dxa" w:w="800"/>
            <w:shd w:fill="D9E2F3" w:val="clear"/>
            <w:tcMar>
              <w:top w:type="dxa" w:w="60"/>
              <w:left w:type="dxa" w:w="100"/>
              <w:bottom w:type="dxa" w:w="60"/>
              <w:right w:type="dxa" w:w="100"/>
            </w:tcMar>
            <w:vAlign w:val="center"/>
          </w:tcPr>
          <w:p>
            <w:pPr>
              <w:jc w:val="center"/>
            </w:pPr>
            <w:r>
              <w:rPr>
                <w:b/>
                <w:bCs/>
                <w:sz w:val="20"/>
                <w:szCs w:val="20"/>
              </w:rPr>
              <w:t xml:space="preserve">FAR</w:t>
            </w:r>
          </w:p>
        </w:tc>
      </w:tr>
      <w:tr>
        <w:tc>
          <w:tcPr>
            <w:tcW w:type="dxa" w:w="2700"/>
            <w:tcMar>
              <w:top w:type="dxa" w:w="60"/>
              <w:left w:type="dxa" w:w="100"/>
              <w:bottom w:type="dxa" w:w="60"/>
              <w:right w:type="dxa" w:w="100"/>
            </w:tcMar>
            <w:vAlign w:val="center"/>
          </w:tcPr>
          <w:p>
            <w:pPr>
              <w:jc w:val="left"/>
            </w:pPr>
            <w:r>
              <w:rPr>
                <w:sz w:val="20"/>
                <w:szCs w:val="20"/>
              </w:rPr>
              <w:t xml:space="preserve">FP32 federated, 732 KB</w:t>
            </w:r>
          </w:p>
        </w:tc>
        <w:tc>
          <w:tcPr>
            <w:tcW w:type="dxa" w:w="1900"/>
            <w:tcMar>
              <w:top w:type="dxa" w:w="60"/>
              <w:left w:type="dxa" w:w="100"/>
              <w:bottom w:type="dxa" w:w="60"/>
              <w:right w:type="dxa" w:w="100"/>
            </w:tcMar>
            <w:vAlign w:val="center"/>
          </w:tcPr>
          <w:p>
            <w:pPr>
              <w:jc w:val="center"/>
            </w:pPr>
            <w:r>
              <w:rPr>
                <w:sz w:val="20"/>
                <w:szCs w:val="20"/>
              </w:rPr>
              <w:t xml:space="preserve">fixed</w:t>
            </w:r>
          </w:p>
        </w:tc>
        <w:tc>
          <w:tcPr>
            <w:tcW w:type="dxa" w:w="800"/>
            <w:tcMar>
              <w:top w:type="dxa" w:w="60"/>
              <w:left w:type="dxa" w:w="100"/>
              <w:bottom w:type="dxa" w:w="60"/>
              <w:right w:type="dxa" w:w="100"/>
            </w:tcMar>
            <w:vAlign w:val="center"/>
          </w:tcPr>
          <w:p>
            <w:pPr>
              <w:jc w:val="center"/>
            </w:pPr>
            <w:r>
              <w:rPr>
                <w:sz w:val="20"/>
                <w:szCs w:val="20"/>
              </w:rPr>
              <w:t xml:space="preserve">0.30</w:t>
            </w:r>
          </w:p>
        </w:tc>
        <w:tc>
          <w:tcPr>
            <w:tcW w:type="dxa" w:w="1500"/>
            <w:tcMar>
              <w:top w:type="dxa" w:w="60"/>
              <w:left w:type="dxa" w:w="100"/>
              <w:bottom w:type="dxa" w:w="60"/>
              <w:right w:type="dxa" w:w="100"/>
            </w:tcMar>
            <w:vAlign w:val="center"/>
          </w:tcPr>
          <w:p>
            <w:pPr>
              <w:jc w:val="center"/>
            </w:pPr>
            <w:r>
              <w:rPr>
                <w:sz w:val="20"/>
                <w:szCs w:val="20"/>
              </w:rPr>
              <w:t xml:space="preserve">19 / 16,215</w:t>
            </w:r>
          </w:p>
        </w:tc>
        <w:tc>
          <w:tcPr>
            <w:tcW w:type="dxa" w:w="900"/>
            <w:tcMar>
              <w:top w:type="dxa" w:w="60"/>
              <w:left w:type="dxa" w:w="100"/>
              <w:bottom w:type="dxa" w:w="60"/>
              <w:right w:type="dxa" w:w="100"/>
            </w:tcMar>
            <w:vAlign w:val="center"/>
          </w:tcPr>
          <w:p>
            <w:pPr>
              <w:jc w:val="center"/>
            </w:pPr>
            <w:r>
              <w:rPr>
                <w:sz w:val="20"/>
                <w:szCs w:val="20"/>
              </w:rPr>
              <w:t xml:space="preserve">0.12%</w:t>
            </w:r>
          </w:p>
        </w:tc>
        <w:tc>
          <w:tcPr>
            <w:tcW w:type="dxa" w:w="900"/>
            <w:tcMar>
              <w:top w:type="dxa" w:w="60"/>
              <w:left w:type="dxa" w:w="100"/>
              <w:bottom w:type="dxa" w:w="60"/>
              <w:right w:type="dxa" w:w="100"/>
            </w:tcMar>
            <w:vAlign w:val="center"/>
          </w:tcPr>
          <w:p>
            <w:pPr>
              <w:jc w:val="center"/>
            </w:pPr>
            <w:r>
              <w:rPr>
                <w:sz w:val="20"/>
                <w:szCs w:val="20"/>
              </w:rPr>
              <w:t xml:space="preserve"/>
            </w:r>
          </w:p>
        </w:tc>
        <w:tc>
          <w:tcPr>
            <w:tcW w:type="dxa" w:w="800"/>
            <w:tcMar>
              <w:top w:type="dxa" w:w="60"/>
              <w:left w:type="dxa" w:w="100"/>
              <w:bottom w:type="dxa" w:w="60"/>
              <w:right w:type="dxa" w:w="100"/>
            </w:tcMar>
            <w:vAlign w:val="center"/>
          </w:tcPr>
          <w:p>
            <w:pPr>
              <w:jc w:val="center"/>
            </w:pPr>
            <w:r>
              <w:rPr>
                <w:sz w:val="20"/>
                <w:szCs w:val="20"/>
              </w:rPr>
              <w:t xml:space="preserve">3.61%</w:t>
            </w:r>
          </w:p>
        </w:tc>
      </w:tr>
      <w:tr>
        <w:tc>
          <w:tcPr>
            <w:tcW w:type="dxa" w:w="2700"/>
            <w:tcMar>
              <w:top w:type="dxa" w:w="60"/>
              <w:left w:type="dxa" w:w="100"/>
              <w:bottom w:type="dxa" w:w="60"/>
              <w:right w:type="dxa" w:w="100"/>
            </w:tcMar>
            <w:vAlign w:val="center"/>
          </w:tcPr>
          <w:p>
            <w:pPr>
              <w:jc w:val="left"/>
            </w:pPr>
            <w:r>
              <w:rPr>
                <w:sz w:val="20"/>
                <w:szCs w:val="20"/>
              </w:rPr>
              <w:t xml:space="preserve">FP32 federated, 732 KB</w:t>
            </w:r>
          </w:p>
        </w:tc>
        <w:tc>
          <w:tcPr>
            <w:tcW w:type="dxa" w:w="1900"/>
            <w:tcMar>
              <w:top w:type="dxa" w:w="60"/>
              <w:left w:type="dxa" w:w="100"/>
              <w:bottom w:type="dxa" w:w="60"/>
              <w:right w:type="dxa" w:w="100"/>
            </w:tcMar>
            <w:vAlign w:val="center"/>
          </w:tcPr>
          <w:p>
            <w:pPr>
              <w:jc w:val="center"/>
            </w:pPr>
            <w:r>
              <w:rPr>
                <w:sz w:val="20"/>
                <w:szCs w:val="20"/>
              </w:rPr>
              <w:t xml:space="preserve">client val., recall ≥ 99.95%</w:t>
            </w:r>
          </w:p>
        </w:tc>
        <w:tc>
          <w:tcPr>
            <w:tcW w:type="dxa" w:w="800"/>
            <w:tcMar>
              <w:top w:type="dxa" w:w="60"/>
              <w:left w:type="dxa" w:w="100"/>
              <w:bottom w:type="dxa" w:w="60"/>
              <w:right w:type="dxa" w:w="100"/>
            </w:tcMar>
            <w:vAlign w:val="center"/>
          </w:tcPr>
          <w:p>
            <w:pPr>
              <w:jc w:val="center"/>
            </w:pPr>
            <w:r>
              <w:rPr>
                <w:sz w:val="20"/>
                <w:szCs w:val="20"/>
              </w:rPr>
              <w:t xml:space="preserve">0.259</w:t>
            </w:r>
          </w:p>
        </w:tc>
        <w:tc>
          <w:tcPr>
            <w:tcW w:type="dxa" w:w="1500"/>
            <w:tcMar>
              <w:top w:type="dxa" w:w="60"/>
              <w:left w:type="dxa" w:w="100"/>
              <w:bottom w:type="dxa" w:w="60"/>
              <w:right w:type="dxa" w:w="100"/>
            </w:tcMar>
            <w:vAlign w:val="center"/>
          </w:tcPr>
          <w:p>
            <w:pPr>
              <w:jc w:val="center"/>
            </w:pPr>
            <w:r>
              <w:rPr>
                <w:sz w:val="20"/>
                <w:szCs w:val="20"/>
              </w:rPr>
              <w:t xml:space="preserve">9 / 16,215</w:t>
            </w:r>
          </w:p>
        </w:tc>
        <w:tc>
          <w:tcPr>
            <w:tcW w:type="dxa" w:w="900"/>
            <w:tcMar>
              <w:top w:type="dxa" w:w="60"/>
              <w:left w:type="dxa" w:w="100"/>
              <w:bottom w:type="dxa" w:w="60"/>
              <w:right w:type="dxa" w:w="100"/>
            </w:tcMar>
            <w:vAlign w:val="center"/>
          </w:tcPr>
          <w:p>
            <w:pPr>
              <w:jc w:val="center"/>
            </w:pPr>
            <w:r>
              <w:rPr>
                <w:sz w:val="20"/>
                <w:szCs w:val="20"/>
              </w:rPr>
              <w:t xml:space="preserve">0.056%</w:t>
            </w:r>
          </w:p>
        </w:tc>
        <w:tc>
          <w:tcPr>
            <w:tcW w:type="dxa" w:w="900"/>
            <w:tcMar>
              <w:top w:type="dxa" w:w="60"/>
              <w:left w:type="dxa" w:w="100"/>
              <w:bottom w:type="dxa" w:w="60"/>
              <w:right w:type="dxa" w:w="100"/>
            </w:tcMar>
            <w:vAlign w:val="center"/>
          </w:tcPr>
          <w:p>
            <w:pPr>
              <w:jc w:val="center"/>
            </w:pPr>
            <w:r>
              <w:rPr>
                <w:sz w:val="20"/>
                <w:szCs w:val="20"/>
              </w:rPr>
              <w:t xml:space="preserve"/>
            </w:r>
          </w:p>
        </w:tc>
        <w:tc>
          <w:tcPr>
            <w:tcW w:type="dxa" w:w="800"/>
            <w:tcMar>
              <w:top w:type="dxa" w:w="60"/>
              <w:left w:type="dxa" w:w="100"/>
              <w:bottom w:type="dxa" w:w="60"/>
              <w:right w:type="dxa" w:w="100"/>
            </w:tcMar>
            <w:vAlign w:val="center"/>
          </w:tcPr>
          <w:p>
            <w:pPr>
              <w:jc w:val="center"/>
            </w:pPr>
            <w:r>
              <w:rPr>
                <w:sz w:val="20"/>
                <w:szCs w:val="20"/>
              </w:rPr>
              <w:t xml:space="preserve">4.71%</w:t>
            </w:r>
          </w:p>
        </w:tc>
      </w:tr>
      <w:tr>
        <w:tc>
          <w:tcPr>
            <w:tcW w:type="dxa" w:w="2700"/>
            <w:tcMar>
              <w:top w:type="dxa" w:w="60"/>
              <w:left w:type="dxa" w:w="100"/>
              <w:bottom w:type="dxa" w:w="60"/>
              <w:right w:type="dxa" w:w="100"/>
            </w:tcMar>
            <w:vAlign w:val="center"/>
          </w:tcPr>
          <w:p>
            <w:pPr>
              <w:jc w:val="left"/>
            </w:pPr>
            <w:r>
              <w:rPr>
                <w:sz w:val="20"/>
                <w:szCs w:val="20"/>
              </w:rPr>
              <w:t xml:space="preserve">57 KB, base recipe</w:t>
            </w:r>
          </w:p>
        </w:tc>
        <w:tc>
          <w:tcPr>
            <w:tcW w:type="dxa" w:w="1900"/>
            <w:tcMar>
              <w:top w:type="dxa" w:w="60"/>
              <w:left w:type="dxa" w:w="100"/>
              <w:bottom w:type="dxa" w:w="60"/>
              <w:right w:type="dxa" w:w="100"/>
            </w:tcMar>
            <w:vAlign w:val="center"/>
          </w:tcPr>
          <w:p>
            <w:pPr>
              <w:jc w:val="center"/>
            </w:pPr>
            <w:r>
              <w:rPr>
                <w:sz w:val="20"/>
                <w:szCs w:val="20"/>
              </w:rPr>
              <w:t xml:space="preserve">fixed</w:t>
            </w:r>
          </w:p>
        </w:tc>
        <w:tc>
          <w:tcPr>
            <w:tcW w:type="dxa" w:w="800"/>
            <w:tcMar>
              <w:top w:type="dxa" w:w="60"/>
              <w:left w:type="dxa" w:w="100"/>
              <w:bottom w:type="dxa" w:w="60"/>
              <w:right w:type="dxa" w:w="100"/>
            </w:tcMar>
            <w:vAlign w:val="center"/>
          </w:tcPr>
          <w:p>
            <w:pPr>
              <w:jc w:val="center"/>
            </w:pPr>
            <w:r>
              <w:rPr>
                <w:sz w:val="20"/>
                <w:szCs w:val="20"/>
              </w:rPr>
              <w:t xml:space="preserve">0.30</w:t>
            </w:r>
          </w:p>
        </w:tc>
        <w:tc>
          <w:tcPr>
            <w:tcW w:type="dxa" w:w="1500"/>
            <w:tcMar>
              <w:top w:type="dxa" w:w="60"/>
              <w:left w:type="dxa" w:w="100"/>
              <w:bottom w:type="dxa" w:w="60"/>
              <w:right w:type="dxa" w:w="100"/>
            </w:tcMar>
            <w:vAlign w:val="center"/>
          </w:tcPr>
          <w:p>
            <w:pPr>
              <w:jc w:val="center"/>
            </w:pPr>
            <w:r>
              <w:rPr>
                <w:sz w:val="20"/>
                <w:szCs w:val="20"/>
              </w:rPr>
              <w:t xml:space="preserve">168 / 16,215</w:t>
            </w:r>
          </w:p>
        </w:tc>
        <w:tc>
          <w:tcPr>
            <w:tcW w:type="dxa" w:w="900"/>
            <w:tcMar>
              <w:top w:type="dxa" w:w="60"/>
              <w:left w:type="dxa" w:w="100"/>
              <w:bottom w:type="dxa" w:w="60"/>
              <w:right w:type="dxa" w:w="100"/>
            </w:tcMar>
            <w:vAlign w:val="center"/>
          </w:tcPr>
          <w:p>
            <w:pPr>
              <w:jc w:val="center"/>
            </w:pPr>
            <w:r>
              <w:rPr>
                <w:sz w:val="20"/>
                <w:szCs w:val="20"/>
              </w:rPr>
              <w:t xml:space="preserve">1.04%</w:t>
            </w:r>
          </w:p>
        </w:tc>
        <w:tc>
          <w:tcPr>
            <w:tcW w:type="dxa" w:w="900"/>
            <w:tcMar>
              <w:top w:type="dxa" w:w="60"/>
              <w:left w:type="dxa" w:w="100"/>
              <w:bottom w:type="dxa" w:w="60"/>
              <w:right w:type="dxa" w:w="100"/>
            </w:tcMar>
            <w:vAlign w:val="center"/>
          </w:tcPr>
          <w:p>
            <w:pPr>
              <w:jc w:val="center"/>
            </w:pPr>
            <w:r>
              <w:rPr>
                <w:sz w:val="20"/>
                <w:szCs w:val="20"/>
              </w:rPr>
              <w:t xml:space="preserve">274</w:t>
            </w:r>
          </w:p>
        </w:tc>
        <w:tc>
          <w:tcPr>
            <w:tcW w:type="dxa" w:w="800"/>
            <w:tcMar>
              <w:top w:type="dxa" w:w="60"/>
              <w:left w:type="dxa" w:w="100"/>
              <w:bottom w:type="dxa" w:w="60"/>
              <w:right w:type="dxa" w:w="100"/>
            </w:tcMar>
            <w:vAlign w:val="center"/>
          </w:tcPr>
          <w:p>
            <w:pPr>
              <w:jc w:val="center"/>
            </w:pPr>
            <w:r>
              <w:rPr>
                <w:sz w:val="20"/>
                <w:szCs w:val="20"/>
              </w:rPr>
              <w:t xml:space="preserve">6.45%</w:t>
            </w:r>
          </w:p>
        </w:tc>
      </w:tr>
      <w:tr>
        <w:tc>
          <w:tcPr>
            <w:tcW w:type="dxa" w:w="2700"/>
            <w:tcMar>
              <w:top w:type="dxa" w:w="60"/>
              <w:left w:type="dxa" w:w="100"/>
              <w:bottom w:type="dxa" w:w="60"/>
              <w:right w:type="dxa" w:w="100"/>
            </w:tcMar>
            <w:vAlign w:val="center"/>
          </w:tcPr>
          <w:p>
            <w:pPr>
              <w:jc w:val="left"/>
            </w:pPr>
            <w:r>
              <w:rPr>
                <w:sz w:val="20"/>
                <w:szCs w:val="20"/>
              </w:rPr>
              <w:t xml:space="preserve">57 KB, base recipe</w:t>
            </w:r>
          </w:p>
        </w:tc>
        <w:tc>
          <w:tcPr>
            <w:tcW w:type="dxa" w:w="1900"/>
            <w:tcMar>
              <w:top w:type="dxa" w:w="60"/>
              <w:left w:type="dxa" w:w="100"/>
              <w:bottom w:type="dxa" w:w="60"/>
              <w:right w:type="dxa" w:w="100"/>
            </w:tcMar>
            <w:vAlign w:val="center"/>
          </w:tcPr>
          <w:p>
            <w:pPr>
              <w:jc w:val="center"/>
            </w:pPr>
            <w:r>
              <w:rPr>
                <w:sz w:val="20"/>
                <w:szCs w:val="20"/>
              </w:rPr>
              <w:t xml:space="preserve">client val., recall ≥ 99.9%</w:t>
            </w:r>
          </w:p>
        </w:tc>
        <w:tc>
          <w:tcPr>
            <w:tcW w:type="dxa" w:w="800"/>
            <w:tcMar>
              <w:top w:type="dxa" w:w="60"/>
              <w:left w:type="dxa" w:w="100"/>
              <w:bottom w:type="dxa" w:w="60"/>
              <w:right w:type="dxa" w:w="100"/>
            </w:tcMar>
            <w:vAlign w:val="center"/>
          </w:tcPr>
          <w:p>
            <w:pPr>
              <w:jc w:val="center"/>
            </w:pPr>
            <w:r>
              <w:rPr>
                <w:sz w:val="20"/>
                <w:szCs w:val="20"/>
              </w:rPr>
              <w:t xml:space="preserve">0.038</w:t>
            </w:r>
          </w:p>
        </w:tc>
        <w:tc>
          <w:tcPr>
            <w:tcW w:type="dxa" w:w="1500"/>
            <w:tcMar>
              <w:top w:type="dxa" w:w="60"/>
              <w:left w:type="dxa" w:w="100"/>
              <w:bottom w:type="dxa" w:w="60"/>
              <w:right w:type="dxa" w:w="100"/>
            </w:tcMar>
            <w:vAlign w:val="center"/>
          </w:tcPr>
          <w:p>
            <w:pPr>
              <w:jc w:val="center"/>
            </w:pPr>
            <w:r>
              <w:rPr>
                <w:sz w:val="20"/>
                <w:szCs w:val="20"/>
              </w:rPr>
              <w:t xml:space="preserve">15 / 16,215</w:t>
            </w:r>
          </w:p>
        </w:tc>
        <w:tc>
          <w:tcPr>
            <w:tcW w:type="dxa" w:w="900"/>
            <w:tcMar>
              <w:top w:type="dxa" w:w="60"/>
              <w:left w:type="dxa" w:w="100"/>
              <w:bottom w:type="dxa" w:w="60"/>
              <w:right w:type="dxa" w:w="100"/>
            </w:tcMar>
            <w:vAlign w:val="center"/>
          </w:tcPr>
          <w:p>
            <w:pPr>
              <w:jc w:val="center"/>
            </w:pPr>
            <w:r>
              <w:rPr>
                <w:sz w:val="20"/>
                <w:szCs w:val="20"/>
              </w:rPr>
              <w:t xml:space="preserve">0.094%</w:t>
            </w:r>
          </w:p>
        </w:tc>
        <w:tc>
          <w:tcPr>
            <w:tcW w:type="dxa" w:w="900"/>
            <w:tcMar>
              <w:top w:type="dxa" w:w="60"/>
              <w:left w:type="dxa" w:w="100"/>
              <w:bottom w:type="dxa" w:w="60"/>
              <w:right w:type="dxa" w:w="100"/>
            </w:tcMar>
            <w:vAlign w:val="center"/>
          </w:tcPr>
          <w:p>
            <w:pPr>
              <w:jc w:val="center"/>
            </w:pPr>
            <w:r>
              <w:rPr>
                <w:sz w:val="20"/>
                <w:szCs w:val="20"/>
              </w:rPr>
              <w:t xml:space="preserve">16</w:t>
            </w:r>
          </w:p>
        </w:tc>
        <w:tc>
          <w:tcPr>
            <w:tcW w:type="dxa" w:w="800"/>
            <w:tcMar>
              <w:top w:type="dxa" w:w="60"/>
              <w:left w:type="dxa" w:w="100"/>
              <w:bottom w:type="dxa" w:w="60"/>
              <w:right w:type="dxa" w:w="100"/>
            </w:tcMar>
            <w:vAlign w:val="center"/>
          </w:tcPr>
          <w:p>
            <w:pPr>
              <w:jc w:val="center"/>
            </w:pPr>
            <w:r>
              <w:rPr>
                <w:sz w:val="20"/>
                <w:szCs w:val="20"/>
              </w:rPr>
              <w:t xml:space="preserve">37.65%</w:t>
            </w:r>
          </w:p>
        </w:tc>
      </w:tr>
      <w:tr>
        <w:tc>
          <w:tcPr>
            <w:tcW w:type="dxa" w:w="2700"/>
            <w:tcMar>
              <w:top w:type="dxa" w:w="60"/>
              <w:left w:type="dxa" w:w="100"/>
              <w:bottom w:type="dxa" w:w="60"/>
              <w:right w:type="dxa" w:w="100"/>
            </w:tcMar>
            <w:vAlign w:val="center"/>
          </w:tcPr>
          <w:p>
            <w:pPr>
              <w:jc w:val="left"/>
            </w:pPr>
            <w:r>
              <w:rPr>
                <w:sz w:val="20"/>
                <w:szCs w:val="20"/>
              </w:rPr>
              <w:t xml:space="preserve">57 KB, QAT on clipped inputs</w:t>
            </w:r>
          </w:p>
        </w:tc>
        <w:tc>
          <w:tcPr>
            <w:tcW w:type="dxa" w:w="1900"/>
            <w:tcMar>
              <w:top w:type="dxa" w:w="60"/>
              <w:left w:type="dxa" w:w="100"/>
              <w:bottom w:type="dxa" w:w="60"/>
              <w:right w:type="dxa" w:w="100"/>
            </w:tcMar>
            <w:vAlign w:val="center"/>
          </w:tcPr>
          <w:p>
            <w:pPr>
              <w:jc w:val="center"/>
            </w:pPr>
            <w:r>
              <w:rPr>
                <w:sz w:val="20"/>
                <w:szCs w:val="20"/>
              </w:rPr>
              <w:t xml:space="preserve">client val., recall ≥ 99.9%</w:t>
            </w:r>
          </w:p>
        </w:tc>
        <w:tc>
          <w:tcPr>
            <w:tcW w:type="dxa" w:w="800"/>
            <w:tcMar>
              <w:top w:type="dxa" w:w="60"/>
              <w:left w:type="dxa" w:w="100"/>
              <w:bottom w:type="dxa" w:w="60"/>
              <w:right w:type="dxa" w:w="100"/>
            </w:tcMar>
            <w:vAlign w:val="center"/>
          </w:tcPr>
          <w:p>
            <w:pPr>
              <w:jc w:val="center"/>
            </w:pPr>
            <w:r>
              <w:rPr>
                <w:sz w:val="20"/>
                <w:szCs w:val="20"/>
              </w:rPr>
              <w:t xml:space="preserve">0.023</w:t>
            </w:r>
          </w:p>
        </w:tc>
        <w:tc>
          <w:tcPr>
            <w:tcW w:type="dxa" w:w="1500"/>
            <w:tcMar>
              <w:top w:type="dxa" w:w="60"/>
              <w:left w:type="dxa" w:w="100"/>
              <w:bottom w:type="dxa" w:w="60"/>
              <w:right w:type="dxa" w:w="100"/>
            </w:tcMar>
            <w:vAlign w:val="center"/>
          </w:tcPr>
          <w:p>
            <w:pPr>
              <w:jc w:val="center"/>
            </w:pPr>
            <w:r>
              <w:rPr>
                <w:sz w:val="20"/>
                <w:szCs w:val="20"/>
              </w:rPr>
              <w:t xml:space="preserve">13 / 16,215</w:t>
            </w:r>
          </w:p>
        </w:tc>
        <w:tc>
          <w:tcPr>
            <w:tcW w:type="dxa" w:w="900"/>
            <w:tcMar>
              <w:top w:type="dxa" w:w="60"/>
              <w:left w:type="dxa" w:w="100"/>
              <w:bottom w:type="dxa" w:w="60"/>
              <w:right w:type="dxa" w:w="100"/>
            </w:tcMar>
            <w:vAlign w:val="center"/>
          </w:tcPr>
          <w:p>
            <w:pPr>
              <w:jc w:val="center"/>
            </w:pPr>
            <w:r>
              <w:rPr>
                <w:sz w:val="20"/>
                <w:szCs w:val="20"/>
              </w:rPr>
              <w:t xml:space="preserve">0.080%</w:t>
            </w:r>
          </w:p>
        </w:tc>
        <w:tc>
          <w:tcPr>
            <w:tcW w:type="dxa" w:w="900"/>
            <w:tcMar>
              <w:top w:type="dxa" w:w="60"/>
              <w:left w:type="dxa" w:w="100"/>
              <w:bottom w:type="dxa" w:w="60"/>
              <w:right w:type="dxa" w:w="100"/>
            </w:tcMar>
            <w:vAlign w:val="center"/>
          </w:tcPr>
          <w:p>
            <w:pPr>
              <w:jc w:val="center"/>
            </w:pPr>
            <w:r>
              <w:rPr>
                <w:sz w:val="20"/>
                <w:szCs w:val="20"/>
              </w:rPr>
              <w:t xml:space="preserve">28</w:t>
            </w:r>
          </w:p>
        </w:tc>
        <w:tc>
          <w:tcPr>
            <w:tcW w:type="dxa" w:w="800"/>
            <w:tcMar>
              <w:top w:type="dxa" w:w="60"/>
              <w:left w:type="dxa" w:w="100"/>
              <w:bottom w:type="dxa" w:w="60"/>
              <w:right w:type="dxa" w:w="100"/>
            </w:tcMar>
            <w:vAlign w:val="center"/>
          </w:tcPr>
          <w:p>
            <w:pPr>
              <w:jc w:val="center"/>
            </w:pPr>
            <w:r>
              <w:rPr>
                <w:sz w:val="20"/>
                <w:szCs w:val="20"/>
              </w:rPr>
              <w:t xml:space="preserve">37.25%</w:t>
            </w:r>
          </w:p>
        </w:tc>
      </w:tr>
      <w:tr>
        <w:tc>
          <w:tcPr>
            <w:tcW w:type="dxa" w:w="2700"/>
            <w:tcMar>
              <w:top w:type="dxa" w:w="60"/>
              <w:left w:type="dxa" w:w="100"/>
              <w:bottom w:type="dxa" w:w="60"/>
              <w:right w:type="dxa" w:w="100"/>
            </w:tcMar>
            <w:vAlign w:val="center"/>
          </w:tcPr>
          <w:p>
            <w:pPr>
              <w:jc w:val="left"/>
            </w:pPr>
            <w:r>
              <w:rPr>
                <w:sz w:val="20"/>
                <w:szCs w:val="20"/>
              </w:rPr>
              <w:t xml:space="preserve">57 KB, distillation + clipped inputs</w:t>
            </w:r>
          </w:p>
        </w:tc>
        <w:tc>
          <w:tcPr>
            <w:tcW w:type="dxa" w:w="1900"/>
            <w:tcMar>
              <w:top w:type="dxa" w:w="60"/>
              <w:left w:type="dxa" w:w="100"/>
              <w:bottom w:type="dxa" w:w="60"/>
              <w:right w:type="dxa" w:w="100"/>
            </w:tcMar>
            <w:vAlign w:val="center"/>
          </w:tcPr>
          <w:p>
            <w:pPr>
              <w:jc w:val="center"/>
            </w:pPr>
            <w:r>
              <w:rPr>
                <w:sz w:val="20"/>
                <w:szCs w:val="20"/>
              </w:rPr>
              <w:t xml:space="preserve">client val., recall ≥ 99.9%</w:t>
            </w:r>
          </w:p>
        </w:tc>
        <w:tc>
          <w:tcPr>
            <w:tcW w:type="dxa" w:w="800"/>
            <w:tcMar>
              <w:top w:type="dxa" w:w="60"/>
              <w:left w:type="dxa" w:w="100"/>
              <w:bottom w:type="dxa" w:w="60"/>
              <w:right w:type="dxa" w:w="100"/>
            </w:tcMar>
            <w:vAlign w:val="center"/>
          </w:tcPr>
          <w:p>
            <w:pPr>
              <w:jc w:val="center"/>
            </w:pPr>
            <w:r>
              <w:rPr>
                <w:sz w:val="20"/>
                <w:szCs w:val="20"/>
              </w:rPr>
              <w:t xml:space="preserve">0.249</w:t>
            </w:r>
          </w:p>
        </w:tc>
        <w:tc>
          <w:tcPr>
            <w:tcW w:type="dxa" w:w="1500"/>
            <w:tcMar>
              <w:top w:type="dxa" w:w="60"/>
              <w:left w:type="dxa" w:w="100"/>
              <w:bottom w:type="dxa" w:w="60"/>
              <w:right w:type="dxa" w:w="100"/>
            </w:tcMar>
            <w:vAlign w:val="center"/>
          </w:tcPr>
          <w:p>
            <w:pPr>
              <w:jc w:val="center"/>
            </w:pPr>
            <w:r>
              <w:rPr>
                <w:sz w:val="20"/>
                <w:szCs w:val="20"/>
              </w:rPr>
              <w:t xml:space="preserve">21 / 16,215</w:t>
            </w:r>
          </w:p>
        </w:tc>
        <w:tc>
          <w:tcPr>
            <w:tcW w:type="dxa" w:w="900"/>
            <w:tcMar>
              <w:top w:type="dxa" w:w="60"/>
              <w:left w:type="dxa" w:w="100"/>
              <w:bottom w:type="dxa" w:w="60"/>
              <w:right w:type="dxa" w:w="100"/>
            </w:tcMar>
            <w:vAlign w:val="center"/>
          </w:tcPr>
          <w:p>
            <w:pPr>
              <w:jc w:val="center"/>
            </w:pPr>
            <w:r>
              <w:rPr>
                <w:sz w:val="20"/>
                <w:szCs w:val="20"/>
              </w:rPr>
              <w:t xml:space="preserve">0.13%</w:t>
            </w:r>
          </w:p>
        </w:tc>
        <w:tc>
          <w:tcPr>
            <w:tcW w:type="dxa" w:w="900"/>
            <w:tcMar>
              <w:top w:type="dxa" w:w="60"/>
              <w:left w:type="dxa" w:w="100"/>
              <w:bottom w:type="dxa" w:w="60"/>
              <w:right w:type="dxa" w:w="100"/>
            </w:tcMar>
            <w:vAlign w:val="center"/>
          </w:tcPr>
          <w:p>
            <w:pPr>
              <w:jc w:val="center"/>
            </w:pPr>
            <w:r>
              <w:rPr>
                <w:sz w:val="20"/>
                <w:szCs w:val="20"/>
              </w:rPr>
              <w:t xml:space="preserve">29</w:t>
            </w:r>
          </w:p>
        </w:tc>
        <w:tc>
          <w:tcPr>
            <w:tcW w:type="dxa" w:w="800"/>
            <w:tcMar>
              <w:top w:type="dxa" w:w="60"/>
              <w:left w:type="dxa" w:w="100"/>
              <w:bottom w:type="dxa" w:w="60"/>
              <w:right w:type="dxa" w:w="100"/>
            </w:tcMar>
            <w:vAlign w:val="center"/>
          </w:tcPr>
          <w:p>
            <w:pPr>
              <w:jc w:val="center"/>
            </w:pPr>
            <w:r>
              <w:rPr>
                <w:sz w:val="20"/>
                <w:szCs w:val="20"/>
              </w:rPr>
              <w:t xml:space="preserve">4.91%</w:t>
            </w:r>
          </w:p>
        </w:tc>
      </w:tr>
      <w:tr>
        <w:tc>
          <w:tcPr>
            <w:tcW w:type="dxa" w:w="2700"/>
            <w:tcMar>
              <w:top w:type="dxa" w:w="60"/>
              <w:left w:type="dxa" w:w="100"/>
              <w:bottom w:type="dxa" w:w="60"/>
              <w:right w:type="dxa" w:w="100"/>
            </w:tcMar>
            <w:vAlign w:val="center"/>
          </w:tcPr>
          <w:p>
            <w:pPr>
              <w:jc w:val="left"/>
            </w:pPr>
            <w:r>
              <w:rPr>
                <w:sz w:val="20"/>
                <w:szCs w:val="20"/>
              </w:rPr>
              <w:t xml:space="preserve">57 KB, distillation + clipped inputs</w:t>
            </w:r>
          </w:p>
        </w:tc>
        <w:tc>
          <w:tcPr>
            <w:tcW w:type="dxa" w:w="1900"/>
            <w:tcMar>
              <w:top w:type="dxa" w:w="60"/>
              <w:left w:type="dxa" w:w="100"/>
              <w:bottom w:type="dxa" w:w="60"/>
              <w:right w:type="dxa" w:w="100"/>
            </w:tcMar>
            <w:vAlign w:val="center"/>
          </w:tcPr>
          <w:p>
            <w:pPr>
              <w:jc w:val="center"/>
            </w:pPr>
            <w:r>
              <w:rPr>
                <w:sz w:val="20"/>
                <w:szCs w:val="20"/>
              </w:rPr>
              <w:t xml:space="preserve">client val., recall ≥ 99.99%</w:t>
            </w:r>
          </w:p>
        </w:tc>
        <w:tc>
          <w:tcPr>
            <w:tcW w:type="dxa" w:w="800"/>
            <w:tcMar>
              <w:top w:type="dxa" w:w="60"/>
              <w:left w:type="dxa" w:w="100"/>
              <w:bottom w:type="dxa" w:w="60"/>
              <w:right w:type="dxa" w:w="100"/>
            </w:tcMar>
            <w:vAlign w:val="center"/>
          </w:tcPr>
          <w:p>
            <w:pPr>
              <w:jc w:val="center"/>
            </w:pPr>
            <w:r>
              <w:rPr>
                <w:sz w:val="20"/>
                <w:szCs w:val="20"/>
              </w:rPr>
              <w:t xml:space="preserve">0.165</w:t>
            </w:r>
          </w:p>
        </w:tc>
        <w:tc>
          <w:tcPr>
            <w:tcW w:type="dxa" w:w="1500"/>
            <w:tcMar>
              <w:top w:type="dxa" w:w="60"/>
              <w:left w:type="dxa" w:w="100"/>
              <w:bottom w:type="dxa" w:w="60"/>
              <w:right w:type="dxa" w:w="100"/>
            </w:tcMar>
            <w:vAlign w:val="center"/>
          </w:tcPr>
          <w:p>
            <w:pPr>
              <w:jc w:val="center"/>
            </w:pPr>
            <w:r>
              <w:rPr>
                <w:sz w:val="20"/>
                <w:szCs w:val="20"/>
              </w:rPr>
              <w:t xml:space="preserve">4 / 16,215</w:t>
            </w:r>
          </w:p>
        </w:tc>
        <w:tc>
          <w:tcPr>
            <w:tcW w:type="dxa" w:w="900"/>
            <w:tcMar>
              <w:top w:type="dxa" w:w="60"/>
              <w:left w:type="dxa" w:w="100"/>
              <w:bottom w:type="dxa" w:w="60"/>
              <w:right w:type="dxa" w:w="100"/>
            </w:tcMar>
            <w:vAlign w:val="center"/>
          </w:tcPr>
          <w:p>
            <w:pPr>
              <w:jc w:val="center"/>
            </w:pPr>
            <w:r>
              <w:rPr>
                <w:sz w:val="20"/>
                <w:szCs w:val="20"/>
              </w:rPr>
              <w:t xml:space="preserve">0.023%</w:t>
            </w:r>
          </w:p>
        </w:tc>
        <w:tc>
          <w:tcPr>
            <w:tcW w:type="dxa" w:w="900"/>
            <w:tcMar>
              <w:top w:type="dxa" w:w="60"/>
              <w:left w:type="dxa" w:w="100"/>
              <w:bottom w:type="dxa" w:w="60"/>
              <w:right w:type="dxa" w:w="100"/>
            </w:tcMar>
            <w:vAlign w:val="center"/>
          </w:tcPr>
          <w:p>
            <w:pPr>
              <w:jc w:val="center"/>
            </w:pPr>
            <w:r>
              <w:rPr>
                <w:sz w:val="20"/>
                <w:szCs w:val="20"/>
              </w:rPr>
              <w:t xml:space="preserve">8</w:t>
            </w:r>
          </w:p>
        </w:tc>
        <w:tc>
          <w:tcPr>
            <w:tcW w:type="dxa" w:w="800"/>
            <w:tcMar>
              <w:top w:type="dxa" w:w="60"/>
              <w:left w:type="dxa" w:w="100"/>
              <w:bottom w:type="dxa" w:w="60"/>
              <w:right w:type="dxa" w:w="100"/>
            </w:tcMar>
            <w:vAlign w:val="center"/>
          </w:tcPr>
          <w:p>
            <w:pPr>
              <w:jc w:val="center"/>
            </w:pPr>
            <w:r>
              <w:rPr>
                <w:sz w:val="20"/>
                <w:szCs w:val="20"/>
              </w:rPr>
              <w:t xml:space="preserve">12.30%</w:t>
            </w:r>
          </w:p>
        </w:tc>
      </w:tr>
      <w:tr>
        <w:tc>
          <w:tcPr>
            <w:tcW w:type="dxa" w:w="2700"/>
            <w:tcMar>
              <w:top w:type="dxa" w:w="60"/>
              <w:left w:type="dxa" w:w="100"/>
              <w:bottom w:type="dxa" w:w="60"/>
              <w:right w:type="dxa" w:w="100"/>
            </w:tcMar>
            <w:vAlign w:val="center"/>
          </w:tcPr>
          <w:p>
            <w:pPr>
              <w:jc w:val="left"/>
            </w:pPr>
            <w:r>
              <w:rPr>
                <w:sz w:val="20"/>
                <w:szCs w:val="20"/>
              </w:rPr>
              <w:t xml:space="preserve">57 KB, same + federated fine-tuning (4 clients)</w:t>
            </w:r>
          </w:p>
        </w:tc>
        <w:tc>
          <w:tcPr>
            <w:tcW w:type="dxa" w:w="1900"/>
            <w:tcMar>
              <w:top w:type="dxa" w:w="60"/>
              <w:left w:type="dxa" w:w="100"/>
              <w:bottom w:type="dxa" w:w="60"/>
              <w:right w:type="dxa" w:w="100"/>
            </w:tcMar>
            <w:vAlign w:val="center"/>
          </w:tcPr>
          <w:p>
            <w:pPr>
              <w:jc w:val="center"/>
            </w:pPr>
            <w:r>
              <w:rPr>
                <w:sz w:val="20"/>
                <w:szCs w:val="20"/>
              </w:rPr>
              <w:t xml:space="preserve">client val., recall ≥ 99.9%</w:t>
            </w:r>
          </w:p>
        </w:tc>
        <w:tc>
          <w:tcPr>
            <w:tcW w:type="dxa" w:w="800"/>
            <w:tcMar>
              <w:top w:type="dxa" w:w="60"/>
              <w:left w:type="dxa" w:w="100"/>
              <w:bottom w:type="dxa" w:w="60"/>
              <w:right w:type="dxa" w:w="100"/>
            </w:tcMar>
            <w:vAlign w:val="center"/>
          </w:tcPr>
          <w:p>
            <w:pPr>
              <w:jc w:val="center"/>
            </w:pPr>
            <w:r>
              <w:rPr>
                <w:sz w:val="20"/>
                <w:szCs w:val="20"/>
              </w:rPr>
              <w:t xml:space="preserve">0.244</w:t>
            </w:r>
          </w:p>
        </w:tc>
        <w:tc>
          <w:tcPr>
            <w:tcW w:type="dxa" w:w="1500"/>
            <w:tcMar>
              <w:top w:type="dxa" w:w="60"/>
              <w:left w:type="dxa" w:w="100"/>
              <w:bottom w:type="dxa" w:w="60"/>
              <w:right w:type="dxa" w:w="100"/>
            </w:tcMar>
            <w:vAlign w:val="center"/>
          </w:tcPr>
          <w:p>
            <w:pPr>
              <w:jc w:val="center"/>
            </w:pPr>
            <w:r>
              <w:rPr>
                <w:sz w:val="20"/>
                <w:szCs w:val="20"/>
              </w:rPr>
              <w:t xml:space="preserve">30 / 16,215</w:t>
            </w:r>
          </w:p>
        </w:tc>
        <w:tc>
          <w:tcPr>
            <w:tcW w:type="dxa" w:w="900"/>
            <w:tcMar>
              <w:top w:type="dxa" w:w="60"/>
              <w:left w:type="dxa" w:w="100"/>
              <w:bottom w:type="dxa" w:w="60"/>
              <w:right w:type="dxa" w:w="100"/>
            </w:tcMar>
            <w:vAlign w:val="center"/>
          </w:tcPr>
          <w:p>
            <w:pPr>
              <w:jc w:val="center"/>
            </w:pPr>
            <w:r>
              <w:rPr>
                <w:sz w:val="20"/>
                <w:szCs w:val="20"/>
              </w:rPr>
              <w:t xml:space="preserve">0.19%</w:t>
            </w:r>
          </w:p>
        </w:tc>
        <w:tc>
          <w:tcPr>
            <w:tcW w:type="dxa" w:w="900"/>
            <w:tcMar>
              <w:top w:type="dxa" w:w="60"/>
              <w:left w:type="dxa" w:w="100"/>
              <w:bottom w:type="dxa" w:w="60"/>
              <w:right w:type="dxa" w:w="100"/>
            </w:tcMar>
            <w:vAlign w:val="center"/>
          </w:tcPr>
          <w:p>
            <w:pPr>
              <w:jc w:val="center"/>
            </w:pPr>
            <w:r>
              <w:rPr>
                <w:sz w:val="20"/>
                <w:szCs w:val="20"/>
              </w:rPr>
              <w:t xml:space="preserve">32</w:t>
            </w:r>
          </w:p>
        </w:tc>
        <w:tc>
          <w:tcPr>
            <w:tcW w:type="dxa" w:w="800"/>
            <w:tcMar>
              <w:top w:type="dxa" w:w="60"/>
              <w:left w:type="dxa" w:w="100"/>
              <w:bottom w:type="dxa" w:w="60"/>
              <w:right w:type="dxa" w:w="100"/>
            </w:tcMar>
            <w:vAlign w:val="center"/>
          </w:tcPr>
          <w:p>
            <w:pPr>
              <w:jc w:val="center"/>
            </w:pPr>
            <w:r>
              <w:rPr>
                <w:sz w:val="20"/>
                <w:szCs w:val="20"/>
              </w:rPr>
              <w:t xml:space="preserve">3.68%</w:t>
            </w:r>
          </w:p>
        </w:tc>
      </w:tr>
      <w:tr>
        <w:tc>
          <w:tcPr>
            <w:tcW w:type="dxa" w:w="2700"/>
            <w:tcMar>
              <w:top w:type="dxa" w:w="60"/>
              <w:left w:type="dxa" w:w="100"/>
              <w:bottom w:type="dxa" w:w="60"/>
              <w:right w:type="dxa" w:w="100"/>
            </w:tcMar>
            <w:vAlign w:val="center"/>
          </w:tcPr>
          <w:p>
            <w:pPr>
              <w:jc w:val="left"/>
            </w:pPr>
            <w:r>
              <w:rPr>
                <w:sz w:val="20"/>
                <w:szCs w:val="20"/>
              </w:rPr>
              <w:t xml:space="preserve">57 KB, same + federated fine-tuning (4 clients)</w:t>
            </w:r>
          </w:p>
        </w:tc>
        <w:tc>
          <w:tcPr>
            <w:tcW w:type="dxa" w:w="1900"/>
            <w:tcMar>
              <w:top w:type="dxa" w:w="60"/>
              <w:left w:type="dxa" w:w="100"/>
              <w:bottom w:type="dxa" w:w="60"/>
              <w:right w:type="dxa" w:w="100"/>
            </w:tcMar>
            <w:vAlign w:val="center"/>
          </w:tcPr>
          <w:p>
            <w:pPr>
              <w:jc w:val="center"/>
            </w:pPr>
            <w:r>
              <w:rPr>
                <w:sz w:val="20"/>
                <w:szCs w:val="20"/>
              </w:rPr>
              <w:t xml:space="preserve">client val., recall ≥ 99.95%</w:t>
            </w:r>
          </w:p>
        </w:tc>
        <w:tc>
          <w:tcPr>
            <w:tcW w:type="dxa" w:w="800"/>
            <w:tcMar>
              <w:top w:type="dxa" w:w="60"/>
              <w:left w:type="dxa" w:w="100"/>
              <w:bottom w:type="dxa" w:w="60"/>
              <w:right w:type="dxa" w:w="100"/>
            </w:tcMar>
            <w:vAlign w:val="center"/>
          </w:tcPr>
          <w:p>
            <w:pPr>
              <w:jc w:val="center"/>
            </w:pPr>
            <w:r>
              <w:rPr>
                <w:sz w:val="20"/>
                <w:szCs w:val="20"/>
              </w:rPr>
              <w:t xml:space="preserve">0.215</w:t>
            </w:r>
          </w:p>
        </w:tc>
        <w:tc>
          <w:tcPr>
            <w:tcW w:type="dxa" w:w="1500"/>
            <w:tcMar>
              <w:top w:type="dxa" w:w="60"/>
              <w:left w:type="dxa" w:w="100"/>
              <w:bottom w:type="dxa" w:w="60"/>
              <w:right w:type="dxa" w:w="100"/>
            </w:tcMar>
            <w:vAlign w:val="center"/>
          </w:tcPr>
          <w:p>
            <w:pPr>
              <w:jc w:val="center"/>
            </w:pPr>
            <w:r>
              <w:rPr>
                <w:sz w:val="20"/>
                <w:szCs w:val="20"/>
              </w:rPr>
              <w:t xml:space="preserve">18 / 16,215</w:t>
            </w:r>
          </w:p>
        </w:tc>
        <w:tc>
          <w:tcPr>
            <w:tcW w:type="dxa" w:w="900"/>
            <w:tcMar>
              <w:top w:type="dxa" w:w="60"/>
              <w:left w:type="dxa" w:w="100"/>
              <w:bottom w:type="dxa" w:w="60"/>
              <w:right w:type="dxa" w:w="100"/>
            </w:tcMar>
            <w:vAlign w:val="center"/>
          </w:tcPr>
          <w:p>
            <w:pPr>
              <w:jc w:val="center"/>
            </w:pPr>
            <w:r>
              <w:rPr>
                <w:sz w:val="20"/>
                <w:szCs w:val="20"/>
              </w:rPr>
              <w:t xml:space="preserve">0.11%</w:t>
            </w:r>
          </w:p>
        </w:tc>
        <w:tc>
          <w:tcPr>
            <w:tcW w:type="dxa" w:w="900"/>
            <w:tcMar>
              <w:top w:type="dxa" w:w="60"/>
              <w:left w:type="dxa" w:w="100"/>
              <w:bottom w:type="dxa" w:w="60"/>
              <w:right w:type="dxa" w:w="100"/>
            </w:tcMar>
            <w:vAlign w:val="center"/>
          </w:tcPr>
          <w:p>
            <w:pPr>
              <w:jc w:val="center"/>
            </w:pPr>
            <w:r>
              <w:rPr>
                <w:sz w:val="20"/>
                <w:szCs w:val="20"/>
              </w:rPr>
              <w:t xml:space="preserve">20</w:t>
            </w:r>
          </w:p>
        </w:tc>
        <w:tc>
          <w:tcPr>
            <w:tcW w:type="dxa" w:w="800"/>
            <w:tcMar>
              <w:top w:type="dxa" w:w="60"/>
              <w:left w:type="dxa" w:w="100"/>
              <w:bottom w:type="dxa" w:w="60"/>
              <w:right w:type="dxa" w:w="100"/>
            </w:tcMar>
            <w:vAlign w:val="center"/>
          </w:tcPr>
          <w:p>
            <w:pPr>
              <w:jc w:val="center"/>
            </w:pPr>
            <w:r>
              <w:rPr>
                <w:sz w:val="20"/>
                <w:szCs w:val="20"/>
              </w:rPr>
              <w:t xml:space="preserve">5.61%</w:t>
            </w:r>
          </w:p>
        </w:tc>
      </w:tr>
      <w:tr>
        <w:tc>
          <w:tcPr>
            <w:tcW w:type="dxa" w:w="2700"/>
            <w:tcMar>
              <w:top w:type="dxa" w:w="60"/>
              <w:left w:type="dxa" w:w="100"/>
              <w:bottom w:type="dxa" w:w="60"/>
              <w:right w:type="dxa" w:w="100"/>
            </w:tcMar>
            <w:vAlign w:val="center"/>
          </w:tcPr>
          <w:p>
            <w:pPr>
              <w:jc w:val="left"/>
            </w:pPr>
            <w:r>
              <w:rPr>
                <w:sz w:val="20"/>
                <w:szCs w:val="20"/>
              </w:rPr>
              <w:t xml:space="preserve">57 KB, same + federated fine-tuning (4 clients)</w:t>
            </w:r>
          </w:p>
        </w:tc>
        <w:tc>
          <w:tcPr>
            <w:tcW w:type="dxa" w:w="1900"/>
            <w:tcMar>
              <w:top w:type="dxa" w:w="60"/>
              <w:left w:type="dxa" w:w="100"/>
              <w:bottom w:type="dxa" w:w="60"/>
              <w:right w:type="dxa" w:w="100"/>
            </w:tcMar>
            <w:vAlign w:val="center"/>
          </w:tcPr>
          <w:p>
            <w:pPr>
              <w:jc w:val="center"/>
            </w:pPr>
            <w:r>
              <w:rPr>
                <w:sz w:val="20"/>
                <w:szCs w:val="20"/>
              </w:rPr>
              <w:t xml:space="preserve">client val., recall ≥ 99.99%</w:t>
            </w:r>
          </w:p>
        </w:tc>
        <w:tc>
          <w:tcPr>
            <w:tcW w:type="dxa" w:w="800"/>
            <w:tcMar>
              <w:top w:type="dxa" w:w="60"/>
              <w:left w:type="dxa" w:w="100"/>
              <w:bottom w:type="dxa" w:w="60"/>
              <w:right w:type="dxa" w:w="100"/>
            </w:tcMar>
            <w:vAlign w:val="center"/>
          </w:tcPr>
          <w:p>
            <w:pPr>
              <w:jc w:val="center"/>
            </w:pPr>
            <w:r>
              <w:rPr>
                <w:sz w:val="20"/>
                <w:szCs w:val="20"/>
              </w:rPr>
              <w:t xml:space="preserve">0.203</w:t>
            </w:r>
          </w:p>
        </w:tc>
        <w:tc>
          <w:tcPr>
            <w:tcW w:type="dxa" w:w="1500"/>
            <w:tcMar>
              <w:top w:type="dxa" w:w="60"/>
              <w:left w:type="dxa" w:w="100"/>
              <w:bottom w:type="dxa" w:w="60"/>
              <w:right w:type="dxa" w:w="100"/>
            </w:tcMar>
            <w:vAlign w:val="center"/>
          </w:tcPr>
          <w:p>
            <w:pPr>
              <w:jc w:val="center"/>
            </w:pPr>
            <w:r>
              <w:rPr>
                <w:sz w:val="20"/>
                <w:szCs w:val="20"/>
              </w:rPr>
              <w:t xml:space="preserve">12 / 16,215</w:t>
            </w:r>
          </w:p>
        </w:tc>
        <w:tc>
          <w:tcPr>
            <w:tcW w:type="dxa" w:w="900"/>
            <w:tcMar>
              <w:top w:type="dxa" w:w="60"/>
              <w:left w:type="dxa" w:w="100"/>
              <w:bottom w:type="dxa" w:w="60"/>
              <w:right w:type="dxa" w:w="100"/>
            </w:tcMar>
            <w:vAlign w:val="center"/>
          </w:tcPr>
          <w:p>
            <w:pPr>
              <w:jc w:val="center"/>
            </w:pPr>
            <w:r>
              <w:rPr>
                <w:sz w:val="20"/>
                <w:szCs w:val="20"/>
              </w:rPr>
              <w:t xml:space="preserve">0.074%</w:t>
            </w:r>
          </w:p>
        </w:tc>
        <w:tc>
          <w:tcPr>
            <w:tcW w:type="dxa" w:w="900"/>
            <w:tcMar>
              <w:top w:type="dxa" w:w="60"/>
              <w:left w:type="dxa" w:w="100"/>
              <w:bottom w:type="dxa" w:w="60"/>
              <w:right w:type="dxa" w:w="100"/>
            </w:tcMar>
            <w:vAlign w:val="center"/>
          </w:tcPr>
          <w:p>
            <w:pPr>
              <w:jc w:val="center"/>
            </w:pPr>
            <w:r>
              <w:rPr>
                <w:sz w:val="20"/>
                <w:szCs w:val="20"/>
              </w:rPr>
              <w:t xml:space="preserve">14</w:t>
            </w:r>
          </w:p>
        </w:tc>
        <w:tc>
          <w:tcPr>
            <w:tcW w:type="dxa" w:w="800"/>
            <w:tcMar>
              <w:top w:type="dxa" w:w="60"/>
              <w:left w:type="dxa" w:w="100"/>
              <w:bottom w:type="dxa" w:w="60"/>
              <w:right w:type="dxa" w:w="100"/>
            </w:tcMar>
            <w:vAlign w:val="center"/>
          </w:tcPr>
          <w:p>
            <w:pPr>
              <w:jc w:val="center"/>
            </w:pPr>
            <w:r>
              <w:rPr>
                <w:sz w:val="20"/>
                <w:szCs w:val="20"/>
              </w:rPr>
              <w:t xml:space="preserve">6.61%</w:t>
            </w:r>
          </w:p>
        </w:tc>
      </w:tr>
      <w:tr>
        <w:tc>
          <w:tcPr>
            <w:tcW w:type="dxa" w:w="2700"/>
            <w:tcMar>
              <w:top w:type="dxa" w:w="60"/>
              <w:left w:type="dxa" w:w="100"/>
              <w:bottom w:type="dxa" w:w="60"/>
              <w:right w:type="dxa" w:w="100"/>
            </w:tcMar>
            <w:vAlign w:val="center"/>
          </w:tcPr>
          <w:p>
            <w:pPr>
              <w:jc w:val="left"/>
            </w:pPr>
            <w:r>
              <w:rPr>
                <w:sz w:val="20"/>
                <w:szCs w:val="20"/>
              </w:rPr>
              <w:t xml:space="preserve">100 KB (prune 30%), distillation + clipped inputs</w:t>
            </w:r>
          </w:p>
        </w:tc>
        <w:tc>
          <w:tcPr>
            <w:tcW w:type="dxa" w:w="1900"/>
            <w:tcMar>
              <w:top w:type="dxa" w:w="60"/>
              <w:left w:type="dxa" w:w="100"/>
              <w:bottom w:type="dxa" w:w="60"/>
              <w:right w:type="dxa" w:w="100"/>
            </w:tcMar>
            <w:vAlign w:val="center"/>
          </w:tcPr>
          <w:p>
            <w:pPr>
              <w:jc w:val="center"/>
            </w:pPr>
            <w:r>
              <w:rPr>
                <w:sz w:val="20"/>
                <w:szCs w:val="20"/>
              </w:rPr>
              <w:t xml:space="preserve">client val., recall ≥ 99.99%</w:t>
            </w:r>
          </w:p>
        </w:tc>
        <w:tc>
          <w:tcPr>
            <w:tcW w:type="dxa" w:w="800"/>
            <w:tcMar>
              <w:top w:type="dxa" w:w="60"/>
              <w:left w:type="dxa" w:w="100"/>
              <w:bottom w:type="dxa" w:w="60"/>
              <w:right w:type="dxa" w:w="100"/>
            </w:tcMar>
            <w:vAlign w:val="center"/>
          </w:tcPr>
          <w:p>
            <w:pPr>
              <w:jc w:val="center"/>
            </w:pPr>
            <w:r>
              <w:rPr>
                <w:sz w:val="20"/>
                <w:szCs w:val="20"/>
              </w:rPr>
              <w:t xml:space="preserve">0.186</w:t>
            </w:r>
          </w:p>
        </w:tc>
        <w:tc>
          <w:tcPr>
            <w:tcW w:type="dxa" w:w="1500"/>
            <w:tcMar>
              <w:top w:type="dxa" w:w="60"/>
              <w:left w:type="dxa" w:w="100"/>
              <w:bottom w:type="dxa" w:w="60"/>
              <w:right w:type="dxa" w:w="100"/>
            </w:tcMar>
            <w:vAlign w:val="center"/>
          </w:tcPr>
          <w:p>
            <w:pPr>
              <w:jc w:val="center"/>
            </w:pPr>
            <w:r>
              <w:rPr>
                <w:sz w:val="20"/>
                <w:szCs w:val="20"/>
              </w:rPr>
              <w:t xml:space="preserve">5 / 16,215</w:t>
            </w:r>
          </w:p>
        </w:tc>
        <w:tc>
          <w:tcPr>
            <w:tcW w:type="dxa" w:w="900"/>
            <w:tcMar>
              <w:top w:type="dxa" w:w="60"/>
              <w:left w:type="dxa" w:w="100"/>
              <w:bottom w:type="dxa" w:w="60"/>
              <w:right w:type="dxa" w:w="100"/>
            </w:tcMar>
            <w:vAlign w:val="center"/>
          </w:tcPr>
          <w:p>
            <w:pPr>
              <w:jc w:val="center"/>
            </w:pPr>
            <w:r>
              <w:rPr>
                <w:sz w:val="20"/>
                <w:szCs w:val="20"/>
              </w:rPr>
              <w:t xml:space="preserve">0.031%</w:t>
            </w:r>
          </w:p>
        </w:tc>
        <w:tc>
          <w:tcPr>
            <w:tcW w:type="dxa" w:w="900"/>
            <w:tcMar>
              <w:top w:type="dxa" w:w="60"/>
              <w:left w:type="dxa" w:w="100"/>
              <w:bottom w:type="dxa" w:w="60"/>
              <w:right w:type="dxa" w:w="100"/>
            </w:tcMar>
            <w:vAlign w:val="center"/>
          </w:tcPr>
          <w:p>
            <w:pPr>
              <w:jc w:val="center"/>
            </w:pPr>
            <w:r>
              <w:rPr>
                <w:sz w:val="20"/>
                <w:szCs w:val="20"/>
              </w:rPr>
              <w:t xml:space="preserve">8</w:t>
            </w:r>
          </w:p>
        </w:tc>
        <w:tc>
          <w:tcPr>
            <w:tcW w:type="dxa" w:w="800"/>
            <w:tcMar>
              <w:top w:type="dxa" w:w="60"/>
              <w:left w:type="dxa" w:w="100"/>
              <w:bottom w:type="dxa" w:w="60"/>
              <w:right w:type="dxa" w:w="100"/>
            </w:tcMar>
            <w:vAlign w:val="center"/>
          </w:tcPr>
          <w:p>
            <w:pPr>
              <w:jc w:val="center"/>
            </w:pPr>
            <w:r>
              <w:rPr>
                <w:sz w:val="20"/>
                <w:szCs w:val="20"/>
              </w:rPr>
              <w:t xml:space="preserve">9.07%</w:t>
            </w:r>
          </w:p>
        </w:tc>
      </w:tr>
    </w:tbl>
    <w:p>
      <w:pPr>
        <w:spacing w:after="240" w:before="80"/>
      </w:pPr>
      <w:r>
        <w:rPr>
          <w:i/>
          <w:iCs/>
          <w:sz w:val="20"/>
          <w:szCs w:val="20"/>
        </w:rPr>
        <w:t xml:space="preserve">Table 13. Recall-priority deployment on TON_IoT (16,215 test attacks), same procedure as Table 11; the client validation set is 8,000 held-out samples of client 0.</w:t>
      </w:r>
    </w:p>
    <w:p>
      <w:pPr>
        <w:spacing w:after="160"/>
      </w:pPr>
      <w:r>
        <w:t xml:space="preserve">We also applied the two levers of Section 5.15 to both deployed recipes (same three fine-tuning draws, threshold for 99.99% client-validation recall). Holding the QAT activation ranges at values calibrated on the client's clipped fine-tuning inputs (99.99th percentile) moves the operating point along the same trade-off curve rather than improving it: on CIC-IDS2017 the 112 KB model misses 28.7 attacks at an 8.6% FAR (deployed recipe: 23.3 at 9.7%), and on TON_IoT the 57 KB model misses 8.3 at 7.1% (deployed: 12.0 at 6.6%); at a fixed 0.2 threshold the TON_IoT models are equal (13.3 vs. 14.3 missed at 6.3% FAR). Cross-layer equalization before QAT makes CIC-IDS2017 worse (29.3 missed, and one draw reaches an 84% FAR). The recall-priority recipe already fine-tunes on clipped inputs, which bounds the input quantization range, the lever identified in Section 5.15, so we keep the deployed models. Source: runs 2026-10-05_x5_recall_fixed_cic and _x6_recall_fixed_ton.</w:t>
      </w:r>
    </w:p>
    <w:p>
      <w:pPr>
        <w:spacing w:after="160"/>
      </w:pPr>
      <w:r>
        <w:t xml:space="preserve">For a recall-priority deployment we therefore recommend one recipe for both datasets: distillation from the federated model, QAT fine-tuning on clipped inputs with federated fine-tuning across clients, and a threshold chosen on client-held data for the required recall. On a 65 KB budget for CIC-IDS2017 the price is about one benign flow in nine raising an alert; where 112 KB of flash is available, 30% pruning lowers that to about one in ten at the same recall and keeps the rare Heartbleed attacks. On TON_IoT the 57 KB model misses 12 of 16,215 attacks at about one false alarm in fifteen benign records. We deploy the CIC-IDS2017 112 KB model and the TON_IoT 57 KB federated-fine-tuned model (first fine-tuning draw of each; Section 5.8) and benchmark them on the ESP32 (Section 6.1).</w:t>
      </w:r>
    </w:p>
    <w:p>
      <w:pPr>
        <w:pStyle w:val="Heading2"/>
        <w:spacing w:after="140" w:before="260"/>
      </w:pPr>
      <w:r>
        <w:t xml:space="preserve">5.14 How the TON_IoT Recipe Was Chosen</w:t>
      </w:r>
    </w:p>
    <w:p>
      <w:pPr>
        <w:spacing w:after="160"/>
      </w:pPr>
      <w:r>
        <w:t xml:space="preserve">Our first TON_IoT runs reused three settings from CIC-IDS2017 without tuning them: focal α = 0.35 down-weights the attack class, which on TON_IoT is the majority; SMOTE therefore synthesizes benign rather than attack records; and the DNS query and URI fields were dropped entirely (37 features). We trained eight variants of the federated model with 10% of the training split held out and selected among them only on that validation set, by the false-alarm rate at the threshold that reaches 99.9% validation recall (Table 14). The test split was not used for selection, and all TON_IoT results in this paper use the selected recipe.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000"/>
        <w:gridCol w:w="1900"/>
        <w:gridCol w:w="1000"/>
      </w:tblGrid>
      <w:tr>
        <w:trPr>
          <w:tblHeader/>
        </w:trPr>
        <w:tc>
          <w:tcPr>
            <w:tcW w:type="dxa" w:w="3600"/>
            <w:shd w:fill="D9E2F3" w:val="clear"/>
            <w:tcMar>
              <w:top w:type="dxa" w:w="60"/>
              <w:left w:type="dxa" w:w="100"/>
              <w:bottom w:type="dxa" w:w="60"/>
              <w:right w:type="dxa" w:w="100"/>
            </w:tcMar>
            <w:vAlign w:val="center"/>
          </w:tcPr>
          <w:p>
            <w:pPr>
              <w:jc w:val="center"/>
            </w:pPr>
            <w:r>
              <w:rPr>
                <w:b/>
                <w:bCs/>
                <w:sz w:val="20"/>
                <w:szCs w:val="20"/>
              </w:rPr>
              <w:t xml:space="preserve">Variant (TON_IoT, federated, 60 rounds)</w:t>
            </w:r>
          </w:p>
        </w:tc>
        <w:tc>
          <w:tcPr>
            <w:tcW w:type="dxa" w:w="1500"/>
            <w:shd w:fill="D9E2F3" w:val="clear"/>
            <w:tcMar>
              <w:top w:type="dxa" w:w="60"/>
              <w:left w:type="dxa" w:w="100"/>
              <w:bottom w:type="dxa" w:w="60"/>
              <w:right w:type="dxa" w:w="100"/>
            </w:tcMar>
            <w:vAlign w:val="center"/>
          </w:tcPr>
          <w:p>
            <w:pPr>
              <w:jc w:val="center"/>
            </w:pPr>
            <w:r>
              <w:rPr>
                <w:b/>
                <w:bCs/>
                <w:sz w:val="20"/>
                <w:szCs w:val="20"/>
              </w:rPr>
              <w:t xml:space="preserve">FAR at 99.9% val. recall</w:t>
            </w:r>
          </w:p>
        </w:tc>
        <w:tc>
          <w:tcPr>
            <w:tcW w:type="dxa" w:w="1000"/>
            <w:shd w:fill="D9E2F3" w:val="clear"/>
            <w:tcMar>
              <w:top w:type="dxa" w:w="60"/>
              <w:left w:type="dxa" w:w="100"/>
              <w:bottom w:type="dxa" w:w="60"/>
              <w:right w:type="dxa" w:w="100"/>
            </w:tcMar>
            <w:vAlign w:val="center"/>
          </w:tcPr>
          <w:p>
            <w:pPr>
              <w:jc w:val="center"/>
            </w:pPr>
            <w:r>
              <w:rPr>
                <w:b/>
                <w:bCs/>
                <w:sz w:val="20"/>
                <w:szCs w:val="20"/>
              </w:rPr>
              <w:t xml:space="preserve">F1 at 0.3</w:t>
            </w:r>
          </w:p>
        </w:tc>
        <w:tc>
          <w:tcPr>
            <w:tcW w:type="dxa" w:w="1900"/>
            <w:shd w:fill="D9E2F3" w:val="clear"/>
            <w:tcMar>
              <w:top w:type="dxa" w:w="60"/>
              <w:left w:type="dxa" w:w="100"/>
              <w:bottom w:type="dxa" w:w="60"/>
              <w:right w:type="dxa" w:w="100"/>
            </w:tcMar>
            <w:vAlign w:val="center"/>
          </w:tcPr>
          <w:p>
            <w:pPr>
              <w:jc w:val="center"/>
            </w:pPr>
            <w:r>
              <w:rPr>
                <w:b/>
                <w:bCs/>
                <w:sz w:val="20"/>
                <w:szCs w:val="20"/>
              </w:rPr>
              <w:t xml:space="preserve">Missed val. attacks at 0.3 (of 6,485)</w:t>
            </w:r>
          </w:p>
        </w:tc>
        <w:tc>
          <w:tcPr>
            <w:tcW w:type="dxa" w:w="1000"/>
            <w:shd w:fill="D9E2F3" w:val="clear"/>
            <w:tcMar>
              <w:top w:type="dxa" w:w="60"/>
              <w:left w:type="dxa" w:w="100"/>
              <w:bottom w:type="dxa" w:w="60"/>
              <w:right w:type="dxa" w:w="100"/>
            </w:tcMar>
            <w:vAlign w:val="center"/>
          </w:tcPr>
          <w:p>
            <w:pPr>
              <w:jc w:val="center"/>
            </w:pPr>
            <w:r>
              <w:rPr>
                <w:b/>
                <w:bCs/>
                <w:sz w:val="20"/>
                <w:szCs w:val="20"/>
              </w:rPr>
              <w:t xml:space="preserve">PR-AUC</w:t>
            </w:r>
          </w:p>
        </w:tc>
      </w:tr>
      <w:tr>
        <w:tc>
          <w:tcPr>
            <w:tcW w:type="dxa" w:w="3600"/>
            <w:tcMar>
              <w:top w:type="dxa" w:w="60"/>
              <w:left w:type="dxa" w:w="100"/>
              <w:bottom w:type="dxa" w:w="60"/>
              <w:right w:type="dxa" w:w="100"/>
            </w:tcMar>
            <w:vAlign w:val="center"/>
          </w:tcPr>
          <w:p>
            <w:pPr>
              <w:jc w:val="left"/>
            </w:pPr>
            <w:r>
              <w:rPr>
                <w:sz w:val="20"/>
                <w:szCs w:val="20"/>
              </w:rPr>
              <w:t xml:space="preserve">Initial recipe (37 features, α = 0.35, SMOTE)</w:t>
            </w:r>
          </w:p>
        </w:tc>
        <w:tc>
          <w:tcPr>
            <w:tcW w:type="dxa" w:w="1500"/>
            <w:tcMar>
              <w:top w:type="dxa" w:w="60"/>
              <w:left w:type="dxa" w:w="100"/>
              <w:bottom w:type="dxa" w:w="60"/>
              <w:right w:type="dxa" w:w="100"/>
            </w:tcMar>
            <w:vAlign w:val="center"/>
          </w:tcPr>
          <w:p>
            <w:pPr>
              <w:jc w:val="center"/>
            </w:pPr>
            <w:r>
              <w:rPr>
                <w:sz w:val="20"/>
                <w:szCs w:val="20"/>
              </w:rPr>
              <w:t xml:space="preserve">6.84%</w:t>
            </w:r>
          </w:p>
        </w:tc>
        <w:tc>
          <w:tcPr>
            <w:tcW w:type="dxa" w:w="1000"/>
            <w:tcMar>
              <w:top w:type="dxa" w:w="60"/>
              <w:left w:type="dxa" w:w="100"/>
              <w:bottom w:type="dxa" w:w="60"/>
              <w:right w:type="dxa" w:w="100"/>
            </w:tcMar>
            <w:vAlign w:val="center"/>
          </w:tcPr>
          <w:p>
            <w:pPr>
              <w:jc w:val="center"/>
            </w:pPr>
            <w:r>
              <w:rPr>
                <w:sz w:val="20"/>
                <w:szCs w:val="20"/>
              </w:rPr>
              <w:t xml:space="preserve">99.36</w:t>
            </w:r>
          </w:p>
        </w:tc>
        <w:tc>
          <w:tcPr>
            <w:tcW w:type="dxa" w:w="1900"/>
            <w:tcMar>
              <w:top w:type="dxa" w:w="60"/>
              <w:left w:type="dxa" w:w="100"/>
              <w:bottom w:type="dxa" w:w="60"/>
              <w:right w:type="dxa" w:w="100"/>
            </w:tcMar>
            <w:vAlign w:val="center"/>
          </w:tcPr>
          <w:p>
            <w:pPr>
              <w:jc w:val="center"/>
            </w:pPr>
            <w:r>
              <w:rPr>
                <w:sz w:val="20"/>
                <w:szCs w:val="20"/>
              </w:rPr>
              <w:t xml:space="preserve">18</w:t>
            </w:r>
          </w:p>
        </w:tc>
        <w:tc>
          <w:tcPr>
            <w:tcW w:type="dxa" w:w="1000"/>
            <w:tcMar>
              <w:top w:type="dxa" w:w="60"/>
              <w:left w:type="dxa" w:w="100"/>
              <w:bottom w:type="dxa" w:w="60"/>
              <w:right w:type="dxa" w:w="100"/>
            </w:tcMar>
            <w:vAlign w:val="center"/>
          </w:tcPr>
          <w:p>
            <w:pPr>
              <w:jc w:val="center"/>
            </w:pPr>
            <w:r>
              <w:rPr>
                <w:sz w:val="20"/>
                <w:szCs w:val="20"/>
              </w:rPr>
              <w:t xml:space="preserve">0.99932</w:t>
            </w:r>
          </w:p>
        </w:tc>
      </w:tr>
      <w:tr>
        <w:tc>
          <w:tcPr>
            <w:tcW w:type="dxa" w:w="3600"/>
            <w:tcMar>
              <w:top w:type="dxa" w:w="60"/>
              <w:left w:type="dxa" w:w="100"/>
              <w:bottom w:type="dxa" w:w="60"/>
              <w:right w:type="dxa" w:w="100"/>
            </w:tcMar>
            <w:vAlign w:val="center"/>
          </w:tcPr>
          <w:p>
            <w:pPr>
              <w:jc w:val="left"/>
            </w:pPr>
            <w:r>
              <w:rPr>
                <w:sz w:val="20"/>
                <w:szCs w:val="20"/>
              </w:rPr>
              <w:t xml:space="preserve">Focal α = 0.5</w:t>
            </w:r>
          </w:p>
        </w:tc>
        <w:tc>
          <w:tcPr>
            <w:tcW w:type="dxa" w:w="1500"/>
            <w:tcMar>
              <w:top w:type="dxa" w:w="60"/>
              <w:left w:type="dxa" w:w="100"/>
              <w:bottom w:type="dxa" w:w="60"/>
              <w:right w:type="dxa" w:w="100"/>
            </w:tcMar>
            <w:vAlign w:val="center"/>
          </w:tcPr>
          <w:p>
            <w:pPr>
              <w:jc w:val="center"/>
            </w:pPr>
            <w:r>
              <w:rPr>
                <w:sz w:val="20"/>
                <w:szCs w:val="20"/>
              </w:rPr>
              <w:t xml:space="preserve">3.78%</w:t>
            </w:r>
          </w:p>
        </w:tc>
        <w:tc>
          <w:tcPr>
            <w:tcW w:type="dxa" w:w="1000"/>
            <w:tcMar>
              <w:top w:type="dxa" w:w="60"/>
              <w:left w:type="dxa" w:w="100"/>
              <w:bottom w:type="dxa" w:w="60"/>
              <w:right w:type="dxa" w:w="100"/>
            </w:tcMar>
            <w:vAlign w:val="center"/>
          </w:tcPr>
          <w:p>
            <w:pPr>
              <w:jc w:val="center"/>
            </w:pPr>
            <w:r>
              <w:rPr>
                <w:sz w:val="20"/>
                <w:szCs w:val="20"/>
              </w:rPr>
              <w:t xml:space="preserve">99.35</w:t>
            </w:r>
          </w:p>
        </w:tc>
        <w:tc>
          <w:tcPr>
            <w:tcW w:type="dxa" w:w="1900"/>
            <w:tcMar>
              <w:top w:type="dxa" w:w="60"/>
              <w:left w:type="dxa" w:w="100"/>
              <w:bottom w:type="dxa" w:w="60"/>
              <w:right w:type="dxa" w:w="100"/>
            </w:tcMar>
            <w:vAlign w:val="center"/>
          </w:tcPr>
          <w:p>
            <w:pPr>
              <w:jc w:val="center"/>
            </w:pPr>
            <w:r>
              <w:rPr>
                <w:sz w:val="20"/>
                <w:szCs w:val="20"/>
              </w:rPr>
              <w:t xml:space="preserve">12</w:t>
            </w:r>
          </w:p>
        </w:tc>
        <w:tc>
          <w:tcPr>
            <w:tcW w:type="dxa" w:w="1000"/>
            <w:tcMar>
              <w:top w:type="dxa" w:w="60"/>
              <w:left w:type="dxa" w:w="100"/>
              <w:bottom w:type="dxa" w:w="60"/>
              <w:right w:type="dxa" w:w="100"/>
            </w:tcMar>
            <w:vAlign w:val="center"/>
          </w:tcPr>
          <w:p>
            <w:pPr>
              <w:jc w:val="center"/>
            </w:pPr>
            <w:r>
              <w:rPr>
                <w:sz w:val="20"/>
                <w:szCs w:val="20"/>
              </w:rPr>
              <w:t xml:space="preserve">0.99941</w:t>
            </w:r>
          </w:p>
        </w:tc>
      </w:tr>
      <w:tr>
        <w:tc>
          <w:tcPr>
            <w:tcW w:type="dxa" w:w="3600"/>
            <w:tcMar>
              <w:top w:type="dxa" w:w="60"/>
              <w:left w:type="dxa" w:w="100"/>
              <w:bottom w:type="dxa" w:w="60"/>
              <w:right w:type="dxa" w:w="100"/>
            </w:tcMar>
            <w:vAlign w:val="center"/>
          </w:tcPr>
          <w:p>
            <w:pPr>
              <w:jc w:val="left"/>
            </w:pPr>
            <w:r>
              <w:rPr>
                <w:sz w:val="20"/>
                <w:szCs w:val="20"/>
              </w:rPr>
              <w:t xml:space="preserve">Focal α = 0.65</w:t>
            </w:r>
          </w:p>
        </w:tc>
        <w:tc>
          <w:tcPr>
            <w:tcW w:type="dxa" w:w="1500"/>
            <w:tcMar>
              <w:top w:type="dxa" w:w="60"/>
              <w:left w:type="dxa" w:w="100"/>
              <w:bottom w:type="dxa" w:w="60"/>
              <w:right w:type="dxa" w:w="100"/>
            </w:tcMar>
            <w:vAlign w:val="center"/>
          </w:tcPr>
          <w:p>
            <w:pPr>
              <w:jc w:val="center"/>
            </w:pPr>
            <w:r>
              <w:rPr>
                <w:sz w:val="20"/>
                <w:szCs w:val="20"/>
              </w:rPr>
              <w:t xml:space="preserve">7.72%</w:t>
            </w:r>
          </w:p>
        </w:tc>
        <w:tc>
          <w:tcPr>
            <w:tcW w:type="dxa" w:w="1000"/>
            <w:tcMar>
              <w:top w:type="dxa" w:w="60"/>
              <w:left w:type="dxa" w:w="100"/>
              <w:bottom w:type="dxa" w:w="60"/>
              <w:right w:type="dxa" w:w="100"/>
            </w:tcMar>
            <w:vAlign w:val="center"/>
          </w:tcPr>
          <w:p>
            <w:pPr>
              <w:jc w:val="center"/>
            </w:pPr>
            <w:r>
              <w:rPr>
                <w:sz w:val="20"/>
                <w:szCs w:val="20"/>
              </w:rPr>
              <w:t xml:space="preserve">99.06</w:t>
            </w:r>
          </w:p>
        </w:tc>
        <w:tc>
          <w:tcPr>
            <w:tcW w:type="dxa" w:w="1900"/>
            <w:tcMar>
              <w:top w:type="dxa" w:w="60"/>
              <w:left w:type="dxa" w:w="100"/>
              <w:bottom w:type="dxa" w:w="60"/>
              <w:right w:type="dxa" w:w="100"/>
            </w:tcMar>
            <w:vAlign w:val="center"/>
          </w:tcPr>
          <w:p>
            <w:pPr>
              <w:jc w:val="center"/>
            </w:pPr>
            <w:r>
              <w:rPr>
                <w:sz w:val="20"/>
                <w:szCs w:val="20"/>
              </w:rPr>
              <w:t xml:space="preserve">8</w:t>
            </w:r>
          </w:p>
        </w:tc>
        <w:tc>
          <w:tcPr>
            <w:tcW w:type="dxa" w:w="1000"/>
            <w:tcMar>
              <w:top w:type="dxa" w:w="60"/>
              <w:left w:type="dxa" w:w="100"/>
              <w:bottom w:type="dxa" w:w="60"/>
              <w:right w:type="dxa" w:w="100"/>
            </w:tcMar>
            <w:vAlign w:val="center"/>
          </w:tcPr>
          <w:p>
            <w:pPr>
              <w:jc w:val="center"/>
            </w:pPr>
            <w:r>
              <w:rPr>
                <w:sz w:val="20"/>
                <w:szCs w:val="20"/>
              </w:rPr>
              <w:t xml:space="preserve">0.99927</w:t>
            </w:r>
          </w:p>
        </w:tc>
      </w:tr>
      <w:tr>
        <w:tc>
          <w:tcPr>
            <w:tcW w:type="dxa" w:w="3600"/>
            <w:tcMar>
              <w:top w:type="dxa" w:w="60"/>
              <w:left w:type="dxa" w:w="100"/>
              <w:bottom w:type="dxa" w:w="60"/>
              <w:right w:type="dxa" w:w="100"/>
            </w:tcMar>
            <w:vAlign w:val="center"/>
          </w:tcPr>
          <w:p>
            <w:pPr>
              <w:jc w:val="left"/>
            </w:pPr>
            <w:r>
              <w:rPr>
                <w:sz w:val="20"/>
                <w:szCs w:val="20"/>
              </w:rPr>
              <w:t xml:space="preserve">No SMOTE</w:t>
            </w:r>
          </w:p>
        </w:tc>
        <w:tc>
          <w:tcPr>
            <w:tcW w:type="dxa" w:w="1500"/>
            <w:tcMar>
              <w:top w:type="dxa" w:w="60"/>
              <w:left w:type="dxa" w:w="100"/>
              <w:bottom w:type="dxa" w:w="60"/>
              <w:right w:type="dxa" w:w="100"/>
            </w:tcMar>
            <w:vAlign w:val="center"/>
          </w:tcPr>
          <w:p>
            <w:pPr>
              <w:jc w:val="center"/>
            </w:pPr>
            <w:r>
              <w:rPr>
                <w:sz w:val="20"/>
                <w:szCs w:val="20"/>
              </w:rPr>
              <w:t xml:space="preserve">4.30%</w:t>
            </w:r>
          </w:p>
        </w:tc>
        <w:tc>
          <w:tcPr>
            <w:tcW w:type="dxa" w:w="1000"/>
            <w:tcMar>
              <w:top w:type="dxa" w:w="60"/>
              <w:left w:type="dxa" w:w="100"/>
              <w:bottom w:type="dxa" w:w="60"/>
              <w:right w:type="dxa" w:w="100"/>
            </w:tcMar>
            <w:vAlign w:val="center"/>
          </w:tcPr>
          <w:p>
            <w:pPr>
              <w:jc w:val="center"/>
            </w:pPr>
            <w:r>
              <w:rPr>
                <w:sz w:val="20"/>
                <w:szCs w:val="20"/>
              </w:rPr>
              <w:t xml:space="preserve">99.28</w:t>
            </w:r>
          </w:p>
        </w:tc>
        <w:tc>
          <w:tcPr>
            <w:tcW w:type="dxa" w:w="1900"/>
            <w:tcMar>
              <w:top w:type="dxa" w:w="60"/>
              <w:left w:type="dxa" w:w="100"/>
              <w:bottom w:type="dxa" w:w="60"/>
              <w:right w:type="dxa" w:w="100"/>
            </w:tcMar>
            <w:vAlign w:val="center"/>
          </w:tcPr>
          <w:p>
            <w:pPr>
              <w:jc w:val="center"/>
            </w:pPr>
            <w:r>
              <w:rPr>
                <w:sz w:val="20"/>
                <w:szCs w:val="20"/>
              </w:rPr>
              <w:t xml:space="preserve">12</w:t>
            </w:r>
          </w:p>
        </w:tc>
        <w:tc>
          <w:tcPr>
            <w:tcW w:type="dxa" w:w="1000"/>
            <w:tcMar>
              <w:top w:type="dxa" w:w="60"/>
              <w:left w:type="dxa" w:w="100"/>
              <w:bottom w:type="dxa" w:w="60"/>
              <w:right w:type="dxa" w:w="100"/>
            </w:tcMar>
            <w:vAlign w:val="center"/>
          </w:tcPr>
          <w:p>
            <w:pPr>
              <w:jc w:val="center"/>
            </w:pPr>
            <w:r>
              <w:rPr>
                <w:sz w:val="20"/>
                <w:szCs w:val="20"/>
              </w:rPr>
              <w:t xml:space="preserve">0.99957</w:t>
            </w:r>
          </w:p>
        </w:tc>
      </w:tr>
      <w:tr>
        <w:tc>
          <w:tcPr>
            <w:tcW w:type="dxa" w:w="3600"/>
            <w:tcMar>
              <w:top w:type="dxa" w:w="60"/>
              <w:left w:type="dxa" w:w="100"/>
              <w:bottom w:type="dxa" w:w="60"/>
              <w:right w:type="dxa" w:w="100"/>
            </w:tcMar>
            <w:vAlign w:val="center"/>
          </w:tcPr>
          <w:p>
            <w:pPr>
              <w:jc w:val="left"/>
            </w:pPr>
            <w:r>
              <w:rPr>
                <w:sz w:val="20"/>
                <w:szCs w:val="20"/>
              </w:rPr>
              <w:t xml:space="preserve">Text-derived features (43 features)</w:t>
            </w:r>
          </w:p>
        </w:tc>
        <w:tc>
          <w:tcPr>
            <w:tcW w:type="dxa" w:w="1500"/>
            <w:tcMar>
              <w:top w:type="dxa" w:w="60"/>
              <w:left w:type="dxa" w:w="100"/>
              <w:bottom w:type="dxa" w:w="60"/>
              <w:right w:type="dxa" w:w="100"/>
            </w:tcMar>
            <w:vAlign w:val="center"/>
          </w:tcPr>
          <w:p>
            <w:pPr>
              <w:jc w:val="center"/>
            </w:pPr>
            <w:r>
              <w:rPr>
                <w:sz w:val="20"/>
                <w:szCs w:val="20"/>
              </w:rPr>
              <w:t xml:space="preserve">3.21%</w:t>
            </w:r>
          </w:p>
        </w:tc>
        <w:tc>
          <w:tcPr>
            <w:tcW w:type="dxa" w:w="1000"/>
            <w:tcMar>
              <w:top w:type="dxa" w:w="60"/>
              <w:left w:type="dxa" w:w="100"/>
              <w:bottom w:type="dxa" w:w="60"/>
              <w:right w:type="dxa" w:w="100"/>
            </w:tcMar>
            <w:vAlign w:val="center"/>
          </w:tcPr>
          <w:p>
            <w:pPr>
              <w:jc w:val="center"/>
            </w:pPr>
            <w:r>
              <w:rPr>
                <w:sz w:val="20"/>
                <w:szCs w:val="20"/>
              </w:rPr>
              <w:t xml:space="preserve">99.45</w:t>
            </w:r>
          </w:p>
        </w:tc>
        <w:tc>
          <w:tcPr>
            <w:tcW w:type="dxa" w:w="1900"/>
            <w:tcMar>
              <w:top w:type="dxa" w:w="60"/>
              <w:left w:type="dxa" w:w="100"/>
              <w:bottom w:type="dxa" w:w="60"/>
              <w:right w:type="dxa" w:w="100"/>
            </w:tcMar>
            <w:vAlign w:val="center"/>
          </w:tcPr>
          <w:p>
            <w:pPr>
              <w:jc w:val="center"/>
            </w:pPr>
            <w:r>
              <w:rPr>
                <w:sz w:val="20"/>
                <w:szCs w:val="20"/>
              </w:rPr>
              <w:t xml:space="preserve">6</w:t>
            </w:r>
          </w:p>
        </w:tc>
        <w:tc>
          <w:tcPr>
            <w:tcW w:type="dxa" w:w="1000"/>
            <w:tcMar>
              <w:top w:type="dxa" w:w="60"/>
              <w:left w:type="dxa" w:w="100"/>
              <w:bottom w:type="dxa" w:w="60"/>
              <w:right w:type="dxa" w:w="100"/>
            </w:tcMar>
            <w:vAlign w:val="center"/>
          </w:tcPr>
          <w:p>
            <w:pPr>
              <w:jc w:val="center"/>
            </w:pPr>
            <w:r>
              <w:rPr>
                <w:sz w:val="20"/>
                <w:szCs w:val="20"/>
              </w:rPr>
              <w:t xml:space="preserve">0.99942</w:t>
            </w:r>
          </w:p>
        </w:tc>
      </w:tr>
      <w:tr>
        <w:tc>
          <w:tcPr>
            <w:tcW w:type="dxa" w:w="3600"/>
            <w:tcMar>
              <w:top w:type="dxa" w:w="60"/>
              <w:left w:type="dxa" w:w="100"/>
              <w:bottom w:type="dxa" w:w="60"/>
              <w:right w:type="dxa" w:w="100"/>
            </w:tcMar>
            <w:vAlign w:val="center"/>
          </w:tcPr>
          <w:p>
            <w:pPr>
              <w:jc w:val="left"/>
            </w:pPr>
            <w:r>
              <w:rPr>
                <w:sz w:val="20"/>
                <w:szCs w:val="20"/>
              </w:rPr>
              <w:t xml:space="preserve">100 rounds</w:t>
            </w:r>
          </w:p>
        </w:tc>
        <w:tc>
          <w:tcPr>
            <w:tcW w:type="dxa" w:w="1500"/>
            <w:tcMar>
              <w:top w:type="dxa" w:w="60"/>
              <w:left w:type="dxa" w:w="100"/>
              <w:bottom w:type="dxa" w:w="60"/>
              <w:right w:type="dxa" w:w="100"/>
            </w:tcMar>
            <w:vAlign w:val="center"/>
          </w:tcPr>
          <w:p>
            <w:pPr>
              <w:jc w:val="center"/>
            </w:pPr>
            <w:r>
              <w:rPr>
                <w:sz w:val="20"/>
                <w:szCs w:val="20"/>
              </w:rPr>
              <w:t xml:space="preserve">5.18%</w:t>
            </w:r>
          </w:p>
        </w:tc>
        <w:tc>
          <w:tcPr>
            <w:tcW w:type="dxa" w:w="1000"/>
            <w:tcMar>
              <w:top w:type="dxa" w:w="60"/>
              <w:left w:type="dxa" w:w="100"/>
              <w:bottom w:type="dxa" w:w="60"/>
              <w:right w:type="dxa" w:w="100"/>
            </w:tcMar>
            <w:vAlign w:val="center"/>
          </w:tcPr>
          <w:p>
            <w:pPr>
              <w:jc w:val="center"/>
            </w:pPr>
            <w:r>
              <w:rPr>
                <w:sz w:val="20"/>
                <w:szCs w:val="20"/>
              </w:rPr>
              <w:t xml:space="preserve">99.36</w:t>
            </w:r>
          </w:p>
        </w:tc>
        <w:tc>
          <w:tcPr>
            <w:tcW w:type="dxa" w:w="1900"/>
            <w:tcMar>
              <w:top w:type="dxa" w:w="60"/>
              <w:left w:type="dxa" w:w="100"/>
              <w:bottom w:type="dxa" w:w="60"/>
              <w:right w:type="dxa" w:w="100"/>
            </w:tcMar>
            <w:vAlign w:val="center"/>
          </w:tcPr>
          <w:p>
            <w:pPr>
              <w:jc w:val="center"/>
            </w:pPr>
            <w:r>
              <w:rPr>
                <w:sz w:val="20"/>
                <w:szCs w:val="20"/>
              </w:rPr>
              <w:t xml:space="preserve">14</w:t>
            </w:r>
          </w:p>
        </w:tc>
        <w:tc>
          <w:tcPr>
            <w:tcW w:type="dxa" w:w="1000"/>
            <w:tcMar>
              <w:top w:type="dxa" w:w="60"/>
              <w:left w:type="dxa" w:w="100"/>
              <w:bottom w:type="dxa" w:w="60"/>
              <w:right w:type="dxa" w:w="100"/>
            </w:tcMar>
            <w:vAlign w:val="center"/>
          </w:tcPr>
          <w:p>
            <w:pPr>
              <w:jc w:val="center"/>
            </w:pPr>
            <w:r>
              <w:rPr>
                <w:sz w:val="20"/>
                <w:szCs w:val="20"/>
              </w:rPr>
              <w:t xml:space="preserve">0.99806</w:t>
            </w:r>
          </w:p>
        </w:tc>
      </w:tr>
      <w:tr>
        <w:tc>
          <w:tcPr>
            <w:tcW w:type="dxa" w:w="3600"/>
            <w:tcMar>
              <w:top w:type="dxa" w:w="60"/>
              <w:left w:type="dxa" w:w="100"/>
              <w:bottom w:type="dxa" w:w="60"/>
              <w:right w:type="dxa" w:w="100"/>
            </w:tcMar>
            <w:vAlign w:val="center"/>
          </w:tcPr>
          <w:p>
            <w:pPr>
              <w:jc w:val="left"/>
            </w:pPr>
            <w:r>
              <w:rPr>
                <w:sz w:val="20"/>
                <w:szCs w:val="20"/>
              </w:rPr>
              <w:t xml:space="preserve">Text-derived features + focal α = 0.5 (selected)</w:t>
            </w:r>
          </w:p>
        </w:tc>
        <w:tc>
          <w:tcPr>
            <w:tcW w:type="dxa" w:w="1500"/>
            <w:tcMar>
              <w:top w:type="dxa" w:w="60"/>
              <w:left w:type="dxa" w:w="100"/>
              <w:bottom w:type="dxa" w:w="60"/>
              <w:right w:type="dxa" w:w="100"/>
            </w:tcMar>
            <w:vAlign w:val="center"/>
          </w:tcPr>
          <w:p>
            <w:pPr>
              <w:jc w:val="center"/>
            </w:pPr>
            <w:r>
              <w:rPr>
                <w:sz w:val="20"/>
                <w:szCs w:val="20"/>
              </w:rPr>
              <w:t xml:space="preserve">3.01%</w:t>
            </w:r>
          </w:p>
        </w:tc>
        <w:tc>
          <w:tcPr>
            <w:tcW w:type="dxa" w:w="1000"/>
            <w:tcMar>
              <w:top w:type="dxa" w:w="60"/>
              <w:left w:type="dxa" w:w="100"/>
              <w:bottom w:type="dxa" w:w="60"/>
              <w:right w:type="dxa" w:w="100"/>
            </w:tcMar>
            <w:vAlign w:val="center"/>
          </w:tcPr>
          <w:p>
            <w:pPr>
              <w:jc w:val="center"/>
            </w:pPr>
            <w:r>
              <w:rPr>
                <w:sz w:val="20"/>
                <w:szCs w:val="20"/>
              </w:rPr>
              <w:t xml:space="preserve">99.39</w:t>
            </w:r>
          </w:p>
        </w:tc>
        <w:tc>
          <w:tcPr>
            <w:tcW w:type="dxa" w:w="1900"/>
            <w:tcMar>
              <w:top w:type="dxa" w:w="60"/>
              <w:left w:type="dxa" w:w="100"/>
              <w:bottom w:type="dxa" w:w="60"/>
              <w:right w:type="dxa" w:w="100"/>
            </w:tcMar>
            <w:vAlign w:val="center"/>
          </w:tcPr>
          <w:p>
            <w:pPr>
              <w:jc w:val="center"/>
            </w:pPr>
            <w:r>
              <w:rPr>
                <w:sz w:val="20"/>
                <w:szCs w:val="20"/>
              </w:rPr>
              <w:t xml:space="preserve">5</w:t>
            </w:r>
          </w:p>
        </w:tc>
        <w:tc>
          <w:tcPr>
            <w:tcW w:type="dxa" w:w="1000"/>
            <w:tcMar>
              <w:top w:type="dxa" w:w="60"/>
              <w:left w:type="dxa" w:w="100"/>
              <w:bottom w:type="dxa" w:w="60"/>
              <w:right w:type="dxa" w:w="100"/>
            </w:tcMar>
            <w:vAlign w:val="center"/>
          </w:tcPr>
          <w:p>
            <w:pPr>
              <w:jc w:val="center"/>
            </w:pPr>
            <w:r>
              <w:rPr>
                <w:sz w:val="20"/>
                <w:szCs w:val="20"/>
              </w:rPr>
              <w:t xml:space="preserve">0.99887</w:t>
            </w:r>
          </w:p>
        </w:tc>
      </w:tr>
      <w:tr>
        <w:tc>
          <w:tcPr>
            <w:tcW w:type="dxa" w:w="3600"/>
            <w:tcMar>
              <w:top w:type="dxa" w:w="60"/>
              <w:left w:type="dxa" w:w="100"/>
              <w:bottom w:type="dxa" w:w="60"/>
              <w:right w:type="dxa" w:w="100"/>
            </w:tcMar>
            <w:vAlign w:val="center"/>
          </w:tcPr>
          <w:p>
            <w:pPr>
              <w:jc w:val="left"/>
            </w:pPr>
            <w:r>
              <w:rPr>
                <w:sz w:val="20"/>
                <w:szCs w:val="20"/>
              </w:rPr>
              <w:t xml:space="preserve">Text-derived features + no SMOTE</w:t>
            </w:r>
          </w:p>
        </w:tc>
        <w:tc>
          <w:tcPr>
            <w:tcW w:type="dxa" w:w="1500"/>
            <w:tcMar>
              <w:top w:type="dxa" w:w="60"/>
              <w:left w:type="dxa" w:w="100"/>
              <w:bottom w:type="dxa" w:w="60"/>
              <w:right w:type="dxa" w:w="100"/>
            </w:tcMar>
            <w:vAlign w:val="center"/>
          </w:tcPr>
          <w:p>
            <w:pPr>
              <w:jc w:val="center"/>
            </w:pPr>
            <w:r>
              <w:rPr>
                <w:sz w:val="20"/>
                <w:szCs w:val="20"/>
              </w:rPr>
              <w:t xml:space="preserve">3.06%</w:t>
            </w:r>
          </w:p>
        </w:tc>
        <w:tc>
          <w:tcPr>
            <w:tcW w:type="dxa" w:w="1000"/>
            <w:tcMar>
              <w:top w:type="dxa" w:w="60"/>
              <w:left w:type="dxa" w:w="100"/>
              <w:bottom w:type="dxa" w:w="60"/>
              <w:right w:type="dxa" w:w="100"/>
            </w:tcMar>
            <w:vAlign w:val="center"/>
          </w:tcPr>
          <w:p>
            <w:pPr>
              <w:jc w:val="center"/>
            </w:pPr>
            <w:r>
              <w:rPr>
                <w:sz w:val="20"/>
                <w:szCs w:val="20"/>
              </w:rPr>
              <w:t xml:space="preserve">99.41</w:t>
            </w:r>
          </w:p>
        </w:tc>
        <w:tc>
          <w:tcPr>
            <w:tcW w:type="dxa" w:w="1900"/>
            <w:tcMar>
              <w:top w:type="dxa" w:w="60"/>
              <w:left w:type="dxa" w:w="100"/>
              <w:bottom w:type="dxa" w:w="60"/>
              <w:right w:type="dxa" w:w="100"/>
            </w:tcMar>
            <w:vAlign w:val="center"/>
          </w:tcPr>
          <w:p>
            <w:pPr>
              <w:jc w:val="center"/>
            </w:pPr>
            <w:r>
              <w:rPr>
                <w:sz w:val="20"/>
                <w:szCs w:val="20"/>
              </w:rPr>
              <w:t xml:space="preserve">3</w:t>
            </w:r>
          </w:p>
        </w:tc>
        <w:tc>
          <w:tcPr>
            <w:tcW w:type="dxa" w:w="1000"/>
            <w:tcMar>
              <w:top w:type="dxa" w:w="60"/>
              <w:left w:type="dxa" w:w="100"/>
              <w:bottom w:type="dxa" w:w="60"/>
              <w:right w:type="dxa" w:w="100"/>
            </w:tcMar>
            <w:vAlign w:val="center"/>
          </w:tcPr>
          <w:p>
            <w:pPr>
              <w:jc w:val="center"/>
            </w:pPr>
            <w:r>
              <w:rPr>
                <w:sz w:val="20"/>
                <w:szCs w:val="20"/>
              </w:rPr>
              <w:t xml:space="preserve">0.99960</w:t>
            </w:r>
          </w:p>
        </w:tc>
      </w:tr>
    </w:tbl>
    <w:p>
      <w:pPr>
        <w:spacing w:after="240" w:before="80"/>
      </w:pPr>
      <w:r>
        <w:rPr>
          <w:i/>
          <w:iCs/>
          <w:sz w:val="20"/>
          <w:szCs w:val="20"/>
        </w:rPr>
        <w:t xml:space="preserve">Table 14. Federated-training variants for TON_IoT, evaluated on a validation split held out from the training data (8,414 records, 6,485 attacks). The selected variant was retrained on the full training split; that model is the TON_IoT federated model throughout the paper.</w:t>
      </w:r>
    </w:p>
    <w:p>
      <w:pPr>
        <w:spacing w:after="160"/>
      </w:pPr>
      <w:r>
        <w:t xml:space="preserve">The text-derived features and the higher focal α each roughly halve the validation false-alarm rate at 99.9% recall, and together they are best (3.01% vs. 6.84%); α = 0.65 and longer training do not help. On the test split, the model trained with the initial recipe misses 61 of 16,215 attacks at the 0.3 threshold (FAR 2.76%), against 19 (FAR 3.61%) for the selected recipe, and at an equal 99.9% test recall its FAR is 7.16% against 4.52% (ROC-AUC 0.99860 vs. 0.99895). Missed DoS, MITM, and DDoS records fall from 16, 14, and 10 to 3, 5, and 1. A second, independent federated training run of the selected recipe gives F1 99.38 and 23 missed attacks (Table 1). The variants were designed after we saw that the initial TON_IoT model left room for improvement, but the choice among them used validation data only.</w:t>
      </w:r>
    </w:p>
    <w:p>
      <w:pPr>
        <w:pStyle w:val="Heading2"/>
        <w:spacing w:after="140" w:before="260"/>
      </w:pPr>
      <w:r>
        <w:t xml:space="preserve">5.15 Calibration Estimators, QAT Ranges, and Data-Free Calibration</w:t>
      </w:r>
    </w:p>
    <w:p>
      <w:pPr>
        <w:spacing w:after="160"/>
      </w:pPr>
      <w:r>
        <w:t xml:space="preserve">We tested the quantization methods of Section 2.3 on our federated models. To compare range estimators with everything else fixed, we build the tfmot fake-quantization model, set its activation ranges directly, and convert it; with min/max ranges this reproduces TensorFlow Lite's per-tensor PTQ exactly (same F1, FAR and missed attacks on every calibration set). TensorFlow Lite's default PTQ uses per-channel weight scales, whereas QAT exports use per-tensor scales, so Table 15 lists both.</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100"/>
        <w:gridCol w:w="900"/>
        <w:gridCol w:w="700"/>
        <w:gridCol w:w="1100"/>
        <w:gridCol w:w="900"/>
        <w:gridCol w:w="700"/>
      </w:tblGrid>
      <w:tr>
        <w:trPr>
          <w:tblHeader/>
        </w:trPr>
        <w:tc>
          <w:tcPr>
            <w:tcW w:type="dxa" w:w="1000"/>
            <w:shd w:fill="D9E2F3" w:val="clear"/>
            <w:tcMar>
              <w:top w:type="dxa" w:w="60"/>
              <w:left w:type="dxa" w:w="100"/>
              <w:bottom w:type="dxa" w:w="60"/>
              <w:right w:type="dxa" w:w="100"/>
            </w:tcMar>
            <w:vAlign w:val="center"/>
          </w:tcPr>
          <w:p>
            <w:pPr>
              <w:jc w:val="center"/>
            </w:pPr>
            <w:r>
              <w:rPr>
                <w:b/>
                <w:bCs/>
                <w:sz w:val="20"/>
                <w:szCs w:val="20"/>
              </w:rPr>
              <w:t xml:space="preserve">Weights</w:t>
            </w:r>
          </w:p>
        </w:tc>
        <w:tc>
          <w:tcPr>
            <w:tcW w:type="dxa" w:w="2500"/>
            <w:shd w:fill="D9E2F3" w:val="clear"/>
            <w:tcMar>
              <w:top w:type="dxa" w:w="60"/>
              <w:left w:type="dxa" w:w="100"/>
              <w:bottom w:type="dxa" w:w="60"/>
              <w:right w:type="dxa" w:w="100"/>
            </w:tcMar>
            <w:vAlign w:val="center"/>
          </w:tcPr>
          <w:p>
            <w:pPr>
              <w:jc w:val="center"/>
            </w:pPr>
            <w:r>
              <w:rPr>
                <w:b/>
                <w:bCs/>
                <w:sz w:val="20"/>
                <w:szCs w:val="20"/>
              </w:rPr>
              <w:t xml:space="preserve">Range estimator</w:t>
            </w:r>
          </w:p>
        </w:tc>
        <w:tc>
          <w:tcPr>
            <w:tcW w:type="dxa" w:w="1100"/>
            <w:shd w:fill="D9E2F3" w:val="clear"/>
            <w:tcMar>
              <w:top w:type="dxa" w:w="60"/>
              <w:left w:type="dxa" w:w="100"/>
              <w:bottom w:type="dxa" w:w="60"/>
              <w:right w:type="dxa" w:w="100"/>
            </w:tcMar>
            <w:vAlign w:val="center"/>
          </w:tcPr>
          <w:p>
            <w:pPr>
              <w:jc w:val="center"/>
            </w:pPr>
            <w:r>
              <w:rPr>
                <w:b/>
                <w:bCs/>
                <w:sz w:val="20"/>
                <w:szCs w:val="20"/>
              </w:rPr>
              <w:t xml:space="preserve">CIC F1 [min]</w:t>
            </w:r>
          </w:p>
        </w:tc>
        <w:tc>
          <w:tcPr>
            <w:tcW w:type="dxa" w:w="900"/>
            <w:shd w:fill="D9E2F3" w:val="clear"/>
            <w:tcMar>
              <w:top w:type="dxa" w:w="60"/>
              <w:left w:type="dxa" w:w="100"/>
              <w:bottom w:type="dxa" w:w="60"/>
              <w:right w:type="dxa" w:w="100"/>
            </w:tcMar>
            <w:vAlign w:val="center"/>
          </w:tcPr>
          <w:p>
            <w:pPr>
              <w:jc w:val="center"/>
            </w:pPr>
            <w:r>
              <w:rPr>
                <w:b/>
                <w:bCs/>
                <w:sz w:val="20"/>
                <w:szCs w:val="20"/>
              </w:rPr>
              <w:t xml:space="preserve">CIC missed / 85,173</w:t>
            </w:r>
          </w:p>
        </w:tc>
        <w:tc>
          <w:tcPr>
            <w:tcW w:type="dxa" w:w="700"/>
            <w:shd w:fill="D9E2F3" w:val="clear"/>
            <w:tcMar>
              <w:top w:type="dxa" w:w="60"/>
              <w:left w:type="dxa" w:w="100"/>
              <w:bottom w:type="dxa" w:w="60"/>
              <w:right w:type="dxa" w:w="100"/>
            </w:tcMar>
            <w:vAlign w:val="center"/>
          </w:tcPr>
          <w:p>
            <w:pPr>
              <w:jc w:val="center"/>
            </w:pPr>
            <w:r>
              <w:rPr>
                <w:b/>
                <w:bCs/>
                <w:sz w:val="20"/>
                <w:szCs w:val="20"/>
              </w:rPr>
              <w:t xml:space="preserve">CIC FAR</w:t>
            </w:r>
          </w:p>
        </w:tc>
        <w:tc>
          <w:tcPr>
            <w:tcW w:type="dxa" w:w="1100"/>
            <w:shd w:fill="D9E2F3" w:val="clear"/>
            <w:tcMar>
              <w:top w:type="dxa" w:w="60"/>
              <w:left w:type="dxa" w:w="100"/>
              <w:bottom w:type="dxa" w:w="60"/>
              <w:right w:type="dxa" w:w="100"/>
            </w:tcMar>
            <w:vAlign w:val="center"/>
          </w:tcPr>
          <w:p>
            <w:pPr>
              <w:jc w:val="center"/>
            </w:pPr>
            <w:r>
              <w:rPr>
                <w:b/>
                <w:bCs/>
                <w:sz w:val="20"/>
                <w:szCs w:val="20"/>
              </w:rPr>
              <w:t xml:space="preserve">TON F1 [min]</w:t>
            </w:r>
          </w:p>
        </w:tc>
        <w:tc>
          <w:tcPr>
            <w:tcW w:type="dxa" w:w="900"/>
            <w:shd w:fill="D9E2F3" w:val="clear"/>
            <w:tcMar>
              <w:top w:type="dxa" w:w="60"/>
              <w:left w:type="dxa" w:w="100"/>
              <w:bottom w:type="dxa" w:w="60"/>
              <w:right w:type="dxa" w:w="100"/>
            </w:tcMar>
            <w:vAlign w:val="center"/>
          </w:tcPr>
          <w:p>
            <w:pPr>
              <w:jc w:val="center"/>
            </w:pPr>
            <w:r>
              <w:rPr>
                <w:b/>
                <w:bCs/>
                <w:sz w:val="20"/>
                <w:szCs w:val="20"/>
              </w:rPr>
              <w:t xml:space="preserve">TON missed / 16,215</w:t>
            </w:r>
          </w:p>
        </w:tc>
        <w:tc>
          <w:tcPr>
            <w:tcW w:type="dxa" w:w="700"/>
            <w:shd w:fill="D9E2F3" w:val="clear"/>
            <w:tcMar>
              <w:top w:type="dxa" w:w="60"/>
              <w:left w:type="dxa" w:w="100"/>
              <w:bottom w:type="dxa" w:w="60"/>
              <w:right w:type="dxa" w:w="100"/>
            </w:tcMar>
            <w:vAlign w:val="center"/>
          </w:tcPr>
          <w:p>
            <w:pPr>
              <w:jc w:val="center"/>
            </w:pPr>
            <w:r>
              <w:rPr>
                <w:b/>
                <w:bCs/>
                <w:sz w:val="20"/>
                <w:szCs w:val="20"/>
              </w:rPr>
              <w:t xml:space="preserve">TON FAR</w:t>
            </w:r>
          </w:p>
        </w:tc>
      </w:tr>
      <w:tr>
        <w:tc>
          <w:tcPr>
            <w:tcW w:type="dxa" w:w="1000"/>
            <w:tcMar>
              <w:top w:type="dxa" w:w="60"/>
              <w:left w:type="dxa" w:w="100"/>
              <w:bottom w:type="dxa" w:w="60"/>
              <w:right w:type="dxa" w:w="100"/>
            </w:tcMar>
            <w:vAlign w:val="center"/>
          </w:tcPr>
          <w:p>
            <w:pPr>
              <w:jc w:val="left"/>
            </w:pPr>
            <w:r>
              <w:rPr>
                <w:sz w:val="20"/>
                <w:szCs w:val="20"/>
              </w:rPr>
              <w:t xml:space="preserve">per-channel</w:t>
            </w:r>
          </w:p>
        </w:tc>
        <w:tc>
          <w:tcPr>
            <w:tcW w:type="dxa" w:w="2500"/>
            <w:tcMar>
              <w:top w:type="dxa" w:w="60"/>
              <w:left w:type="dxa" w:w="100"/>
              <w:bottom w:type="dxa" w:w="60"/>
              <w:right w:type="dxa" w:w="100"/>
            </w:tcMar>
            <w:vAlign w:val="center"/>
          </w:tcPr>
          <w:p>
            <w:pPr>
              <w:jc w:val="center"/>
            </w:pPr>
            <w:r>
              <w:rPr>
                <w:sz w:val="20"/>
                <w:szCs w:val="20"/>
              </w:rPr>
              <w:t xml:space="preserve">min/max (TFLite default)</w:t>
            </w:r>
          </w:p>
        </w:tc>
        <w:tc>
          <w:tcPr>
            <w:tcW w:type="dxa" w:w="1100"/>
            <w:tcMar>
              <w:top w:type="dxa" w:w="60"/>
              <w:left w:type="dxa" w:w="100"/>
              <w:bottom w:type="dxa" w:w="60"/>
              <w:right w:type="dxa" w:w="100"/>
            </w:tcMar>
            <w:vAlign w:val="center"/>
          </w:tcPr>
          <w:p>
            <w:pPr>
              <w:jc w:val="center"/>
            </w:pPr>
            <w:r>
              <w:rPr>
                <w:sz w:val="20"/>
                <w:szCs w:val="20"/>
              </w:rPr>
              <w:t xml:space="preserve">77.67 [29.16]</w:t>
            </w:r>
          </w:p>
        </w:tc>
        <w:tc>
          <w:tcPr>
            <w:tcW w:type="dxa" w:w="900"/>
            <w:tcMar>
              <w:top w:type="dxa" w:w="60"/>
              <w:left w:type="dxa" w:w="100"/>
              <w:bottom w:type="dxa" w:w="60"/>
              <w:right w:type="dxa" w:w="100"/>
            </w:tcMar>
            <w:vAlign w:val="center"/>
          </w:tcPr>
          <w:p>
            <w:pPr>
              <w:jc w:val="center"/>
            </w:pPr>
            <w:r>
              <w:rPr>
                <w:sz w:val="20"/>
                <w:szCs w:val="20"/>
              </w:rPr>
              <w:t xml:space="preserve">349</w:t>
            </w:r>
          </w:p>
        </w:tc>
        <w:tc>
          <w:tcPr>
            <w:tcW w:type="dxa" w:w="700"/>
            <w:tcMar>
              <w:top w:type="dxa" w:w="60"/>
              <w:left w:type="dxa" w:w="100"/>
              <w:bottom w:type="dxa" w:w="60"/>
              <w:right w:type="dxa" w:w="100"/>
            </w:tcMar>
            <w:vAlign w:val="center"/>
          </w:tcPr>
          <w:p>
            <w:pPr>
              <w:jc w:val="center"/>
            </w:pPr>
            <w:r>
              <w:rPr>
                <w:sz w:val="20"/>
                <w:szCs w:val="20"/>
              </w:rPr>
              <w:t xml:space="preserve">15.51%</w:t>
            </w:r>
          </w:p>
        </w:tc>
        <w:tc>
          <w:tcPr>
            <w:tcW w:type="dxa" w:w="1100"/>
            <w:tcMar>
              <w:top w:type="dxa" w:w="60"/>
              <w:left w:type="dxa" w:w="100"/>
              <w:bottom w:type="dxa" w:w="60"/>
              <w:right w:type="dxa" w:w="100"/>
            </w:tcMar>
            <w:vAlign w:val="center"/>
          </w:tcPr>
          <w:p>
            <w:pPr>
              <w:jc w:val="center"/>
            </w:pPr>
            <w:r>
              <w:rPr>
                <w:sz w:val="20"/>
                <w:szCs w:val="20"/>
              </w:rPr>
              <w:t xml:space="preserve">77.91 [32.72]</w:t>
            </w:r>
          </w:p>
        </w:tc>
        <w:tc>
          <w:tcPr>
            <w:tcW w:type="dxa" w:w="900"/>
            <w:tcMar>
              <w:top w:type="dxa" w:w="60"/>
              <w:left w:type="dxa" w:w="100"/>
              <w:bottom w:type="dxa" w:w="60"/>
              <w:right w:type="dxa" w:w="100"/>
            </w:tcMar>
            <w:vAlign w:val="center"/>
          </w:tcPr>
          <w:p>
            <w:pPr>
              <w:jc w:val="center"/>
            </w:pPr>
            <w:r>
              <w:rPr>
                <w:sz w:val="20"/>
                <w:szCs w:val="20"/>
              </w:rPr>
              <w:t xml:space="preserve">4,779</w:t>
            </w:r>
          </w:p>
        </w:tc>
        <w:tc>
          <w:tcPr>
            <w:tcW w:type="dxa" w:w="700"/>
            <w:tcMar>
              <w:top w:type="dxa" w:w="60"/>
              <w:left w:type="dxa" w:w="100"/>
              <w:bottom w:type="dxa" w:w="60"/>
              <w:right w:type="dxa" w:w="100"/>
            </w:tcMar>
            <w:vAlign w:val="center"/>
          </w:tcPr>
          <w:p>
            <w:pPr>
              <w:jc w:val="center"/>
            </w:pPr>
            <w:r>
              <w:rPr>
                <w:sz w:val="20"/>
                <w:szCs w:val="20"/>
              </w:rPr>
              <w:t xml:space="preserve">2.99%</w:t>
            </w:r>
          </w:p>
        </w:tc>
      </w:tr>
      <w:tr>
        <w:tc>
          <w:tcPr>
            <w:tcW w:type="dxa" w:w="1000"/>
            <w:tcMar>
              <w:top w:type="dxa" w:w="60"/>
              <w:left w:type="dxa" w:w="100"/>
              <w:bottom w:type="dxa" w:w="60"/>
              <w:right w:type="dxa" w:w="100"/>
            </w:tcMar>
            <w:vAlign w:val="center"/>
          </w:tcPr>
          <w:p>
            <w:pPr>
              <w:jc w:val="left"/>
            </w:pPr>
            <w:r>
              <w:rPr>
                <w:sz w:val="20"/>
                <w:szCs w:val="20"/>
              </w:rPr>
              <w:t xml:space="preserve">per-channel</w:t>
            </w:r>
          </w:p>
        </w:tc>
        <w:tc>
          <w:tcPr>
            <w:tcW w:type="dxa" w:w="2500"/>
            <w:tcMar>
              <w:top w:type="dxa" w:w="60"/>
              <w:left w:type="dxa" w:w="100"/>
              <w:bottom w:type="dxa" w:w="60"/>
              <w:right w:type="dxa" w:w="100"/>
            </w:tcMar>
            <w:vAlign w:val="center"/>
          </w:tcPr>
          <w:p>
            <w:pPr>
              <w:jc w:val="center"/>
            </w:pPr>
            <w:r>
              <w:rPr>
                <w:sz w:val="20"/>
                <w:szCs w:val="20"/>
              </w:rPr>
              <w:t xml:space="preserve">inputs clipped ±5 SD (ours)</w:t>
            </w:r>
          </w:p>
        </w:tc>
        <w:tc>
          <w:tcPr>
            <w:tcW w:type="dxa" w:w="1100"/>
            <w:tcMar>
              <w:top w:type="dxa" w:w="60"/>
              <w:left w:type="dxa" w:w="100"/>
              <w:bottom w:type="dxa" w:w="60"/>
              <w:right w:type="dxa" w:w="100"/>
            </w:tcMar>
            <w:vAlign w:val="center"/>
          </w:tcPr>
          <w:p>
            <w:pPr>
              <w:jc w:val="center"/>
            </w:pPr>
            <w:r>
              <w:rPr>
                <w:sz w:val="20"/>
                <w:szCs w:val="20"/>
              </w:rPr>
              <w:t xml:space="preserve">84.38 [83.02]</w:t>
            </w:r>
          </w:p>
        </w:tc>
        <w:tc>
          <w:tcPr>
            <w:tcW w:type="dxa" w:w="900"/>
            <w:tcMar>
              <w:top w:type="dxa" w:w="60"/>
              <w:left w:type="dxa" w:w="100"/>
              <w:bottom w:type="dxa" w:w="60"/>
              <w:right w:type="dxa" w:w="100"/>
            </w:tcMar>
            <w:vAlign w:val="center"/>
          </w:tcPr>
          <w:p>
            <w:pPr>
              <w:jc w:val="center"/>
            </w:pPr>
            <w:r>
              <w:rPr>
                <w:sz w:val="20"/>
                <w:szCs w:val="20"/>
              </w:rPr>
              <w:t xml:space="preserve">68</w:t>
            </w:r>
          </w:p>
        </w:tc>
        <w:tc>
          <w:tcPr>
            <w:tcW w:type="dxa" w:w="700"/>
            <w:tcMar>
              <w:top w:type="dxa" w:w="60"/>
              <w:left w:type="dxa" w:w="100"/>
              <w:bottom w:type="dxa" w:w="60"/>
              <w:right w:type="dxa" w:w="100"/>
            </w:tcMar>
            <w:vAlign w:val="center"/>
          </w:tcPr>
          <w:p>
            <w:pPr>
              <w:jc w:val="center"/>
            </w:pPr>
            <w:r>
              <w:rPr>
                <w:sz w:val="20"/>
                <w:szCs w:val="20"/>
              </w:rPr>
              <w:t xml:space="preserve">7.58%</w:t>
            </w:r>
          </w:p>
        </w:tc>
        <w:tc>
          <w:tcPr>
            <w:tcW w:type="dxa" w:w="1100"/>
            <w:tcMar>
              <w:top w:type="dxa" w:w="60"/>
              <w:left w:type="dxa" w:w="100"/>
              <w:bottom w:type="dxa" w:w="60"/>
              <w:right w:type="dxa" w:w="100"/>
            </w:tcMar>
            <w:vAlign w:val="center"/>
          </w:tcPr>
          <w:p>
            <w:pPr>
              <w:jc w:val="center"/>
            </w:pPr>
            <w:r>
              <w:rPr>
                <w:sz w:val="20"/>
                <w:szCs w:val="20"/>
              </w:rPr>
              <w:t xml:space="preserve">99.19 [99.19]</w:t>
            </w:r>
          </w:p>
        </w:tc>
        <w:tc>
          <w:tcPr>
            <w:tcW w:type="dxa" w:w="900"/>
            <w:tcMar>
              <w:top w:type="dxa" w:w="60"/>
              <w:left w:type="dxa" w:w="100"/>
              <w:bottom w:type="dxa" w:w="60"/>
              <w:right w:type="dxa" w:w="100"/>
            </w:tcMar>
            <w:vAlign w:val="center"/>
          </w:tcPr>
          <w:p>
            <w:pPr>
              <w:jc w:val="center"/>
            </w:pPr>
            <w:r>
              <w:rPr>
                <w:sz w:val="20"/>
                <w:szCs w:val="20"/>
              </w:rPr>
              <w:t xml:space="preserve">27</w:t>
            </w:r>
          </w:p>
        </w:tc>
        <w:tc>
          <w:tcPr>
            <w:tcW w:type="dxa" w:w="700"/>
            <w:tcMar>
              <w:top w:type="dxa" w:w="60"/>
              <w:left w:type="dxa" w:w="100"/>
              <w:bottom w:type="dxa" w:w="60"/>
              <w:right w:type="dxa" w:w="100"/>
            </w:tcMar>
            <w:vAlign w:val="center"/>
          </w:tcPr>
          <w:p>
            <w:pPr>
              <w:jc w:val="center"/>
            </w:pPr>
            <w:r>
              <w:rPr>
                <w:sz w:val="20"/>
                <w:szCs w:val="20"/>
              </w:rPr>
              <w:t xml:space="preserve">4.94%</w:t>
            </w:r>
          </w:p>
        </w:tc>
      </w:tr>
      <w:tr>
        <w:tc>
          <w:tcPr>
            <w:tcW w:type="dxa" w:w="1000"/>
            <w:tcMar>
              <w:top w:type="dxa" w:w="60"/>
              <w:left w:type="dxa" w:w="100"/>
              <w:bottom w:type="dxa" w:w="60"/>
              <w:right w:type="dxa" w:w="100"/>
            </w:tcMar>
            <w:vAlign w:val="center"/>
          </w:tcPr>
          <w:p>
            <w:pPr>
              <w:jc w:val="left"/>
            </w:pPr>
            <w:r>
              <w:rPr>
                <w:sz w:val="20"/>
                <w:szCs w:val="20"/>
              </w:rPr>
              <w:t xml:space="preserve">per-tensor</w:t>
            </w:r>
          </w:p>
        </w:tc>
        <w:tc>
          <w:tcPr>
            <w:tcW w:type="dxa" w:w="2500"/>
            <w:tcMar>
              <w:top w:type="dxa" w:w="60"/>
              <w:left w:type="dxa" w:w="100"/>
              <w:bottom w:type="dxa" w:w="60"/>
              <w:right w:type="dxa" w:w="100"/>
            </w:tcMar>
            <w:vAlign w:val="center"/>
          </w:tcPr>
          <w:p>
            <w:pPr>
              <w:jc w:val="center"/>
            </w:pPr>
            <w:r>
              <w:rPr>
                <w:sz w:val="20"/>
                <w:szCs w:val="20"/>
              </w:rPr>
              <w:t xml:space="preserve">min/max</w:t>
            </w:r>
          </w:p>
        </w:tc>
        <w:tc>
          <w:tcPr>
            <w:tcW w:type="dxa" w:w="1100"/>
            <w:tcMar>
              <w:top w:type="dxa" w:w="60"/>
              <w:left w:type="dxa" w:w="100"/>
              <w:bottom w:type="dxa" w:w="60"/>
              <w:right w:type="dxa" w:w="100"/>
            </w:tcMar>
            <w:vAlign w:val="center"/>
          </w:tcPr>
          <w:p>
            <w:pPr>
              <w:jc w:val="center"/>
            </w:pPr>
            <w:r>
              <w:rPr>
                <w:sz w:val="20"/>
                <w:szCs w:val="20"/>
              </w:rPr>
              <w:t xml:space="preserve">76.64 [29.20]</w:t>
            </w:r>
          </w:p>
        </w:tc>
        <w:tc>
          <w:tcPr>
            <w:tcW w:type="dxa" w:w="900"/>
            <w:tcMar>
              <w:top w:type="dxa" w:w="60"/>
              <w:left w:type="dxa" w:w="100"/>
              <w:bottom w:type="dxa" w:w="60"/>
              <w:right w:type="dxa" w:w="100"/>
            </w:tcMar>
            <w:vAlign w:val="center"/>
          </w:tcPr>
          <w:p>
            <w:pPr>
              <w:jc w:val="center"/>
            </w:pPr>
            <w:r>
              <w:rPr>
                <w:sz w:val="20"/>
                <w:szCs w:val="20"/>
              </w:rPr>
              <w:t xml:space="preserve">397</w:t>
            </w:r>
          </w:p>
        </w:tc>
        <w:tc>
          <w:tcPr>
            <w:tcW w:type="dxa" w:w="700"/>
            <w:tcMar>
              <w:top w:type="dxa" w:w="60"/>
              <w:left w:type="dxa" w:w="100"/>
              <w:bottom w:type="dxa" w:w="60"/>
              <w:right w:type="dxa" w:w="100"/>
            </w:tcMar>
            <w:vAlign w:val="center"/>
          </w:tcPr>
          <w:p>
            <w:pPr>
              <w:jc w:val="center"/>
            </w:pPr>
            <w:r>
              <w:rPr>
                <w:sz w:val="20"/>
                <w:szCs w:val="20"/>
              </w:rPr>
              <w:t xml:space="preserve">16.14%</w:t>
            </w:r>
          </w:p>
        </w:tc>
        <w:tc>
          <w:tcPr>
            <w:tcW w:type="dxa" w:w="1100"/>
            <w:tcMar>
              <w:top w:type="dxa" w:w="60"/>
              <w:left w:type="dxa" w:w="100"/>
              <w:bottom w:type="dxa" w:w="60"/>
              <w:right w:type="dxa" w:w="100"/>
            </w:tcMar>
            <w:vAlign w:val="center"/>
          </w:tcPr>
          <w:p>
            <w:pPr>
              <w:jc w:val="center"/>
            </w:pPr>
            <w:r>
              <w:rPr>
                <w:sz w:val="20"/>
                <w:szCs w:val="20"/>
              </w:rPr>
              <w:t xml:space="preserve">81.00 [36.06]</w:t>
            </w:r>
          </w:p>
        </w:tc>
        <w:tc>
          <w:tcPr>
            <w:tcW w:type="dxa" w:w="900"/>
            <w:tcMar>
              <w:top w:type="dxa" w:w="60"/>
              <w:left w:type="dxa" w:w="100"/>
              <w:bottom w:type="dxa" w:w="60"/>
              <w:right w:type="dxa" w:w="100"/>
            </w:tcMar>
            <w:vAlign w:val="center"/>
          </w:tcPr>
          <w:p>
            <w:pPr>
              <w:jc w:val="center"/>
            </w:pPr>
            <w:r>
              <w:rPr>
                <w:sz w:val="20"/>
                <w:szCs w:val="20"/>
              </w:rPr>
              <w:t xml:space="preserve">4,156</w:t>
            </w:r>
          </w:p>
        </w:tc>
        <w:tc>
          <w:tcPr>
            <w:tcW w:type="dxa" w:w="700"/>
            <w:tcMar>
              <w:top w:type="dxa" w:w="60"/>
              <w:left w:type="dxa" w:w="100"/>
              <w:bottom w:type="dxa" w:w="60"/>
              <w:right w:type="dxa" w:w="100"/>
            </w:tcMar>
            <w:vAlign w:val="center"/>
          </w:tcPr>
          <w:p>
            <w:pPr>
              <w:jc w:val="center"/>
            </w:pPr>
            <w:r>
              <w:rPr>
                <w:sz w:val="20"/>
                <w:szCs w:val="20"/>
              </w:rPr>
              <w:t xml:space="preserve">4.48%</w:t>
            </w:r>
          </w:p>
        </w:tc>
      </w:tr>
      <w:tr>
        <w:tc>
          <w:tcPr>
            <w:tcW w:type="dxa" w:w="1000"/>
            <w:tcMar>
              <w:top w:type="dxa" w:w="60"/>
              <w:left w:type="dxa" w:w="100"/>
              <w:bottom w:type="dxa" w:w="60"/>
              <w:right w:type="dxa" w:w="100"/>
            </w:tcMar>
            <w:vAlign w:val="center"/>
          </w:tcPr>
          <w:p>
            <w:pPr>
              <w:jc w:val="left"/>
            </w:pPr>
            <w:r>
              <w:rPr>
                <w:sz w:val="20"/>
                <w:szCs w:val="20"/>
              </w:rPr>
              <w:t xml:space="preserve">per-tensor</w:t>
            </w:r>
          </w:p>
        </w:tc>
        <w:tc>
          <w:tcPr>
            <w:tcW w:type="dxa" w:w="2500"/>
            <w:tcMar>
              <w:top w:type="dxa" w:w="60"/>
              <w:left w:type="dxa" w:w="100"/>
              <w:bottom w:type="dxa" w:w="60"/>
              <w:right w:type="dxa" w:w="100"/>
            </w:tcMar>
            <w:vAlign w:val="center"/>
          </w:tcPr>
          <w:p>
            <w:pPr>
              <w:jc w:val="center"/>
            </w:pPr>
            <w:r>
              <w:rPr>
                <w:sz w:val="20"/>
                <w:szCs w:val="20"/>
              </w:rPr>
              <w:t xml:space="preserve">percentile 99.9 [25]</w:t>
            </w:r>
          </w:p>
        </w:tc>
        <w:tc>
          <w:tcPr>
            <w:tcW w:type="dxa" w:w="1100"/>
            <w:tcMar>
              <w:top w:type="dxa" w:w="60"/>
              <w:left w:type="dxa" w:w="100"/>
              <w:bottom w:type="dxa" w:w="60"/>
              <w:right w:type="dxa" w:w="100"/>
            </w:tcMar>
            <w:vAlign w:val="center"/>
          </w:tcPr>
          <w:p>
            <w:pPr>
              <w:jc w:val="center"/>
            </w:pPr>
            <w:r>
              <w:rPr>
                <w:sz w:val="20"/>
                <w:szCs w:val="20"/>
              </w:rPr>
              <w:t xml:space="preserve">83.16 [82.11]</w:t>
            </w:r>
          </w:p>
        </w:tc>
        <w:tc>
          <w:tcPr>
            <w:tcW w:type="dxa" w:w="900"/>
            <w:tcMar>
              <w:top w:type="dxa" w:w="60"/>
              <w:left w:type="dxa" w:w="100"/>
              <w:bottom w:type="dxa" w:w="60"/>
              <w:right w:type="dxa" w:w="100"/>
            </w:tcMar>
            <w:vAlign w:val="center"/>
          </w:tcPr>
          <w:p>
            <w:pPr>
              <w:jc w:val="center"/>
            </w:pPr>
            <w:r>
              <w:rPr>
                <w:sz w:val="20"/>
                <w:szCs w:val="20"/>
              </w:rPr>
              <w:t xml:space="preserve">58</w:t>
            </w:r>
          </w:p>
        </w:tc>
        <w:tc>
          <w:tcPr>
            <w:tcW w:type="dxa" w:w="700"/>
            <w:tcMar>
              <w:top w:type="dxa" w:w="60"/>
              <w:left w:type="dxa" w:w="100"/>
              <w:bottom w:type="dxa" w:w="60"/>
              <w:right w:type="dxa" w:w="100"/>
            </w:tcMar>
            <w:vAlign w:val="center"/>
          </w:tcPr>
          <w:p>
            <w:pPr>
              <w:jc w:val="center"/>
            </w:pPr>
            <w:r>
              <w:rPr>
                <w:sz w:val="20"/>
                <w:szCs w:val="20"/>
              </w:rPr>
              <w:t xml:space="preserve">8.30%</w:t>
            </w:r>
          </w:p>
        </w:tc>
        <w:tc>
          <w:tcPr>
            <w:tcW w:type="dxa" w:w="1100"/>
            <w:tcMar>
              <w:top w:type="dxa" w:w="60"/>
              <w:left w:type="dxa" w:w="100"/>
              <w:bottom w:type="dxa" w:w="60"/>
              <w:right w:type="dxa" w:w="100"/>
            </w:tcMar>
            <w:vAlign w:val="center"/>
          </w:tcPr>
          <w:p>
            <w:pPr>
              <w:jc w:val="center"/>
            </w:pPr>
            <w:r>
              <w:rPr>
                <w:sz w:val="20"/>
                <w:szCs w:val="20"/>
              </w:rPr>
              <w:t xml:space="preserve">99.39 [99.38]</w:t>
            </w:r>
          </w:p>
        </w:tc>
        <w:tc>
          <w:tcPr>
            <w:tcW w:type="dxa" w:w="900"/>
            <w:tcMar>
              <w:top w:type="dxa" w:w="60"/>
              <w:left w:type="dxa" w:w="100"/>
              <w:bottom w:type="dxa" w:w="60"/>
              <w:right w:type="dxa" w:w="100"/>
            </w:tcMar>
            <w:vAlign w:val="center"/>
          </w:tcPr>
          <w:p>
            <w:pPr>
              <w:jc w:val="center"/>
            </w:pPr>
            <w:r>
              <w:rPr>
                <w:sz w:val="20"/>
                <w:szCs w:val="20"/>
              </w:rPr>
              <w:t xml:space="preserve">26</w:t>
            </w:r>
          </w:p>
        </w:tc>
        <w:tc>
          <w:tcPr>
            <w:tcW w:type="dxa" w:w="700"/>
            <w:tcMar>
              <w:top w:type="dxa" w:w="60"/>
              <w:left w:type="dxa" w:w="100"/>
              <w:bottom w:type="dxa" w:w="60"/>
              <w:right w:type="dxa" w:w="100"/>
            </w:tcMar>
            <w:vAlign w:val="center"/>
          </w:tcPr>
          <w:p>
            <w:pPr>
              <w:jc w:val="center"/>
            </w:pPr>
            <w:r>
              <w:rPr>
                <w:sz w:val="20"/>
                <w:szCs w:val="20"/>
              </w:rPr>
              <w:t xml:space="preserve">3.55%</w:t>
            </w:r>
          </w:p>
        </w:tc>
      </w:tr>
      <w:tr>
        <w:tc>
          <w:tcPr>
            <w:tcW w:type="dxa" w:w="1000"/>
            <w:tcMar>
              <w:top w:type="dxa" w:w="60"/>
              <w:left w:type="dxa" w:w="100"/>
              <w:bottom w:type="dxa" w:w="60"/>
              <w:right w:type="dxa" w:w="100"/>
            </w:tcMar>
            <w:vAlign w:val="center"/>
          </w:tcPr>
          <w:p>
            <w:pPr>
              <w:jc w:val="left"/>
            </w:pPr>
            <w:r>
              <w:rPr>
                <w:sz w:val="20"/>
                <w:szCs w:val="20"/>
              </w:rPr>
              <w:t xml:space="preserve">per-tensor</w:t>
            </w:r>
          </w:p>
        </w:tc>
        <w:tc>
          <w:tcPr>
            <w:tcW w:type="dxa" w:w="2500"/>
            <w:tcMar>
              <w:top w:type="dxa" w:w="60"/>
              <w:left w:type="dxa" w:w="100"/>
              <w:bottom w:type="dxa" w:w="60"/>
              <w:right w:type="dxa" w:w="100"/>
            </w:tcMar>
            <w:vAlign w:val="center"/>
          </w:tcPr>
          <w:p>
            <w:pPr>
              <w:jc w:val="center"/>
            </w:pPr>
            <w:r>
              <w:rPr>
                <w:sz w:val="20"/>
                <w:szCs w:val="20"/>
              </w:rPr>
              <w:t xml:space="preserve">percentile 99.99</w:t>
            </w:r>
          </w:p>
        </w:tc>
        <w:tc>
          <w:tcPr>
            <w:tcW w:type="dxa" w:w="1100"/>
            <w:tcMar>
              <w:top w:type="dxa" w:w="60"/>
              <w:left w:type="dxa" w:w="100"/>
              <w:bottom w:type="dxa" w:w="60"/>
              <w:right w:type="dxa" w:w="100"/>
            </w:tcMar>
            <w:vAlign w:val="center"/>
          </w:tcPr>
          <w:p>
            <w:pPr>
              <w:jc w:val="center"/>
            </w:pPr>
            <w:r>
              <w:rPr>
                <w:sz w:val="20"/>
                <w:szCs w:val="20"/>
              </w:rPr>
              <w:t xml:space="preserve">79.27 [31.51]</w:t>
            </w:r>
          </w:p>
        </w:tc>
        <w:tc>
          <w:tcPr>
            <w:tcW w:type="dxa" w:w="900"/>
            <w:tcMar>
              <w:top w:type="dxa" w:w="60"/>
              <w:left w:type="dxa" w:w="100"/>
              <w:bottom w:type="dxa" w:w="60"/>
              <w:right w:type="dxa" w:w="100"/>
            </w:tcMar>
            <w:vAlign w:val="center"/>
          </w:tcPr>
          <w:p>
            <w:pPr>
              <w:jc w:val="center"/>
            </w:pPr>
            <w:r>
              <w:rPr>
                <w:sz w:val="20"/>
                <w:szCs w:val="20"/>
              </w:rPr>
              <w:t xml:space="preserve">543</w:t>
            </w:r>
          </w:p>
        </w:tc>
        <w:tc>
          <w:tcPr>
            <w:tcW w:type="dxa" w:w="700"/>
            <w:tcMar>
              <w:top w:type="dxa" w:w="60"/>
              <w:left w:type="dxa" w:w="100"/>
              <w:bottom w:type="dxa" w:w="60"/>
              <w:right w:type="dxa" w:w="100"/>
            </w:tcMar>
            <w:vAlign w:val="center"/>
          </w:tcPr>
          <w:p>
            <w:pPr>
              <w:jc w:val="center"/>
            </w:pPr>
            <w:r>
              <w:rPr>
                <w:sz w:val="20"/>
                <w:szCs w:val="20"/>
              </w:rPr>
              <w:t xml:space="preserve">13.34%</w:t>
            </w:r>
          </w:p>
        </w:tc>
        <w:tc>
          <w:tcPr>
            <w:tcW w:type="dxa" w:w="1100"/>
            <w:tcMar>
              <w:top w:type="dxa" w:w="60"/>
              <w:left w:type="dxa" w:w="100"/>
              <w:bottom w:type="dxa" w:w="60"/>
              <w:right w:type="dxa" w:w="100"/>
            </w:tcMar>
            <w:vAlign w:val="center"/>
          </w:tcPr>
          <w:p>
            <w:pPr>
              <w:jc w:val="center"/>
            </w:pPr>
            <w:r>
              <w:rPr>
                <w:sz w:val="20"/>
                <w:szCs w:val="20"/>
              </w:rPr>
              <w:t xml:space="preserve">99.31 [98.81]</w:t>
            </w:r>
          </w:p>
        </w:tc>
        <w:tc>
          <w:tcPr>
            <w:tcW w:type="dxa" w:w="900"/>
            <w:tcMar>
              <w:top w:type="dxa" w:w="60"/>
              <w:left w:type="dxa" w:w="100"/>
              <w:bottom w:type="dxa" w:w="60"/>
              <w:right w:type="dxa" w:w="100"/>
            </w:tcMar>
            <w:vAlign w:val="center"/>
          </w:tcPr>
          <w:p>
            <w:pPr>
              <w:jc w:val="center"/>
            </w:pPr>
            <w:r>
              <w:rPr>
                <w:sz w:val="20"/>
                <w:szCs w:val="20"/>
              </w:rPr>
              <w:t xml:space="preserve">50</w:t>
            </w:r>
          </w:p>
        </w:tc>
        <w:tc>
          <w:tcPr>
            <w:tcW w:type="dxa" w:w="700"/>
            <w:tcMar>
              <w:top w:type="dxa" w:w="60"/>
              <w:left w:type="dxa" w:w="100"/>
              <w:bottom w:type="dxa" w:w="60"/>
              <w:right w:type="dxa" w:w="100"/>
            </w:tcMar>
            <w:vAlign w:val="center"/>
          </w:tcPr>
          <w:p>
            <w:pPr>
              <w:jc w:val="center"/>
            </w:pPr>
            <w:r>
              <w:rPr>
                <w:sz w:val="20"/>
                <w:szCs w:val="20"/>
              </w:rPr>
              <w:t xml:space="preserve">3.62%</w:t>
            </w:r>
          </w:p>
        </w:tc>
      </w:tr>
      <w:tr>
        <w:tc>
          <w:tcPr>
            <w:tcW w:type="dxa" w:w="1000"/>
            <w:tcMar>
              <w:top w:type="dxa" w:w="60"/>
              <w:left w:type="dxa" w:w="100"/>
              <w:bottom w:type="dxa" w:w="60"/>
              <w:right w:type="dxa" w:w="100"/>
            </w:tcMar>
            <w:vAlign w:val="center"/>
          </w:tcPr>
          <w:p>
            <w:pPr>
              <w:jc w:val="left"/>
            </w:pPr>
            <w:r>
              <w:rPr>
                <w:sz w:val="20"/>
                <w:szCs w:val="20"/>
              </w:rPr>
              <w:t xml:space="preserve">per-tensor</w:t>
            </w:r>
          </w:p>
        </w:tc>
        <w:tc>
          <w:tcPr>
            <w:tcW w:type="dxa" w:w="2500"/>
            <w:tcMar>
              <w:top w:type="dxa" w:w="60"/>
              <w:left w:type="dxa" w:w="100"/>
              <w:bottom w:type="dxa" w:w="60"/>
              <w:right w:type="dxa" w:w="100"/>
            </w:tcMar>
            <w:vAlign w:val="center"/>
          </w:tcPr>
          <w:p>
            <w:pPr>
              <w:jc w:val="center"/>
            </w:pPr>
            <w:r>
              <w:rPr>
                <w:sz w:val="20"/>
                <w:szCs w:val="20"/>
              </w:rPr>
              <w:t xml:space="preserve">MSE-optimal clip (ACIQ objective [26])</w:t>
            </w:r>
          </w:p>
        </w:tc>
        <w:tc>
          <w:tcPr>
            <w:tcW w:type="dxa" w:w="1100"/>
            <w:tcMar>
              <w:top w:type="dxa" w:w="60"/>
              <w:left w:type="dxa" w:w="100"/>
              <w:bottom w:type="dxa" w:w="60"/>
              <w:right w:type="dxa" w:w="100"/>
            </w:tcMar>
            <w:vAlign w:val="center"/>
          </w:tcPr>
          <w:p>
            <w:pPr>
              <w:jc w:val="center"/>
            </w:pPr>
            <w:r>
              <w:rPr>
                <w:sz w:val="20"/>
                <w:szCs w:val="20"/>
              </w:rPr>
              <w:t xml:space="preserve">77.28 [29.28]</w:t>
            </w:r>
          </w:p>
        </w:tc>
        <w:tc>
          <w:tcPr>
            <w:tcW w:type="dxa" w:w="900"/>
            <w:tcMar>
              <w:top w:type="dxa" w:w="60"/>
              <w:left w:type="dxa" w:w="100"/>
              <w:bottom w:type="dxa" w:w="60"/>
              <w:right w:type="dxa" w:w="100"/>
            </w:tcMar>
            <w:vAlign w:val="center"/>
          </w:tcPr>
          <w:p>
            <w:pPr>
              <w:jc w:val="center"/>
            </w:pPr>
            <w:r>
              <w:rPr>
                <w:sz w:val="20"/>
                <w:szCs w:val="20"/>
              </w:rPr>
              <w:t xml:space="preserve">630</w:t>
            </w:r>
          </w:p>
        </w:tc>
        <w:tc>
          <w:tcPr>
            <w:tcW w:type="dxa" w:w="700"/>
            <w:tcMar>
              <w:top w:type="dxa" w:w="60"/>
              <w:left w:type="dxa" w:w="100"/>
              <w:bottom w:type="dxa" w:w="60"/>
              <w:right w:type="dxa" w:w="100"/>
            </w:tcMar>
            <w:vAlign w:val="center"/>
          </w:tcPr>
          <w:p>
            <w:pPr>
              <w:jc w:val="center"/>
            </w:pPr>
            <w:r>
              <w:rPr>
                <w:sz w:val="20"/>
                <w:szCs w:val="20"/>
              </w:rPr>
              <w:t xml:space="preserve">15.50%</w:t>
            </w:r>
          </w:p>
        </w:tc>
        <w:tc>
          <w:tcPr>
            <w:tcW w:type="dxa" w:w="1100"/>
            <w:tcMar>
              <w:top w:type="dxa" w:w="60"/>
              <w:left w:type="dxa" w:w="100"/>
              <w:bottom w:type="dxa" w:w="60"/>
              <w:right w:type="dxa" w:w="100"/>
            </w:tcMar>
            <w:vAlign w:val="center"/>
          </w:tcPr>
          <w:p>
            <w:pPr>
              <w:jc w:val="center"/>
            </w:pPr>
            <w:r>
              <w:rPr>
                <w:sz w:val="20"/>
                <w:szCs w:val="20"/>
              </w:rPr>
              <w:t xml:space="preserve">88.68 [34.62]</w:t>
            </w:r>
          </w:p>
        </w:tc>
        <w:tc>
          <w:tcPr>
            <w:tcW w:type="dxa" w:w="900"/>
            <w:tcMar>
              <w:top w:type="dxa" w:w="60"/>
              <w:left w:type="dxa" w:w="100"/>
              <w:bottom w:type="dxa" w:w="60"/>
              <w:right w:type="dxa" w:w="100"/>
            </w:tcMar>
            <w:vAlign w:val="center"/>
          </w:tcPr>
          <w:p>
            <w:pPr>
              <w:jc w:val="center"/>
            </w:pPr>
            <w:r>
              <w:rPr>
                <w:sz w:val="20"/>
                <w:szCs w:val="20"/>
              </w:rPr>
              <w:t xml:space="preserve">2,395</w:t>
            </w:r>
          </w:p>
        </w:tc>
        <w:tc>
          <w:tcPr>
            <w:tcW w:type="dxa" w:w="700"/>
            <w:tcMar>
              <w:top w:type="dxa" w:w="60"/>
              <w:left w:type="dxa" w:w="100"/>
              <w:bottom w:type="dxa" w:w="60"/>
              <w:right w:type="dxa" w:w="100"/>
            </w:tcMar>
            <w:vAlign w:val="center"/>
          </w:tcPr>
          <w:p>
            <w:pPr>
              <w:jc w:val="center"/>
            </w:pPr>
            <w:r>
              <w:rPr>
                <w:sz w:val="20"/>
                <w:szCs w:val="20"/>
              </w:rPr>
              <w:t xml:space="preserve">4.72%</w:t>
            </w:r>
          </w:p>
        </w:tc>
      </w:tr>
      <w:tr>
        <w:tc>
          <w:tcPr>
            <w:tcW w:type="dxa" w:w="1000"/>
            <w:tcMar>
              <w:top w:type="dxa" w:w="60"/>
              <w:left w:type="dxa" w:w="100"/>
              <w:bottom w:type="dxa" w:w="60"/>
              <w:right w:type="dxa" w:w="100"/>
            </w:tcMar>
            <w:vAlign w:val="center"/>
          </w:tcPr>
          <w:p>
            <w:pPr>
              <w:jc w:val="left"/>
            </w:pPr>
            <w:r>
              <w:rPr>
                <w:sz w:val="20"/>
                <w:szCs w:val="20"/>
              </w:rPr>
              <w:t xml:space="preserve">per-tensor</w:t>
            </w:r>
          </w:p>
        </w:tc>
        <w:tc>
          <w:tcPr>
            <w:tcW w:type="dxa" w:w="2500"/>
            <w:tcMar>
              <w:top w:type="dxa" w:w="60"/>
              <w:left w:type="dxa" w:w="100"/>
              <w:bottom w:type="dxa" w:w="60"/>
              <w:right w:type="dxa" w:w="100"/>
            </w:tcMar>
            <w:vAlign w:val="center"/>
          </w:tcPr>
          <w:p>
            <w:pPr>
              <w:jc w:val="center"/>
            </w:pPr>
            <w:r>
              <w:rPr>
                <w:sz w:val="20"/>
                <w:szCs w:val="20"/>
              </w:rPr>
              <w:t xml:space="preserve">KL / entropy [25]</w:t>
            </w:r>
          </w:p>
        </w:tc>
        <w:tc>
          <w:tcPr>
            <w:tcW w:type="dxa" w:w="1100"/>
            <w:tcMar>
              <w:top w:type="dxa" w:w="60"/>
              <w:left w:type="dxa" w:w="100"/>
              <w:bottom w:type="dxa" w:w="60"/>
              <w:right w:type="dxa" w:w="100"/>
            </w:tcMar>
            <w:vAlign w:val="center"/>
          </w:tcPr>
          <w:p>
            <w:pPr>
              <w:jc w:val="center"/>
            </w:pPr>
            <w:r>
              <w:rPr>
                <w:sz w:val="20"/>
                <w:szCs w:val="20"/>
              </w:rPr>
              <w:t xml:space="preserve">80.93 [44.16]</w:t>
            </w:r>
          </w:p>
        </w:tc>
        <w:tc>
          <w:tcPr>
            <w:tcW w:type="dxa" w:w="900"/>
            <w:tcMar>
              <w:top w:type="dxa" w:w="60"/>
              <w:left w:type="dxa" w:w="100"/>
              <w:bottom w:type="dxa" w:w="60"/>
              <w:right w:type="dxa" w:w="100"/>
            </w:tcMar>
            <w:vAlign w:val="center"/>
          </w:tcPr>
          <w:p>
            <w:pPr>
              <w:jc w:val="center"/>
            </w:pPr>
            <w:r>
              <w:rPr>
                <w:sz w:val="20"/>
                <w:szCs w:val="20"/>
              </w:rPr>
              <w:t xml:space="preserve">565</w:t>
            </w:r>
          </w:p>
        </w:tc>
        <w:tc>
          <w:tcPr>
            <w:tcW w:type="dxa" w:w="700"/>
            <w:tcMar>
              <w:top w:type="dxa" w:w="60"/>
              <w:left w:type="dxa" w:w="100"/>
              <w:bottom w:type="dxa" w:w="60"/>
              <w:right w:type="dxa" w:w="100"/>
            </w:tcMar>
            <w:vAlign w:val="center"/>
          </w:tcPr>
          <w:p>
            <w:pPr>
              <w:jc w:val="center"/>
            </w:pPr>
            <w:r>
              <w:rPr>
                <w:sz w:val="20"/>
                <w:szCs w:val="20"/>
              </w:rPr>
              <w:t xml:space="preserve">10.68%</w:t>
            </w:r>
          </w:p>
        </w:tc>
        <w:tc>
          <w:tcPr>
            <w:tcW w:type="dxa" w:w="1100"/>
            <w:tcMar>
              <w:top w:type="dxa" w:w="60"/>
              <w:left w:type="dxa" w:w="100"/>
              <w:bottom w:type="dxa" w:w="60"/>
              <w:right w:type="dxa" w:w="100"/>
            </w:tcMar>
            <w:vAlign w:val="center"/>
          </w:tcPr>
          <w:p>
            <w:pPr>
              <w:jc w:val="center"/>
            </w:pPr>
            <w:r>
              <w:rPr>
                <w:sz w:val="20"/>
                <w:szCs w:val="20"/>
              </w:rPr>
              <w:t xml:space="preserve">98.97 [96.69]</w:t>
            </w:r>
          </w:p>
        </w:tc>
        <w:tc>
          <w:tcPr>
            <w:tcW w:type="dxa" w:w="900"/>
            <w:tcMar>
              <w:top w:type="dxa" w:w="60"/>
              <w:left w:type="dxa" w:w="100"/>
              <w:bottom w:type="dxa" w:w="60"/>
              <w:right w:type="dxa" w:w="100"/>
            </w:tcMar>
            <w:vAlign w:val="center"/>
          </w:tcPr>
          <w:p>
            <w:pPr>
              <w:jc w:val="center"/>
            </w:pPr>
            <w:r>
              <w:rPr>
                <w:sz w:val="20"/>
                <w:szCs w:val="20"/>
              </w:rPr>
              <w:t xml:space="preserve">131</w:t>
            </w:r>
          </w:p>
        </w:tc>
        <w:tc>
          <w:tcPr>
            <w:tcW w:type="dxa" w:w="700"/>
            <w:tcMar>
              <w:top w:type="dxa" w:w="60"/>
              <w:left w:type="dxa" w:w="100"/>
              <w:bottom w:type="dxa" w:w="60"/>
              <w:right w:type="dxa" w:w="100"/>
            </w:tcMar>
            <w:vAlign w:val="center"/>
          </w:tcPr>
          <w:p>
            <w:pPr>
              <w:jc w:val="center"/>
            </w:pPr>
            <w:r>
              <w:rPr>
                <w:sz w:val="20"/>
                <w:szCs w:val="20"/>
              </w:rPr>
              <w:t xml:space="preserve">4.20%</w:t>
            </w:r>
          </w:p>
        </w:tc>
      </w:tr>
      <w:tr>
        <w:tc>
          <w:tcPr>
            <w:tcW w:type="dxa" w:w="1000"/>
            <w:tcMar>
              <w:top w:type="dxa" w:w="60"/>
              <w:left w:type="dxa" w:w="100"/>
              <w:bottom w:type="dxa" w:w="60"/>
              <w:right w:type="dxa" w:w="100"/>
            </w:tcMar>
            <w:vAlign w:val="center"/>
          </w:tcPr>
          <w:p>
            <w:pPr>
              <w:jc w:val="left"/>
            </w:pPr>
            <w:r>
              <w:rPr>
                <w:sz w:val="20"/>
                <w:szCs w:val="20"/>
              </w:rPr>
              <w:t xml:space="preserve">per-tensor</w:t>
            </w:r>
          </w:p>
        </w:tc>
        <w:tc>
          <w:tcPr>
            <w:tcW w:type="dxa" w:w="2500"/>
            <w:tcMar>
              <w:top w:type="dxa" w:w="60"/>
              <w:left w:type="dxa" w:w="100"/>
              <w:bottom w:type="dxa" w:w="60"/>
              <w:right w:type="dxa" w:w="100"/>
            </w:tcMar>
            <w:vAlign w:val="center"/>
          </w:tcPr>
          <w:p>
            <w:pPr>
              <w:jc w:val="center"/>
            </w:pPr>
            <w:r>
              <w:rPr>
                <w:sz w:val="20"/>
                <w:szCs w:val="20"/>
              </w:rPr>
              <w:t xml:space="preserve">inputs clipped ±5 SD</w:t>
            </w:r>
          </w:p>
        </w:tc>
        <w:tc>
          <w:tcPr>
            <w:tcW w:type="dxa" w:w="1100"/>
            <w:tcMar>
              <w:top w:type="dxa" w:w="60"/>
              <w:left w:type="dxa" w:w="100"/>
              <w:bottom w:type="dxa" w:w="60"/>
              <w:right w:type="dxa" w:w="100"/>
            </w:tcMar>
            <w:vAlign w:val="center"/>
          </w:tcPr>
          <w:p>
            <w:pPr>
              <w:jc w:val="center"/>
            </w:pPr>
            <w:r>
              <w:rPr>
                <w:sz w:val="20"/>
                <w:szCs w:val="20"/>
              </w:rPr>
              <w:t xml:space="preserve">82.93 [82.09]</w:t>
            </w:r>
          </w:p>
        </w:tc>
        <w:tc>
          <w:tcPr>
            <w:tcW w:type="dxa" w:w="900"/>
            <w:tcMar>
              <w:top w:type="dxa" w:w="60"/>
              <w:left w:type="dxa" w:w="100"/>
              <w:bottom w:type="dxa" w:w="60"/>
              <w:right w:type="dxa" w:w="100"/>
            </w:tcMar>
            <w:vAlign w:val="center"/>
          </w:tcPr>
          <w:p>
            <w:pPr>
              <w:jc w:val="center"/>
            </w:pPr>
            <w:r>
              <w:rPr>
                <w:sz w:val="20"/>
                <w:szCs w:val="20"/>
              </w:rPr>
              <w:t xml:space="preserve">239</w:t>
            </w:r>
          </w:p>
        </w:tc>
        <w:tc>
          <w:tcPr>
            <w:tcW w:type="dxa" w:w="700"/>
            <w:tcMar>
              <w:top w:type="dxa" w:w="60"/>
              <w:left w:type="dxa" w:w="100"/>
              <w:bottom w:type="dxa" w:w="60"/>
              <w:right w:type="dxa" w:w="100"/>
            </w:tcMar>
            <w:vAlign w:val="center"/>
          </w:tcPr>
          <w:p>
            <w:pPr>
              <w:jc w:val="center"/>
            </w:pPr>
            <w:r>
              <w:rPr>
                <w:sz w:val="20"/>
                <w:szCs w:val="20"/>
              </w:rPr>
              <w:t xml:space="preserve">8.37%</w:t>
            </w:r>
          </w:p>
        </w:tc>
        <w:tc>
          <w:tcPr>
            <w:tcW w:type="dxa" w:w="1100"/>
            <w:tcMar>
              <w:top w:type="dxa" w:w="60"/>
              <w:left w:type="dxa" w:w="100"/>
              <w:bottom w:type="dxa" w:w="60"/>
              <w:right w:type="dxa" w:w="100"/>
            </w:tcMar>
            <w:vAlign w:val="center"/>
          </w:tcPr>
          <w:p>
            <w:pPr>
              <w:jc w:val="center"/>
            </w:pPr>
            <w:r>
              <w:rPr>
                <w:sz w:val="20"/>
                <w:szCs w:val="20"/>
              </w:rPr>
              <w:t xml:space="preserve">99.19 [99.18]</w:t>
            </w:r>
          </w:p>
        </w:tc>
        <w:tc>
          <w:tcPr>
            <w:tcW w:type="dxa" w:w="900"/>
            <w:tcMar>
              <w:top w:type="dxa" w:w="60"/>
              <w:left w:type="dxa" w:w="100"/>
              <w:bottom w:type="dxa" w:w="60"/>
              <w:right w:type="dxa" w:w="100"/>
            </w:tcMar>
            <w:vAlign w:val="center"/>
          </w:tcPr>
          <w:p>
            <w:pPr>
              <w:jc w:val="center"/>
            </w:pPr>
            <w:r>
              <w:rPr>
                <w:sz w:val="20"/>
                <w:szCs w:val="20"/>
              </w:rPr>
              <w:t xml:space="preserve">27</w:t>
            </w:r>
          </w:p>
        </w:tc>
        <w:tc>
          <w:tcPr>
            <w:tcW w:type="dxa" w:w="700"/>
            <w:tcMar>
              <w:top w:type="dxa" w:w="60"/>
              <w:left w:type="dxa" w:w="100"/>
              <w:bottom w:type="dxa" w:w="60"/>
              <w:right w:type="dxa" w:w="100"/>
            </w:tcMar>
            <w:vAlign w:val="center"/>
          </w:tcPr>
          <w:p>
            <w:pPr>
              <w:jc w:val="center"/>
            </w:pPr>
            <w:r>
              <w:rPr>
                <w:sz w:val="20"/>
                <w:szCs w:val="20"/>
              </w:rPr>
              <w:t xml:space="preserve">4.94%</w:t>
            </w:r>
          </w:p>
        </w:tc>
      </w:tr>
      <w:tr>
        <w:tc>
          <w:tcPr>
            <w:tcW w:type="dxa" w:w="1000"/>
            <w:tcMar>
              <w:top w:type="dxa" w:w="60"/>
              <w:left w:type="dxa" w:w="100"/>
              <w:bottom w:type="dxa" w:w="60"/>
              <w:right w:type="dxa" w:w="100"/>
            </w:tcMar>
            <w:vAlign w:val="center"/>
          </w:tcPr>
          <w:p>
            <w:pPr>
              <w:jc w:val="left"/>
            </w:pPr>
            <w:r>
              <w:rPr>
                <w:sz w:val="20"/>
                <w:szCs w:val="20"/>
              </w:rPr>
              <w:t xml:space="preserve">per-tensor</w:t>
            </w:r>
          </w:p>
        </w:tc>
        <w:tc>
          <w:tcPr>
            <w:tcW w:type="dxa" w:w="2500"/>
            <w:tcMar>
              <w:top w:type="dxa" w:w="60"/>
              <w:left w:type="dxa" w:w="100"/>
              <w:bottom w:type="dxa" w:w="60"/>
              <w:right w:type="dxa" w:w="100"/>
            </w:tcMar>
            <w:vAlign w:val="center"/>
          </w:tcPr>
          <w:p>
            <w:pPr>
              <w:jc w:val="center"/>
            </w:pPr>
            <w:r>
              <w:rPr>
                <w:sz w:val="20"/>
                <w:szCs w:val="20"/>
              </w:rPr>
              <w:t xml:space="preserve">CLE + inputs clipped ±5 SD (3 sets)</w:t>
            </w:r>
          </w:p>
        </w:tc>
        <w:tc>
          <w:tcPr>
            <w:tcW w:type="dxa" w:w="1100"/>
            <w:tcMar>
              <w:top w:type="dxa" w:w="60"/>
              <w:left w:type="dxa" w:w="100"/>
              <w:bottom w:type="dxa" w:w="60"/>
              <w:right w:type="dxa" w:w="100"/>
            </w:tcMar>
            <w:vAlign w:val="center"/>
          </w:tcPr>
          <w:p>
            <w:pPr>
              <w:jc w:val="center"/>
            </w:pPr>
            <w:r>
              <w:rPr>
                <w:sz w:val="20"/>
                <w:szCs w:val="20"/>
              </w:rPr>
              <w:t xml:space="preserve">84.46 [84.04]</w:t>
            </w:r>
          </w:p>
        </w:tc>
        <w:tc>
          <w:tcPr>
            <w:tcW w:type="dxa" w:w="900"/>
            <w:tcMar>
              <w:top w:type="dxa" w:w="60"/>
              <w:left w:type="dxa" w:w="100"/>
              <w:bottom w:type="dxa" w:w="60"/>
              <w:right w:type="dxa" w:w="100"/>
            </w:tcMar>
            <w:vAlign w:val="center"/>
          </w:tcPr>
          <w:p>
            <w:pPr>
              <w:jc w:val="center"/>
            </w:pPr>
            <w:r>
              <w:rPr>
                <w:sz w:val="20"/>
                <w:szCs w:val="20"/>
              </w:rPr>
              <w:t xml:space="preserve">58</w:t>
            </w:r>
          </w:p>
        </w:tc>
        <w:tc>
          <w:tcPr>
            <w:tcW w:type="dxa" w:w="700"/>
            <w:tcMar>
              <w:top w:type="dxa" w:w="60"/>
              <w:left w:type="dxa" w:w="100"/>
              <w:bottom w:type="dxa" w:w="60"/>
              <w:right w:type="dxa" w:w="100"/>
            </w:tcMar>
            <w:vAlign w:val="center"/>
          </w:tcPr>
          <w:p>
            <w:pPr>
              <w:jc w:val="center"/>
            </w:pPr>
            <w:r>
              <w:rPr>
                <w:sz w:val="20"/>
                <w:szCs w:val="20"/>
              </w:rPr>
              <w:t xml:space="preserve">7.54%</w:t>
            </w:r>
          </w:p>
        </w:tc>
        <w:tc>
          <w:tcPr>
            <w:tcW w:type="dxa" w:w="1100"/>
            <w:tcMar>
              <w:top w:type="dxa" w:w="60"/>
              <w:left w:type="dxa" w:w="100"/>
              <w:bottom w:type="dxa" w:w="60"/>
              <w:right w:type="dxa" w:w="100"/>
            </w:tcMar>
            <w:vAlign w:val="center"/>
          </w:tcPr>
          <w:p>
            <w:pPr>
              <w:jc w:val="center"/>
            </w:pPr>
            <w:r>
              <w:rPr>
                <w:sz w:val="20"/>
                <w:szCs w:val="20"/>
              </w:rPr>
              <w:t xml:space="preserve">99.18 [99.18]</w:t>
            </w:r>
          </w:p>
        </w:tc>
        <w:tc>
          <w:tcPr>
            <w:tcW w:type="dxa" w:w="900"/>
            <w:tcMar>
              <w:top w:type="dxa" w:w="60"/>
              <w:left w:type="dxa" w:w="100"/>
              <w:bottom w:type="dxa" w:w="60"/>
              <w:right w:type="dxa" w:w="100"/>
            </w:tcMar>
            <w:vAlign w:val="center"/>
          </w:tcPr>
          <w:p>
            <w:pPr>
              <w:jc w:val="center"/>
            </w:pPr>
            <w:r>
              <w:rPr>
                <w:sz w:val="20"/>
                <w:szCs w:val="20"/>
              </w:rPr>
              <w:t xml:space="preserve">29</w:t>
            </w:r>
          </w:p>
        </w:tc>
        <w:tc>
          <w:tcPr>
            <w:tcW w:type="dxa" w:w="700"/>
            <w:tcMar>
              <w:top w:type="dxa" w:w="60"/>
              <w:left w:type="dxa" w:w="100"/>
              <w:bottom w:type="dxa" w:w="60"/>
              <w:right w:type="dxa" w:w="100"/>
            </w:tcMar>
            <w:vAlign w:val="center"/>
          </w:tcPr>
          <w:p>
            <w:pPr>
              <w:jc w:val="center"/>
            </w:pPr>
            <w:r>
              <w:rPr>
                <w:sz w:val="20"/>
                <w:szCs w:val="20"/>
              </w:rPr>
              <w:t xml:space="preserve">4.93%</w:t>
            </w:r>
          </w:p>
        </w:tc>
      </w:tr>
      <w:tr>
        <w:tc>
          <w:tcPr>
            <w:tcW w:type="dxa" w:w="1000"/>
            <w:tcMar>
              <w:top w:type="dxa" w:w="60"/>
              <w:left w:type="dxa" w:w="100"/>
              <w:bottom w:type="dxa" w:w="60"/>
              <w:right w:type="dxa" w:w="100"/>
            </w:tcMar>
            <w:vAlign w:val="center"/>
          </w:tcPr>
          <w:p>
            <w:pPr>
              <w:jc w:val="left"/>
            </w:pPr>
            <w:r>
              <w:rPr>
                <w:sz w:val="20"/>
                <w:szCs w:val="20"/>
              </w:rPr>
              <w:t xml:space="preserve">per-channel</w:t>
            </w:r>
          </w:p>
        </w:tc>
        <w:tc>
          <w:tcPr>
            <w:tcW w:type="dxa" w:w="2500"/>
            <w:tcMar>
              <w:top w:type="dxa" w:w="60"/>
              <w:left w:type="dxa" w:w="100"/>
              <w:bottom w:type="dxa" w:w="60"/>
              <w:right w:type="dxa" w:w="100"/>
            </w:tcMar>
            <w:vAlign w:val="center"/>
          </w:tcPr>
          <w:p>
            <w:pPr>
              <w:jc w:val="center"/>
            </w:pPr>
            <w:r>
              <w:rPr>
                <w:sz w:val="20"/>
                <w:szCs w:val="20"/>
              </w:rPr>
              <w:t xml:space="preserve">data-free: synthetic N(0, I) inputs</w:t>
            </w:r>
          </w:p>
        </w:tc>
        <w:tc>
          <w:tcPr>
            <w:tcW w:type="dxa" w:w="1100"/>
            <w:tcMar>
              <w:top w:type="dxa" w:w="60"/>
              <w:left w:type="dxa" w:w="100"/>
              <w:bottom w:type="dxa" w:w="60"/>
              <w:right w:type="dxa" w:w="100"/>
            </w:tcMar>
            <w:vAlign w:val="center"/>
          </w:tcPr>
          <w:p>
            <w:pPr>
              <w:jc w:val="center"/>
            </w:pPr>
            <w:r>
              <w:rPr>
                <w:sz w:val="20"/>
                <w:szCs w:val="20"/>
              </w:rPr>
              <w:t xml:space="preserve">82.22 [80.58]</w:t>
            </w:r>
          </w:p>
        </w:tc>
        <w:tc>
          <w:tcPr>
            <w:tcW w:type="dxa" w:w="900"/>
            <w:tcMar>
              <w:top w:type="dxa" w:w="60"/>
              <w:left w:type="dxa" w:w="100"/>
              <w:bottom w:type="dxa" w:w="60"/>
              <w:right w:type="dxa" w:w="100"/>
            </w:tcMar>
            <w:vAlign w:val="center"/>
          </w:tcPr>
          <w:p>
            <w:pPr>
              <w:jc w:val="center"/>
            </w:pPr>
            <w:r>
              <w:rPr>
                <w:sz w:val="20"/>
                <w:szCs w:val="20"/>
              </w:rPr>
              <w:t xml:space="preserve">54</w:t>
            </w:r>
          </w:p>
        </w:tc>
        <w:tc>
          <w:tcPr>
            <w:tcW w:type="dxa" w:w="700"/>
            <w:tcMar>
              <w:top w:type="dxa" w:w="60"/>
              <w:left w:type="dxa" w:w="100"/>
              <w:bottom w:type="dxa" w:w="60"/>
              <w:right w:type="dxa" w:w="100"/>
            </w:tcMar>
            <w:vAlign w:val="center"/>
          </w:tcPr>
          <w:p>
            <w:pPr>
              <w:jc w:val="center"/>
            </w:pPr>
            <w:r>
              <w:rPr>
                <w:sz w:val="20"/>
                <w:szCs w:val="20"/>
              </w:rPr>
              <w:t xml:space="preserve">8.87%</w:t>
            </w:r>
          </w:p>
        </w:tc>
        <w:tc>
          <w:tcPr>
            <w:tcW w:type="dxa" w:w="1100"/>
            <w:tcMar>
              <w:top w:type="dxa" w:w="60"/>
              <w:left w:type="dxa" w:w="100"/>
              <w:bottom w:type="dxa" w:w="60"/>
              <w:right w:type="dxa" w:w="100"/>
            </w:tcMar>
            <w:vAlign w:val="center"/>
          </w:tcPr>
          <w:p>
            <w:pPr>
              <w:jc w:val="center"/>
            </w:pPr>
            <w:r>
              <w:rPr>
                <w:sz w:val="20"/>
                <w:szCs w:val="20"/>
              </w:rPr>
              <w:t xml:space="preserve">99.16 [99.08]</w:t>
            </w:r>
          </w:p>
        </w:tc>
        <w:tc>
          <w:tcPr>
            <w:tcW w:type="dxa" w:w="900"/>
            <w:tcMar>
              <w:top w:type="dxa" w:w="60"/>
              <w:left w:type="dxa" w:w="100"/>
              <w:bottom w:type="dxa" w:w="60"/>
              <w:right w:type="dxa" w:w="100"/>
            </w:tcMar>
            <w:vAlign w:val="center"/>
          </w:tcPr>
          <w:p>
            <w:pPr>
              <w:jc w:val="center"/>
            </w:pPr>
            <w:r>
              <w:rPr>
                <w:sz w:val="20"/>
                <w:szCs w:val="20"/>
              </w:rPr>
              <w:t xml:space="preserve">29</w:t>
            </w:r>
          </w:p>
        </w:tc>
        <w:tc>
          <w:tcPr>
            <w:tcW w:type="dxa" w:w="700"/>
            <w:tcMar>
              <w:top w:type="dxa" w:w="60"/>
              <w:left w:type="dxa" w:w="100"/>
              <w:bottom w:type="dxa" w:w="60"/>
              <w:right w:type="dxa" w:w="100"/>
            </w:tcMar>
            <w:vAlign w:val="center"/>
          </w:tcPr>
          <w:p>
            <w:pPr>
              <w:jc w:val="center"/>
            </w:pPr>
            <w:r>
              <w:rPr>
                <w:sz w:val="20"/>
                <w:szCs w:val="20"/>
              </w:rPr>
              <w:t xml:space="preserve">5.06%</w:t>
            </w:r>
          </w:p>
        </w:tc>
      </w:tr>
      <w:tr>
        <w:tc>
          <w:tcPr>
            <w:tcW w:type="dxa" w:w="1000"/>
            <w:tcMar>
              <w:top w:type="dxa" w:w="60"/>
              <w:left w:type="dxa" w:w="100"/>
              <w:bottom w:type="dxa" w:w="60"/>
              <w:right w:type="dxa" w:w="100"/>
            </w:tcMar>
            <w:vAlign w:val="center"/>
          </w:tcPr>
          <w:p>
            <w:pPr>
              <w:jc w:val="left"/>
            </w:pPr>
            <w:r>
              <w:rPr>
                <w:sz w:val="20"/>
                <w:szCs w:val="20"/>
              </w:rPr>
              <w:t xml:space="preserve">per-tensor</w:t>
            </w:r>
          </w:p>
        </w:tc>
        <w:tc>
          <w:tcPr>
            <w:tcW w:type="dxa" w:w="2500"/>
            <w:tcMar>
              <w:top w:type="dxa" w:w="60"/>
              <w:left w:type="dxa" w:w="100"/>
              <w:bottom w:type="dxa" w:w="60"/>
              <w:right w:type="dxa" w:w="100"/>
            </w:tcMar>
            <w:vAlign w:val="center"/>
          </w:tcPr>
          <w:p>
            <w:pPr>
              <w:jc w:val="center"/>
            </w:pPr>
            <w:r>
              <w:rPr>
                <w:sz w:val="20"/>
                <w:szCs w:val="20"/>
              </w:rPr>
              <w:t xml:space="preserve">data-free: BN statistics, k = 4</w:t>
            </w:r>
          </w:p>
        </w:tc>
        <w:tc>
          <w:tcPr>
            <w:tcW w:type="dxa" w:w="1100"/>
            <w:tcMar>
              <w:top w:type="dxa" w:w="60"/>
              <w:left w:type="dxa" w:w="100"/>
              <w:bottom w:type="dxa" w:w="60"/>
              <w:right w:type="dxa" w:w="100"/>
            </w:tcMar>
            <w:vAlign w:val="center"/>
          </w:tcPr>
          <w:p>
            <w:pPr>
              <w:jc w:val="center"/>
            </w:pPr>
            <w:r>
              <w:rPr>
                <w:sz w:val="20"/>
                <w:szCs w:val="20"/>
              </w:rPr>
              <w:t xml:space="preserve">83.03</w:t>
            </w:r>
          </w:p>
        </w:tc>
        <w:tc>
          <w:tcPr>
            <w:tcW w:type="dxa" w:w="900"/>
            <w:tcMar>
              <w:top w:type="dxa" w:w="60"/>
              <w:left w:type="dxa" w:w="100"/>
              <w:bottom w:type="dxa" w:w="60"/>
              <w:right w:type="dxa" w:w="100"/>
            </w:tcMar>
            <w:vAlign w:val="center"/>
          </w:tcPr>
          <w:p>
            <w:pPr>
              <w:jc w:val="center"/>
            </w:pPr>
            <w:r>
              <w:rPr>
                <w:sz w:val="20"/>
                <w:szCs w:val="20"/>
              </w:rPr>
              <w:t xml:space="preserve">72</w:t>
            </w:r>
          </w:p>
        </w:tc>
        <w:tc>
          <w:tcPr>
            <w:tcW w:type="dxa" w:w="700"/>
            <w:tcMar>
              <w:top w:type="dxa" w:w="60"/>
              <w:left w:type="dxa" w:w="100"/>
              <w:bottom w:type="dxa" w:w="60"/>
              <w:right w:type="dxa" w:w="100"/>
            </w:tcMar>
            <w:vAlign w:val="center"/>
          </w:tcPr>
          <w:p>
            <w:pPr>
              <w:jc w:val="center"/>
            </w:pPr>
            <w:r>
              <w:rPr>
                <w:sz w:val="20"/>
                <w:szCs w:val="20"/>
              </w:rPr>
              <w:t xml:space="preserve">8.37%</w:t>
            </w:r>
          </w:p>
        </w:tc>
        <w:tc>
          <w:tcPr>
            <w:tcW w:type="dxa" w:w="1100"/>
            <w:tcMar>
              <w:top w:type="dxa" w:w="60"/>
              <w:left w:type="dxa" w:w="100"/>
              <w:bottom w:type="dxa" w:w="60"/>
              <w:right w:type="dxa" w:w="100"/>
            </w:tcMar>
            <w:vAlign w:val="center"/>
          </w:tcPr>
          <w:p>
            <w:pPr>
              <w:jc w:val="center"/>
            </w:pPr>
            <w:r>
              <w:rPr>
                <w:sz w:val="20"/>
                <w:szCs w:val="20"/>
              </w:rPr>
              <w:t xml:space="preserve">99.17</w:t>
            </w:r>
          </w:p>
        </w:tc>
        <w:tc>
          <w:tcPr>
            <w:tcW w:type="dxa" w:w="900"/>
            <w:tcMar>
              <w:top w:type="dxa" w:w="60"/>
              <w:left w:type="dxa" w:w="100"/>
              <w:bottom w:type="dxa" w:w="60"/>
              <w:right w:type="dxa" w:w="100"/>
            </w:tcMar>
            <w:vAlign w:val="center"/>
          </w:tcPr>
          <w:p>
            <w:pPr>
              <w:jc w:val="center"/>
            </w:pPr>
            <w:r>
              <w:rPr>
                <w:sz w:val="20"/>
                <w:szCs w:val="20"/>
              </w:rPr>
              <w:t xml:space="preserve">26</w:t>
            </w:r>
          </w:p>
        </w:tc>
        <w:tc>
          <w:tcPr>
            <w:tcW w:type="dxa" w:w="700"/>
            <w:tcMar>
              <w:top w:type="dxa" w:w="60"/>
              <w:left w:type="dxa" w:w="100"/>
              <w:bottom w:type="dxa" w:w="60"/>
              <w:right w:type="dxa" w:w="100"/>
            </w:tcMar>
            <w:vAlign w:val="center"/>
          </w:tcPr>
          <w:p>
            <w:pPr>
              <w:jc w:val="center"/>
            </w:pPr>
            <w:r>
              <w:rPr>
                <w:sz w:val="20"/>
                <w:szCs w:val="20"/>
              </w:rPr>
              <w:t xml:space="preserve">5.06%</w:t>
            </w:r>
          </w:p>
        </w:tc>
      </w:tr>
      <w:tr>
        <w:tc>
          <w:tcPr>
            <w:tcW w:type="dxa" w:w="1000"/>
            <w:tcMar>
              <w:top w:type="dxa" w:w="60"/>
              <w:left w:type="dxa" w:w="100"/>
              <w:bottom w:type="dxa" w:w="60"/>
              <w:right w:type="dxa" w:w="100"/>
            </w:tcMar>
            <w:vAlign w:val="center"/>
          </w:tcPr>
          <w:p>
            <w:pPr>
              <w:jc w:val="left"/>
            </w:pPr>
            <w:r>
              <w:rPr>
                <w:sz w:val="20"/>
                <w:szCs w:val="20"/>
              </w:rPr>
              <w:t xml:space="preserve">per-tensor</w:t>
            </w:r>
          </w:p>
        </w:tc>
        <w:tc>
          <w:tcPr>
            <w:tcW w:type="dxa" w:w="2500"/>
            <w:tcMar>
              <w:top w:type="dxa" w:w="60"/>
              <w:left w:type="dxa" w:w="100"/>
              <w:bottom w:type="dxa" w:w="60"/>
              <w:right w:type="dxa" w:w="100"/>
            </w:tcMar>
            <w:vAlign w:val="center"/>
          </w:tcPr>
          <w:p>
            <w:pPr>
              <w:jc w:val="center"/>
            </w:pPr>
            <w:r>
              <w:rPr>
                <w:sz w:val="20"/>
                <w:szCs w:val="20"/>
              </w:rPr>
              <w:t xml:space="preserve">data-free: BN statistics, k = 6</w:t>
            </w:r>
          </w:p>
        </w:tc>
        <w:tc>
          <w:tcPr>
            <w:tcW w:type="dxa" w:w="1100"/>
            <w:tcMar>
              <w:top w:type="dxa" w:w="60"/>
              <w:left w:type="dxa" w:w="100"/>
              <w:bottom w:type="dxa" w:w="60"/>
              <w:right w:type="dxa" w:w="100"/>
            </w:tcMar>
            <w:vAlign w:val="center"/>
          </w:tcPr>
          <w:p>
            <w:pPr>
              <w:jc w:val="center"/>
            </w:pPr>
            <w:r>
              <w:rPr>
                <w:sz w:val="20"/>
                <w:szCs w:val="20"/>
              </w:rPr>
              <w:t xml:space="preserve">82.51</w:t>
            </w:r>
          </w:p>
        </w:tc>
        <w:tc>
          <w:tcPr>
            <w:tcW w:type="dxa" w:w="900"/>
            <w:tcMar>
              <w:top w:type="dxa" w:w="60"/>
              <w:left w:type="dxa" w:w="100"/>
              <w:bottom w:type="dxa" w:w="60"/>
              <w:right w:type="dxa" w:w="100"/>
            </w:tcMar>
            <w:vAlign w:val="center"/>
          </w:tcPr>
          <w:p>
            <w:pPr>
              <w:jc w:val="center"/>
            </w:pPr>
            <w:r>
              <w:rPr>
                <w:sz w:val="20"/>
                <w:szCs w:val="20"/>
              </w:rPr>
              <w:t xml:space="preserve">66</w:t>
            </w:r>
          </w:p>
        </w:tc>
        <w:tc>
          <w:tcPr>
            <w:tcW w:type="dxa" w:w="700"/>
            <w:tcMar>
              <w:top w:type="dxa" w:w="60"/>
              <w:left w:type="dxa" w:w="100"/>
              <w:bottom w:type="dxa" w:w="60"/>
              <w:right w:type="dxa" w:w="100"/>
            </w:tcMar>
            <w:vAlign w:val="center"/>
          </w:tcPr>
          <w:p>
            <w:pPr>
              <w:jc w:val="center"/>
            </w:pPr>
            <w:r>
              <w:rPr>
                <w:sz w:val="20"/>
                <w:szCs w:val="20"/>
              </w:rPr>
              <w:t xml:space="preserve">8.69%</w:t>
            </w:r>
          </w:p>
        </w:tc>
        <w:tc>
          <w:tcPr>
            <w:tcW w:type="dxa" w:w="1100"/>
            <w:tcMar>
              <w:top w:type="dxa" w:w="60"/>
              <w:left w:type="dxa" w:w="100"/>
              <w:bottom w:type="dxa" w:w="60"/>
              <w:right w:type="dxa" w:w="100"/>
            </w:tcMar>
            <w:vAlign w:val="center"/>
          </w:tcPr>
          <w:p>
            <w:pPr>
              <w:jc w:val="center"/>
            </w:pPr>
            <w:r>
              <w:rPr>
                <w:sz w:val="20"/>
                <w:szCs w:val="20"/>
              </w:rPr>
              <w:t xml:space="preserve">99.26</w:t>
            </w:r>
          </w:p>
        </w:tc>
        <w:tc>
          <w:tcPr>
            <w:tcW w:type="dxa" w:w="900"/>
            <w:tcMar>
              <w:top w:type="dxa" w:w="60"/>
              <w:left w:type="dxa" w:w="100"/>
              <w:bottom w:type="dxa" w:w="60"/>
              <w:right w:type="dxa" w:w="100"/>
            </w:tcMar>
            <w:vAlign w:val="center"/>
          </w:tcPr>
          <w:p>
            <w:pPr>
              <w:jc w:val="center"/>
            </w:pPr>
            <w:r>
              <w:rPr>
                <w:sz w:val="20"/>
                <w:szCs w:val="20"/>
              </w:rPr>
              <w:t xml:space="preserve">27</w:t>
            </w:r>
          </w:p>
        </w:tc>
        <w:tc>
          <w:tcPr>
            <w:tcW w:type="dxa" w:w="700"/>
            <w:tcMar>
              <w:top w:type="dxa" w:w="60"/>
              <w:left w:type="dxa" w:w="100"/>
              <w:bottom w:type="dxa" w:w="60"/>
              <w:right w:type="dxa" w:w="100"/>
            </w:tcMar>
            <w:vAlign w:val="center"/>
          </w:tcPr>
          <w:p>
            <w:pPr>
              <w:jc w:val="center"/>
            </w:pPr>
            <w:r>
              <w:rPr>
                <w:sz w:val="20"/>
                <w:szCs w:val="20"/>
              </w:rPr>
              <w:t xml:space="preserve">4.44%</w:t>
            </w:r>
          </w:p>
        </w:tc>
      </w:tr>
      <w:tr>
        <w:tc>
          <w:tcPr>
            <w:tcW w:type="dxa" w:w="1000"/>
            <w:tcMar>
              <w:top w:type="dxa" w:w="60"/>
              <w:left w:type="dxa" w:w="100"/>
              <w:bottom w:type="dxa" w:w="60"/>
              <w:right w:type="dxa" w:w="100"/>
            </w:tcMar>
            <w:vAlign w:val="center"/>
          </w:tcPr>
          <w:p>
            <w:pPr>
              <w:jc w:val="left"/>
            </w:pPr>
            <w:r>
              <w:rPr>
                <w:sz w:val="20"/>
                <w:szCs w:val="20"/>
              </w:rPr>
              <w:t xml:space="preserve">per-tensor</w:t>
            </w:r>
          </w:p>
        </w:tc>
        <w:tc>
          <w:tcPr>
            <w:tcW w:type="dxa" w:w="2500"/>
            <w:tcMar>
              <w:top w:type="dxa" w:w="60"/>
              <w:left w:type="dxa" w:w="100"/>
              <w:bottom w:type="dxa" w:w="60"/>
              <w:right w:type="dxa" w:w="100"/>
            </w:tcMar>
            <w:vAlign w:val="center"/>
          </w:tcPr>
          <w:p>
            <w:pPr>
              <w:jc w:val="center"/>
            </w:pPr>
            <w:r>
              <w:rPr>
                <w:sz w:val="20"/>
                <w:szCs w:val="20"/>
              </w:rPr>
              <w:t xml:space="preserve">data-free: CLE + BN statistics, k = 6</w:t>
            </w:r>
          </w:p>
        </w:tc>
        <w:tc>
          <w:tcPr>
            <w:tcW w:type="dxa" w:w="1100"/>
            <w:tcMar>
              <w:top w:type="dxa" w:w="60"/>
              <w:left w:type="dxa" w:w="100"/>
              <w:bottom w:type="dxa" w:w="60"/>
              <w:right w:type="dxa" w:w="100"/>
            </w:tcMar>
            <w:vAlign w:val="center"/>
          </w:tcPr>
          <w:p>
            <w:pPr>
              <w:jc w:val="center"/>
            </w:pPr>
            <w:r>
              <w:rPr>
                <w:sz w:val="20"/>
                <w:szCs w:val="20"/>
              </w:rPr>
              <w:t xml:space="preserve">84.64</w:t>
            </w:r>
          </w:p>
        </w:tc>
        <w:tc>
          <w:tcPr>
            <w:tcW w:type="dxa" w:w="900"/>
            <w:tcMar>
              <w:top w:type="dxa" w:w="60"/>
              <w:left w:type="dxa" w:w="100"/>
              <w:bottom w:type="dxa" w:w="60"/>
              <w:right w:type="dxa" w:w="100"/>
            </w:tcMar>
            <w:vAlign w:val="center"/>
          </w:tcPr>
          <w:p>
            <w:pPr>
              <w:jc w:val="center"/>
            </w:pPr>
            <w:r>
              <w:rPr>
                <w:sz w:val="20"/>
                <w:szCs w:val="20"/>
              </w:rPr>
              <w:t xml:space="preserve">55</w:t>
            </w:r>
          </w:p>
        </w:tc>
        <w:tc>
          <w:tcPr>
            <w:tcW w:type="dxa" w:w="700"/>
            <w:tcMar>
              <w:top w:type="dxa" w:w="60"/>
              <w:left w:type="dxa" w:w="100"/>
              <w:bottom w:type="dxa" w:w="60"/>
              <w:right w:type="dxa" w:w="100"/>
            </w:tcMar>
            <w:vAlign w:val="center"/>
          </w:tcPr>
          <w:p>
            <w:pPr>
              <w:jc w:val="center"/>
            </w:pPr>
            <w:r>
              <w:rPr>
                <w:sz w:val="20"/>
                <w:szCs w:val="20"/>
              </w:rPr>
              <w:t xml:space="preserve">7.44%</w:t>
            </w:r>
          </w:p>
        </w:tc>
        <w:tc>
          <w:tcPr>
            <w:tcW w:type="dxa" w:w="1100"/>
            <w:tcMar>
              <w:top w:type="dxa" w:w="60"/>
              <w:left w:type="dxa" w:w="100"/>
              <w:bottom w:type="dxa" w:w="60"/>
              <w:right w:type="dxa" w:w="100"/>
            </w:tcMar>
            <w:vAlign w:val="center"/>
          </w:tcPr>
          <w:p>
            <w:pPr>
              <w:jc w:val="center"/>
            </w:pPr>
            <w:r>
              <w:rPr>
                <w:sz w:val="20"/>
                <w:szCs w:val="20"/>
              </w:rPr>
              <w:t xml:space="preserve">99.25</w:t>
            </w:r>
          </w:p>
        </w:tc>
        <w:tc>
          <w:tcPr>
            <w:tcW w:type="dxa" w:w="900"/>
            <w:tcMar>
              <w:top w:type="dxa" w:w="60"/>
              <w:left w:type="dxa" w:w="100"/>
              <w:bottom w:type="dxa" w:w="60"/>
              <w:right w:type="dxa" w:w="100"/>
            </w:tcMar>
            <w:vAlign w:val="center"/>
          </w:tcPr>
          <w:p>
            <w:pPr>
              <w:jc w:val="center"/>
            </w:pPr>
            <w:r>
              <w:rPr>
                <w:sz w:val="20"/>
                <w:szCs w:val="20"/>
              </w:rPr>
              <w:t xml:space="preserve">30</w:t>
            </w:r>
          </w:p>
        </w:tc>
        <w:tc>
          <w:tcPr>
            <w:tcW w:type="dxa" w:w="700"/>
            <w:tcMar>
              <w:top w:type="dxa" w:w="60"/>
              <w:left w:type="dxa" w:w="100"/>
              <w:bottom w:type="dxa" w:w="60"/>
              <w:right w:type="dxa" w:w="100"/>
            </w:tcMar>
            <w:vAlign w:val="center"/>
          </w:tcPr>
          <w:p>
            <w:pPr>
              <w:jc w:val="center"/>
            </w:pPr>
            <w:r>
              <w:rPr>
                <w:sz w:val="20"/>
                <w:szCs w:val="20"/>
              </w:rPr>
              <w:t xml:space="preserve">4.48%</w:t>
            </w:r>
          </w:p>
        </w:tc>
      </w:tr>
      <w:tr>
        <w:tc>
          <w:tcPr>
            <w:tcW w:type="dxa" w:w="1000"/>
            <w:tcMar>
              <w:top w:type="dxa" w:w="60"/>
              <w:left w:type="dxa" w:w="100"/>
              <w:bottom w:type="dxa" w:w="60"/>
              <w:right w:type="dxa" w:w="100"/>
            </w:tcMar>
            <w:vAlign w:val="center"/>
          </w:tcPr>
          <w:p>
            <w:pPr>
              <w:jc w:val="left"/>
            </w:pPr>
            <w:r>
              <w:rPr>
                <w:sz w:val="20"/>
                <w:szCs w:val="20"/>
              </w:rPr>
              <w:t xml:space="preserve">—</w:t>
            </w:r>
          </w:p>
        </w:tc>
        <w:tc>
          <w:tcPr>
            <w:tcW w:type="dxa" w:w="2500"/>
            <w:tcMar>
              <w:top w:type="dxa" w:w="60"/>
              <w:left w:type="dxa" w:w="100"/>
              <w:bottom w:type="dxa" w:w="60"/>
              <w:right w:type="dxa" w:w="100"/>
            </w:tcMar>
            <w:vAlign w:val="center"/>
          </w:tcPr>
          <w:p>
            <w:pPr>
              <w:jc w:val="center"/>
            </w:pPr>
            <w:r>
              <w:rPr>
                <w:sz w:val="20"/>
                <w:szCs w:val="20"/>
              </w:rPr>
              <w:t xml:space="preserve">FP32 federated model</w:t>
            </w:r>
          </w:p>
        </w:tc>
        <w:tc>
          <w:tcPr>
            <w:tcW w:type="dxa" w:w="1100"/>
            <w:tcMar>
              <w:top w:type="dxa" w:w="60"/>
              <w:left w:type="dxa" w:w="100"/>
              <w:bottom w:type="dxa" w:w="60"/>
              <w:right w:type="dxa" w:w="100"/>
            </w:tcMar>
            <w:vAlign w:val="center"/>
          </w:tcPr>
          <w:p>
            <w:pPr>
              <w:jc w:val="center"/>
            </w:pPr>
            <w:r>
              <w:rPr>
                <w:sz w:val="20"/>
                <w:szCs w:val="20"/>
              </w:rPr>
              <w:t xml:space="preserve">85.70</w:t>
            </w:r>
          </w:p>
        </w:tc>
        <w:tc>
          <w:tcPr>
            <w:tcW w:type="dxa" w:w="900"/>
            <w:tcMar>
              <w:top w:type="dxa" w:w="60"/>
              <w:left w:type="dxa" w:w="100"/>
              <w:bottom w:type="dxa" w:w="60"/>
              <w:right w:type="dxa" w:w="100"/>
            </w:tcMar>
            <w:vAlign w:val="center"/>
          </w:tcPr>
          <w:p>
            <w:pPr>
              <w:jc w:val="center"/>
            </w:pPr>
            <w:r>
              <w:rPr>
                <w:sz w:val="20"/>
                <w:szCs w:val="20"/>
              </w:rPr>
              <w:t xml:space="preserve">52</w:t>
            </w:r>
          </w:p>
        </w:tc>
        <w:tc>
          <w:tcPr>
            <w:tcW w:type="dxa" w:w="700"/>
            <w:tcMar>
              <w:top w:type="dxa" w:w="60"/>
              <w:left w:type="dxa" w:w="100"/>
              <w:bottom w:type="dxa" w:w="60"/>
              <w:right w:type="dxa" w:w="100"/>
            </w:tcMar>
            <w:vAlign w:val="center"/>
          </w:tcPr>
          <w:p>
            <w:pPr>
              <w:jc w:val="center"/>
            </w:pPr>
            <w:r>
              <w:rPr>
                <w:sz w:val="20"/>
                <w:szCs w:val="20"/>
              </w:rPr>
              <w:t xml:space="preserve">6.84%</w:t>
            </w:r>
          </w:p>
        </w:tc>
        <w:tc>
          <w:tcPr>
            <w:tcW w:type="dxa" w:w="1100"/>
            <w:tcMar>
              <w:top w:type="dxa" w:w="60"/>
              <w:left w:type="dxa" w:w="100"/>
              <w:bottom w:type="dxa" w:w="60"/>
              <w:right w:type="dxa" w:w="100"/>
            </w:tcMar>
            <w:vAlign w:val="center"/>
          </w:tcPr>
          <w:p>
            <w:pPr>
              <w:jc w:val="center"/>
            </w:pPr>
            <w:r>
              <w:rPr>
                <w:sz w:val="20"/>
                <w:szCs w:val="20"/>
              </w:rPr>
              <w:t xml:space="preserve">99.41</w:t>
            </w:r>
          </w:p>
        </w:tc>
        <w:tc>
          <w:tcPr>
            <w:tcW w:type="dxa" w:w="900"/>
            <w:tcMar>
              <w:top w:type="dxa" w:w="60"/>
              <w:left w:type="dxa" w:w="100"/>
              <w:bottom w:type="dxa" w:w="60"/>
              <w:right w:type="dxa" w:w="100"/>
            </w:tcMar>
            <w:vAlign w:val="center"/>
          </w:tcPr>
          <w:p>
            <w:pPr>
              <w:jc w:val="center"/>
            </w:pPr>
            <w:r>
              <w:rPr>
                <w:sz w:val="20"/>
                <w:szCs w:val="20"/>
              </w:rPr>
              <w:t xml:space="preserve">19</w:t>
            </w:r>
          </w:p>
        </w:tc>
        <w:tc>
          <w:tcPr>
            <w:tcW w:type="dxa" w:w="700"/>
            <w:tcMar>
              <w:top w:type="dxa" w:w="60"/>
              <w:left w:type="dxa" w:w="100"/>
              <w:bottom w:type="dxa" w:w="60"/>
              <w:right w:type="dxa" w:w="100"/>
            </w:tcMar>
            <w:vAlign w:val="center"/>
          </w:tcPr>
          <w:p>
            <w:pPr>
              <w:jc w:val="center"/>
            </w:pPr>
            <w:r>
              <w:rPr>
                <w:sz w:val="20"/>
                <w:szCs w:val="20"/>
              </w:rPr>
              <w:t xml:space="preserve">3.61%</w:t>
            </w:r>
          </w:p>
        </w:tc>
      </w:tr>
    </w:tbl>
    <w:p>
      <w:pPr>
        <w:spacing w:after="240" w:before="80"/>
      </w:pPr>
      <w:r>
        <w:rPr>
          <w:i/>
          <w:iCs/>
          <w:sz w:val="20"/>
          <w:szCs w:val="20"/>
        </w:rPr>
        <w:t xml:space="preserve">Table 15. Full-integer PTQ of the unpruned near-IID federated models with different range estimators: mean F1 [minimum], mean missed attacks, mean FAR. Real-data rows use the 15 calibration sets of Table 7 (2,000 samples). Data-free rows use no client data: synthetic inputs are 3 draws of 2,000 standard-normal vectors; BN rows set each hidden range to max over channels of (mean + k·SD) from the federated BatchNorm statistics. CLE = cross-layer equalization [29]. Source: runs 2026-10-05_x1_calib_methods and _x3_data_free_calib.</w:t>
      </w:r>
    </w:p>
    <w:p>
      <w:pPr>
        <w:spacing w:after="160"/>
      </w:pPr>
      <w:r>
        <w:t xml:space="preserve">Only estimators that clip hard remove the collapses: the 99.9th percentile and our ±5 SD input clip. The 99.99th percentile, the MSE-optimal clip and KL calibration still fail on some calibration sets (minimum F1 29–44 on CIC-IDS2017, 35–97 on TON_IoT): the rare extreme records that stretch the ranges are too rare to move a per-tensor MSE or KL objective. With the same per-tensor weights, the 99.9th percentile is at least as good as our clip (TON_IoT FAR 3.55% vs. 4.94%; CIC-IDS2017 misses 58 vs. 239). Per-channel weights barely change min/max calibration, but with clipped inputs they cut CIC-IDS2017 misses from 239 to 68, and CLE recovers the same effect for per-tensor weights (58).</w:t>
      </w:r>
    </w:p>
    <w:p>
      <w:pPr>
        <w:spacing w:after="160"/>
      </w:pPr>
      <w:r>
        <w:t xml:space="preserve">The server can also calibrate without any client data. Because the inputs are standardized, synthetic standard-normal inputs are a usable calibration set, and the federated BatchNorm statistics, which FedAvg averages like any other weight, give each post-ReLU activation's mean and standard deviation. Both match clipped real-data calibration on both datasets, and CLE with BatchNorm-derived ranges (k = 6) gives the best CIC-IDS2017 PTQ result (F1 84.64, 55 missed). k = 3 is too tight (532 and 282 missed).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1100"/>
        <w:gridCol w:w="1600"/>
        <w:gridCol w:w="1100"/>
      </w:tblGrid>
      <w:tr>
        <w:trPr>
          <w:tblHeader/>
        </w:trPr>
        <w:tc>
          <w:tcPr>
            <w:tcW w:type="dxa" w:w="3300"/>
            <w:shd w:fill="D9E2F3" w:val="clear"/>
            <w:tcMar>
              <w:top w:type="dxa" w:w="60"/>
              <w:left w:type="dxa" w:w="100"/>
              <w:bottom w:type="dxa" w:w="60"/>
              <w:right w:type="dxa" w:w="100"/>
            </w:tcMar>
            <w:vAlign w:val="center"/>
          </w:tcPr>
          <w:p>
            <w:pPr>
              <w:jc w:val="center"/>
            </w:pPr>
            <w:r>
              <w:rPr>
                <w:b/>
                <w:bCs/>
                <w:sz w:val="20"/>
                <w:szCs w:val="20"/>
              </w:rPr>
              <w:t xml:space="preserve">Variant (base recipe, 5 fine-tuning draws)</w:t>
            </w:r>
          </w:p>
        </w:tc>
        <w:tc>
          <w:tcPr>
            <w:tcW w:type="dxa" w:w="1600"/>
            <w:shd w:fill="D9E2F3" w:val="clear"/>
            <w:tcMar>
              <w:top w:type="dxa" w:w="60"/>
              <w:left w:type="dxa" w:w="100"/>
              <w:bottom w:type="dxa" w:w="60"/>
              <w:right w:type="dxa" w:w="100"/>
            </w:tcMar>
            <w:vAlign w:val="center"/>
          </w:tcPr>
          <w:p>
            <w:pPr>
              <w:jc w:val="center"/>
            </w:pPr>
            <w:r>
              <w:rPr>
                <w:b/>
                <w:bCs/>
                <w:sz w:val="20"/>
                <w:szCs w:val="20"/>
              </w:rPr>
              <w:t xml:space="preserve">CIC F1 [range]</w:t>
            </w:r>
          </w:p>
        </w:tc>
        <w:tc>
          <w:tcPr>
            <w:tcW w:type="dxa" w:w="1100"/>
            <w:shd w:fill="D9E2F3" w:val="clear"/>
            <w:tcMar>
              <w:top w:type="dxa" w:w="60"/>
              <w:left w:type="dxa" w:w="100"/>
              <w:bottom w:type="dxa" w:w="60"/>
              <w:right w:type="dxa" w:w="100"/>
            </w:tcMar>
            <w:vAlign w:val="center"/>
          </w:tcPr>
          <w:p>
            <w:pPr>
              <w:jc w:val="center"/>
            </w:pPr>
            <w:r>
              <w:rPr>
                <w:b/>
                <w:bCs/>
                <w:sz w:val="20"/>
                <w:szCs w:val="20"/>
              </w:rPr>
              <w:t xml:space="preserve">CIC missed / 85,173</w:t>
            </w:r>
          </w:p>
        </w:tc>
        <w:tc>
          <w:tcPr>
            <w:tcW w:type="dxa" w:w="1600"/>
            <w:shd w:fill="D9E2F3" w:val="clear"/>
            <w:tcMar>
              <w:top w:type="dxa" w:w="60"/>
              <w:left w:type="dxa" w:w="100"/>
              <w:bottom w:type="dxa" w:w="60"/>
              <w:right w:type="dxa" w:w="100"/>
            </w:tcMar>
            <w:vAlign w:val="center"/>
          </w:tcPr>
          <w:p>
            <w:pPr>
              <w:jc w:val="center"/>
            </w:pPr>
            <w:r>
              <w:rPr>
                <w:b/>
                <w:bCs/>
                <w:sz w:val="20"/>
                <w:szCs w:val="20"/>
              </w:rPr>
              <w:t xml:space="preserve">TON F1 [range]</w:t>
            </w:r>
          </w:p>
        </w:tc>
        <w:tc>
          <w:tcPr>
            <w:tcW w:type="dxa" w:w="1100"/>
            <w:shd w:fill="D9E2F3" w:val="clear"/>
            <w:tcMar>
              <w:top w:type="dxa" w:w="60"/>
              <w:left w:type="dxa" w:w="100"/>
              <w:bottom w:type="dxa" w:w="60"/>
              <w:right w:type="dxa" w:w="100"/>
            </w:tcMar>
            <w:vAlign w:val="center"/>
          </w:tcPr>
          <w:p>
            <w:pPr>
              <w:jc w:val="center"/>
            </w:pPr>
            <w:r>
              <w:rPr>
                <w:b/>
                <w:bCs/>
                <w:sz w:val="20"/>
                <w:szCs w:val="20"/>
              </w:rPr>
              <w:t xml:space="preserve">TON missed / 16,215</w:t>
            </w:r>
          </w:p>
        </w:tc>
      </w:tr>
      <w:tr>
        <w:tc>
          <w:tcPr>
            <w:tcW w:type="dxa" w:w="3300"/>
            <w:tcMar>
              <w:top w:type="dxa" w:w="60"/>
              <w:left w:type="dxa" w:w="100"/>
              <w:bottom w:type="dxa" w:w="60"/>
              <w:right w:type="dxa" w:w="100"/>
            </w:tcMar>
            <w:vAlign w:val="center"/>
          </w:tcPr>
          <w:p>
            <w:pPr>
              <w:jc w:val="left"/>
            </w:pPr>
            <w:r>
              <w:rPr>
                <w:sz w:val="20"/>
                <w:szCs w:val="20"/>
              </w:rPr>
              <w:t xml:space="preserve">PTQ, min/max (TFLite)</w:t>
            </w:r>
          </w:p>
        </w:tc>
        <w:tc>
          <w:tcPr>
            <w:tcW w:type="dxa" w:w="1600"/>
            <w:tcMar>
              <w:top w:type="dxa" w:w="60"/>
              <w:left w:type="dxa" w:w="100"/>
              <w:bottom w:type="dxa" w:w="60"/>
              <w:right w:type="dxa" w:w="100"/>
            </w:tcMar>
            <w:vAlign w:val="center"/>
          </w:tcPr>
          <w:p>
            <w:pPr>
              <w:jc w:val="center"/>
            </w:pPr>
            <w:r>
              <w:rPr>
                <w:sz w:val="20"/>
                <w:szCs w:val="20"/>
              </w:rPr>
              <w:t xml:space="preserve">85.81 [79.37–89.05]</w:t>
            </w:r>
          </w:p>
        </w:tc>
        <w:tc>
          <w:tcPr>
            <w:tcW w:type="dxa" w:w="1100"/>
            <w:tcMar>
              <w:top w:type="dxa" w:w="60"/>
              <w:left w:type="dxa" w:w="100"/>
              <w:bottom w:type="dxa" w:w="60"/>
              <w:right w:type="dxa" w:w="100"/>
            </w:tcMar>
            <w:vAlign w:val="center"/>
          </w:tcPr>
          <w:p>
            <w:pPr>
              <w:jc w:val="center"/>
            </w:pPr>
            <w:r>
              <w:rPr>
                <w:sz w:val="20"/>
                <w:szCs w:val="20"/>
              </w:rPr>
              <w:t xml:space="preserve">562</w:t>
            </w:r>
          </w:p>
        </w:tc>
        <w:tc>
          <w:tcPr>
            <w:tcW w:type="dxa" w:w="1600"/>
            <w:tcMar>
              <w:top w:type="dxa" w:w="60"/>
              <w:left w:type="dxa" w:w="100"/>
              <w:bottom w:type="dxa" w:w="60"/>
              <w:right w:type="dxa" w:w="100"/>
            </w:tcMar>
            <w:vAlign w:val="center"/>
          </w:tcPr>
          <w:p>
            <w:pPr>
              <w:jc w:val="center"/>
            </w:pPr>
            <w:r>
              <w:rPr>
                <w:sz w:val="20"/>
                <w:szCs w:val="20"/>
              </w:rPr>
              <w:t xml:space="preserve">98.62 [96.89–99.19]</w:t>
            </w:r>
          </w:p>
        </w:tc>
        <w:tc>
          <w:tcPr>
            <w:tcW w:type="dxa" w:w="1100"/>
            <w:tcMar>
              <w:top w:type="dxa" w:w="60"/>
              <w:left w:type="dxa" w:w="100"/>
              <w:bottom w:type="dxa" w:w="60"/>
              <w:right w:type="dxa" w:w="100"/>
            </w:tcMar>
            <w:vAlign w:val="center"/>
          </w:tcPr>
          <w:p>
            <w:pPr>
              <w:jc w:val="center"/>
            </w:pPr>
            <w:r>
              <w:rPr>
                <w:sz w:val="20"/>
                <w:szCs w:val="20"/>
              </w:rPr>
              <w:t xml:space="preserve">351</w:t>
            </w:r>
          </w:p>
        </w:tc>
      </w:tr>
      <w:tr>
        <w:tc>
          <w:tcPr>
            <w:tcW w:type="dxa" w:w="3300"/>
            <w:tcMar>
              <w:top w:type="dxa" w:w="60"/>
              <w:left w:type="dxa" w:w="100"/>
              <w:bottom w:type="dxa" w:w="60"/>
              <w:right w:type="dxa" w:w="100"/>
            </w:tcMar>
            <w:vAlign w:val="center"/>
          </w:tcPr>
          <w:p>
            <w:pPr>
              <w:jc w:val="left"/>
            </w:pPr>
            <w:r>
              <w:rPr>
                <w:sz w:val="20"/>
                <w:szCs w:val="20"/>
              </w:rPr>
              <w:t xml:space="preserve">QAT, tfmot default</w:t>
            </w:r>
          </w:p>
        </w:tc>
        <w:tc>
          <w:tcPr>
            <w:tcW w:type="dxa" w:w="1600"/>
            <w:tcMar>
              <w:top w:type="dxa" w:w="60"/>
              <w:left w:type="dxa" w:w="100"/>
              <w:bottom w:type="dxa" w:w="60"/>
              <w:right w:type="dxa" w:w="100"/>
            </w:tcMar>
            <w:vAlign w:val="center"/>
          </w:tcPr>
          <w:p>
            <w:pPr>
              <w:jc w:val="center"/>
            </w:pPr>
            <w:r>
              <w:rPr>
                <w:sz w:val="20"/>
                <w:szCs w:val="20"/>
              </w:rPr>
              <w:t xml:space="preserve">88.02 [86.77–89.28]</w:t>
            </w:r>
          </w:p>
        </w:tc>
        <w:tc>
          <w:tcPr>
            <w:tcW w:type="dxa" w:w="1100"/>
            <w:tcMar>
              <w:top w:type="dxa" w:w="60"/>
              <w:left w:type="dxa" w:w="100"/>
              <w:bottom w:type="dxa" w:w="60"/>
              <w:right w:type="dxa" w:w="100"/>
            </w:tcMar>
            <w:vAlign w:val="center"/>
          </w:tcPr>
          <w:p>
            <w:pPr>
              <w:jc w:val="center"/>
            </w:pPr>
            <w:r>
              <w:rPr>
                <w:sz w:val="20"/>
                <w:szCs w:val="20"/>
              </w:rPr>
              <w:t xml:space="preserve">513</w:t>
            </w:r>
          </w:p>
        </w:tc>
        <w:tc>
          <w:tcPr>
            <w:tcW w:type="dxa" w:w="1600"/>
            <w:tcMar>
              <w:top w:type="dxa" w:w="60"/>
              <w:left w:type="dxa" w:w="100"/>
              <w:bottom w:type="dxa" w:w="60"/>
              <w:right w:type="dxa" w:w="100"/>
            </w:tcMar>
            <w:vAlign w:val="center"/>
          </w:tcPr>
          <w:p>
            <w:pPr>
              <w:jc w:val="center"/>
            </w:pPr>
            <w:r>
              <w:rPr>
                <w:sz w:val="20"/>
                <w:szCs w:val="20"/>
              </w:rPr>
              <w:t xml:space="preserve">99.00 [98.79–99.51]</w:t>
            </w:r>
          </w:p>
        </w:tc>
        <w:tc>
          <w:tcPr>
            <w:tcW w:type="dxa" w:w="1100"/>
            <w:tcMar>
              <w:top w:type="dxa" w:w="60"/>
              <w:left w:type="dxa" w:w="100"/>
              <w:bottom w:type="dxa" w:w="60"/>
              <w:right w:type="dxa" w:w="100"/>
            </w:tcMar>
            <w:vAlign w:val="center"/>
          </w:tcPr>
          <w:p>
            <w:pPr>
              <w:jc w:val="center"/>
            </w:pPr>
            <w:r>
              <w:rPr>
                <w:sz w:val="20"/>
                <w:szCs w:val="20"/>
              </w:rPr>
              <w:t xml:space="preserve">204</w:t>
            </w:r>
          </w:p>
        </w:tc>
      </w:tr>
      <w:tr>
        <w:tc>
          <w:tcPr>
            <w:tcW w:type="dxa" w:w="3300"/>
            <w:tcMar>
              <w:top w:type="dxa" w:w="60"/>
              <w:left w:type="dxa" w:w="100"/>
              <w:bottom w:type="dxa" w:w="60"/>
              <w:right w:type="dxa" w:w="100"/>
            </w:tcMar>
            <w:vAlign w:val="center"/>
          </w:tcPr>
          <w:p>
            <w:pPr>
              <w:jc w:val="left"/>
            </w:pPr>
            <w:r>
              <w:rPr>
                <w:sz w:val="20"/>
                <w:szCs w:val="20"/>
              </w:rPr>
              <w:t xml:space="preserve">QAT, calibrated start (5 estimators)</w:t>
            </w:r>
          </w:p>
        </w:tc>
        <w:tc>
          <w:tcPr>
            <w:tcW w:type="dxa" w:w="1600"/>
            <w:tcMar>
              <w:top w:type="dxa" w:w="60"/>
              <w:left w:type="dxa" w:w="100"/>
              <w:bottom w:type="dxa" w:w="60"/>
              <w:right w:type="dxa" w:w="100"/>
            </w:tcMar>
            <w:vAlign w:val="center"/>
          </w:tcPr>
          <w:p>
            <w:pPr>
              <w:jc w:val="center"/>
            </w:pPr>
            <w:r>
              <w:rPr>
                <w:sz w:val="20"/>
                <w:szCs w:val="20"/>
              </w:rPr>
              <w:t xml:space="preserve">87.79–88.18</w:t>
            </w:r>
          </w:p>
        </w:tc>
        <w:tc>
          <w:tcPr>
            <w:tcW w:type="dxa" w:w="1100"/>
            <w:tcMar>
              <w:top w:type="dxa" w:w="60"/>
              <w:left w:type="dxa" w:w="100"/>
              <w:bottom w:type="dxa" w:w="60"/>
              <w:right w:type="dxa" w:w="100"/>
            </w:tcMar>
            <w:vAlign w:val="center"/>
          </w:tcPr>
          <w:p>
            <w:pPr>
              <w:jc w:val="center"/>
            </w:pPr>
            <w:r>
              <w:rPr>
                <w:sz w:val="20"/>
                <w:szCs w:val="20"/>
              </w:rPr>
              <w:t xml:space="preserve">447–664</w:t>
            </w:r>
          </w:p>
        </w:tc>
        <w:tc>
          <w:tcPr>
            <w:tcW w:type="dxa" w:w="1600"/>
            <w:tcMar>
              <w:top w:type="dxa" w:w="60"/>
              <w:left w:type="dxa" w:w="100"/>
              <w:bottom w:type="dxa" w:w="60"/>
              <w:right w:type="dxa" w:w="100"/>
            </w:tcMar>
            <w:vAlign w:val="center"/>
          </w:tcPr>
          <w:p>
            <w:pPr>
              <w:jc w:val="center"/>
            </w:pPr>
            <w:r>
              <w:rPr>
                <w:sz w:val="20"/>
                <w:szCs w:val="20"/>
              </w:rPr>
              <w:t xml:space="preserve">98.99–99.03</w:t>
            </w:r>
          </w:p>
        </w:tc>
        <w:tc>
          <w:tcPr>
            <w:tcW w:type="dxa" w:w="1100"/>
            <w:tcMar>
              <w:top w:type="dxa" w:w="60"/>
              <w:left w:type="dxa" w:w="100"/>
              <w:bottom w:type="dxa" w:w="60"/>
              <w:right w:type="dxa" w:w="100"/>
            </w:tcMar>
            <w:vAlign w:val="center"/>
          </w:tcPr>
          <w:p>
            <w:pPr>
              <w:jc w:val="center"/>
            </w:pPr>
            <w:r>
              <w:rPr>
                <w:sz w:val="20"/>
                <w:szCs w:val="20"/>
              </w:rPr>
              <w:t xml:space="preserve">194–208</w:t>
            </w:r>
          </w:p>
        </w:tc>
      </w:tr>
      <w:tr>
        <w:tc>
          <w:tcPr>
            <w:tcW w:type="dxa" w:w="3300"/>
            <w:tcMar>
              <w:top w:type="dxa" w:w="60"/>
              <w:left w:type="dxa" w:w="100"/>
              <w:bottom w:type="dxa" w:w="60"/>
              <w:right w:type="dxa" w:w="100"/>
            </w:tcMar>
            <w:vAlign w:val="center"/>
          </w:tcPr>
          <w:p>
            <w:pPr>
              <w:jc w:val="left"/>
            </w:pPr>
            <w:r>
              <w:rPr>
                <w:sz w:val="20"/>
                <w:szCs w:val="20"/>
              </w:rPr>
              <w:t xml:space="preserve">QAT, ranges fixed at min/max</w:t>
            </w:r>
          </w:p>
        </w:tc>
        <w:tc>
          <w:tcPr>
            <w:tcW w:type="dxa" w:w="1600"/>
            <w:tcMar>
              <w:top w:type="dxa" w:w="60"/>
              <w:left w:type="dxa" w:w="100"/>
              <w:bottom w:type="dxa" w:w="60"/>
              <w:right w:type="dxa" w:w="100"/>
            </w:tcMar>
            <w:vAlign w:val="center"/>
          </w:tcPr>
          <w:p>
            <w:pPr>
              <w:jc w:val="center"/>
            </w:pPr>
            <w:r>
              <w:rPr>
                <w:sz w:val="20"/>
                <w:szCs w:val="20"/>
              </w:rPr>
              <w:t xml:space="preserve">89.49 [87.41–91.43]</w:t>
            </w:r>
          </w:p>
        </w:tc>
        <w:tc>
          <w:tcPr>
            <w:tcW w:type="dxa" w:w="1100"/>
            <w:tcMar>
              <w:top w:type="dxa" w:w="60"/>
              <w:left w:type="dxa" w:w="100"/>
              <w:bottom w:type="dxa" w:w="60"/>
              <w:right w:type="dxa" w:w="100"/>
            </w:tcMar>
            <w:vAlign w:val="center"/>
          </w:tcPr>
          <w:p>
            <w:pPr>
              <w:jc w:val="center"/>
            </w:pPr>
            <w:r>
              <w:rPr>
                <w:sz w:val="20"/>
                <w:szCs w:val="20"/>
              </w:rPr>
              <w:t xml:space="preserve">757</w:t>
            </w:r>
          </w:p>
        </w:tc>
        <w:tc>
          <w:tcPr>
            <w:tcW w:type="dxa" w:w="1600"/>
            <w:tcMar>
              <w:top w:type="dxa" w:w="60"/>
              <w:left w:type="dxa" w:w="100"/>
              <w:bottom w:type="dxa" w:w="60"/>
              <w:right w:type="dxa" w:w="100"/>
            </w:tcMar>
            <w:vAlign w:val="center"/>
          </w:tcPr>
          <w:p>
            <w:pPr>
              <w:jc w:val="center"/>
            </w:pPr>
            <w:r>
              <w:rPr>
                <w:sz w:val="20"/>
                <w:szCs w:val="20"/>
              </w:rPr>
              <w:t xml:space="preserve">99.46 [99.40–99.53]</w:t>
            </w:r>
          </w:p>
        </w:tc>
        <w:tc>
          <w:tcPr>
            <w:tcW w:type="dxa" w:w="1100"/>
            <w:tcMar>
              <w:top w:type="dxa" w:w="60"/>
              <w:left w:type="dxa" w:w="100"/>
              <w:bottom w:type="dxa" w:w="60"/>
              <w:right w:type="dxa" w:w="100"/>
            </w:tcMar>
            <w:vAlign w:val="center"/>
          </w:tcPr>
          <w:p>
            <w:pPr>
              <w:jc w:val="center"/>
            </w:pPr>
            <w:r>
              <w:rPr>
                <w:sz w:val="20"/>
                <w:szCs w:val="20"/>
              </w:rPr>
              <w:t xml:space="preserve">74</w:t>
            </w:r>
          </w:p>
        </w:tc>
      </w:tr>
      <w:tr>
        <w:tc>
          <w:tcPr>
            <w:tcW w:type="dxa" w:w="3300"/>
            <w:tcMar>
              <w:top w:type="dxa" w:w="60"/>
              <w:left w:type="dxa" w:w="100"/>
              <w:bottom w:type="dxa" w:w="60"/>
              <w:right w:type="dxa" w:w="100"/>
            </w:tcMar>
            <w:vAlign w:val="center"/>
          </w:tcPr>
          <w:p>
            <w:pPr>
              <w:jc w:val="left"/>
            </w:pPr>
            <w:r>
              <w:rPr>
                <w:sz w:val="20"/>
                <w:szCs w:val="20"/>
              </w:rPr>
              <w:t xml:space="preserve">QAT, ranges fixed at percentile 99.99</w:t>
            </w:r>
          </w:p>
        </w:tc>
        <w:tc>
          <w:tcPr>
            <w:tcW w:type="dxa" w:w="1600"/>
            <w:tcMar>
              <w:top w:type="dxa" w:w="60"/>
              <w:left w:type="dxa" w:w="100"/>
              <w:bottom w:type="dxa" w:w="60"/>
              <w:right w:type="dxa" w:w="100"/>
            </w:tcMar>
            <w:vAlign w:val="center"/>
          </w:tcPr>
          <w:p>
            <w:pPr>
              <w:jc w:val="center"/>
            </w:pPr>
            <w:r>
              <w:rPr>
                <w:sz w:val="20"/>
                <w:szCs w:val="20"/>
              </w:rPr>
              <w:t xml:space="preserve">88.58 [87.42–89.95]</w:t>
            </w:r>
          </w:p>
        </w:tc>
        <w:tc>
          <w:tcPr>
            <w:tcW w:type="dxa" w:w="1100"/>
            <w:tcMar>
              <w:top w:type="dxa" w:w="60"/>
              <w:left w:type="dxa" w:w="100"/>
              <w:bottom w:type="dxa" w:w="60"/>
              <w:right w:type="dxa" w:w="100"/>
            </w:tcMar>
            <w:vAlign w:val="center"/>
          </w:tcPr>
          <w:p>
            <w:pPr>
              <w:jc w:val="center"/>
            </w:pPr>
            <w:r>
              <w:rPr>
                <w:sz w:val="20"/>
                <w:szCs w:val="20"/>
              </w:rPr>
              <w:t xml:space="preserve">392</w:t>
            </w:r>
          </w:p>
        </w:tc>
        <w:tc>
          <w:tcPr>
            <w:tcW w:type="dxa" w:w="1600"/>
            <w:tcMar>
              <w:top w:type="dxa" w:w="60"/>
              <w:left w:type="dxa" w:w="100"/>
              <w:bottom w:type="dxa" w:w="60"/>
              <w:right w:type="dxa" w:w="100"/>
            </w:tcMar>
            <w:vAlign w:val="center"/>
          </w:tcPr>
          <w:p>
            <w:pPr>
              <w:jc w:val="center"/>
            </w:pPr>
            <w:r>
              <w:rPr>
                <w:sz w:val="20"/>
                <w:szCs w:val="20"/>
              </w:rPr>
              <w:t xml:space="preserve">99.47 [99.44–99.51]</w:t>
            </w:r>
          </w:p>
        </w:tc>
        <w:tc>
          <w:tcPr>
            <w:tcW w:type="dxa" w:w="1100"/>
            <w:tcMar>
              <w:top w:type="dxa" w:w="60"/>
              <w:left w:type="dxa" w:w="100"/>
              <w:bottom w:type="dxa" w:w="60"/>
              <w:right w:type="dxa" w:w="100"/>
            </w:tcMar>
            <w:vAlign w:val="center"/>
          </w:tcPr>
          <w:p>
            <w:pPr>
              <w:jc w:val="center"/>
            </w:pPr>
            <w:r>
              <w:rPr>
                <w:sz w:val="20"/>
                <w:szCs w:val="20"/>
              </w:rPr>
              <w:t xml:space="preserve">70</w:t>
            </w:r>
          </w:p>
        </w:tc>
      </w:tr>
      <w:tr>
        <w:tc>
          <w:tcPr>
            <w:tcW w:type="dxa" w:w="3300"/>
            <w:tcMar>
              <w:top w:type="dxa" w:w="60"/>
              <w:left w:type="dxa" w:w="100"/>
              <w:bottom w:type="dxa" w:w="60"/>
              <w:right w:type="dxa" w:w="100"/>
            </w:tcMar>
            <w:vAlign w:val="center"/>
          </w:tcPr>
          <w:p>
            <w:pPr>
              <w:jc w:val="left"/>
            </w:pPr>
            <w:r>
              <w:rPr>
                <w:sz w:val="20"/>
                <w:szCs w:val="20"/>
              </w:rPr>
              <w:t xml:space="preserve">QAT, ranges fixed at MSE clip</w:t>
            </w:r>
          </w:p>
        </w:tc>
        <w:tc>
          <w:tcPr>
            <w:tcW w:type="dxa" w:w="1600"/>
            <w:tcMar>
              <w:top w:type="dxa" w:w="60"/>
              <w:left w:type="dxa" w:w="100"/>
              <w:bottom w:type="dxa" w:w="60"/>
              <w:right w:type="dxa" w:w="100"/>
            </w:tcMar>
            <w:vAlign w:val="center"/>
          </w:tcPr>
          <w:p>
            <w:pPr>
              <w:jc w:val="center"/>
            </w:pPr>
            <w:r>
              <w:rPr>
                <w:sz w:val="20"/>
                <w:szCs w:val="20"/>
              </w:rPr>
              <w:t xml:space="preserve">88.62 [87.25–90.08]</w:t>
            </w:r>
          </w:p>
        </w:tc>
        <w:tc>
          <w:tcPr>
            <w:tcW w:type="dxa" w:w="1100"/>
            <w:tcMar>
              <w:top w:type="dxa" w:w="60"/>
              <w:left w:type="dxa" w:w="100"/>
              <w:bottom w:type="dxa" w:w="60"/>
              <w:right w:type="dxa" w:w="100"/>
            </w:tcMar>
            <w:vAlign w:val="center"/>
          </w:tcPr>
          <w:p>
            <w:pPr>
              <w:jc w:val="center"/>
            </w:pPr>
            <w:r>
              <w:rPr>
                <w:sz w:val="20"/>
                <w:szCs w:val="20"/>
              </w:rPr>
              <w:t xml:space="preserve">839</w:t>
            </w:r>
          </w:p>
        </w:tc>
        <w:tc>
          <w:tcPr>
            <w:tcW w:type="dxa" w:w="1600"/>
            <w:tcMar>
              <w:top w:type="dxa" w:w="60"/>
              <w:left w:type="dxa" w:w="100"/>
              <w:bottom w:type="dxa" w:w="60"/>
              <w:right w:type="dxa" w:w="100"/>
            </w:tcMar>
            <w:vAlign w:val="center"/>
          </w:tcPr>
          <w:p>
            <w:pPr>
              <w:jc w:val="center"/>
            </w:pPr>
            <w:r>
              <w:rPr>
                <w:sz w:val="20"/>
                <w:szCs w:val="20"/>
              </w:rPr>
              <w:t xml:space="preserve">99.47 [99.43–99.56]</w:t>
            </w:r>
          </w:p>
        </w:tc>
        <w:tc>
          <w:tcPr>
            <w:tcW w:type="dxa" w:w="1100"/>
            <w:tcMar>
              <w:top w:type="dxa" w:w="60"/>
              <w:left w:type="dxa" w:w="100"/>
              <w:bottom w:type="dxa" w:w="60"/>
              <w:right w:type="dxa" w:w="100"/>
            </w:tcMar>
            <w:vAlign w:val="center"/>
          </w:tcPr>
          <w:p>
            <w:pPr>
              <w:jc w:val="center"/>
            </w:pPr>
            <w:r>
              <w:rPr>
                <w:sz w:val="20"/>
                <w:szCs w:val="20"/>
              </w:rPr>
              <w:t xml:space="preserve">76</w:t>
            </w:r>
          </w:p>
        </w:tc>
      </w:tr>
      <w:tr>
        <w:tc>
          <w:tcPr>
            <w:tcW w:type="dxa" w:w="3300"/>
            <w:tcMar>
              <w:top w:type="dxa" w:w="60"/>
              <w:left w:type="dxa" w:w="100"/>
              <w:bottom w:type="dxa" w:w="60"/>
              <w:right w:type="dxa" w:w="100"/>
            </w:tcMar>
            <w:vAlign w:val="center"/>
          </w:tcPr>
          <w:p>
            <w:pPr>
              <w:jc w:val="left"/>
            </w:pPr>
            <w:r>
              <w:rPr>
                <w:sz w:val="20"/>
                <w:szCs w:val="20"/>
              </w:rPr>
              <w:t xml:space="preserve">QAT, ranges fixed at ±5 SD</w:t>
            </w:r>
          </w:p>
        </w:tc>
        <w:tc>
          <w:tcPr>
            <w:tcW w:type="dxa" w:w="1600"/>
            <w:tcMar>
              <w:top w:type="dxa" w:w="60"/>
              <w:left w:type="dxa" w:w="100"/>
              <w:bottom w:type="dxa" w:w="60"/>
              <w:right w:type="dxa" w:w="100"/>
            </w:tcMar>
            <w:vAlign w:val="center"/>
          </w:tcPr>
          <w:p>
            <w:pPr>
              <w:jc w:val="center"/>
            </w:pPr>
            <w:r>
              <w:rPr>
                <w:sz w:val="20"/>
                <w:szCs w:val="20"/>
              </w:rPr>
              <w:t xml:space="preserve">88.10 [87.43–89.01]</w:t>
            </w:r>
          </w:p>
        </w:tc>
        <w:tc>
          <w:tcPr>
            <w:tcW w:type="dxa" w:w="1100"/>
            <w:tcMar>
              <w:top w:type="dxa" w:w="60"/>
              <w:left w:type="dxa" w:w="100"/>
              <w:bottom w:type="dxa" w:w="60"/>
              <w:right w:type="dxa" w:w="100"/>
            </w:tcMar>
            <w:vAlign w:val="center"/>
          </w:tcPr>
          <w:p>
            <w:pPr>
              <w:jc w:val="center"/>
            </w:pPr>
            <w:r>
              <w:rPr>
                <w:sz w:val="20"/>
                <w:szCs w:val="20"/>
              </w:rPr>
              <w:t xml:space="preserve">598</w:t>
            </w:r>
          </w:p>
        </w:tc>
        <w:tc>
          <w:tcPr>
            <w:tcW w:type="dxa" w:w="1600"/>
            <w:tcMar>
              <w:top w:type="dxa" w:w="60"/>
              <w:left w:type="dxa" w:w="100"/>
              <w:bottom w:type="dxa" w:w="60"/>
              <w:right w:type="dxa" w:w="100"/>
            </w:tcMar>
            <w:vAlign w:val="center"/>
          </w:tcPr>
          <w:p>
            <w:pPr>
              <w:jc w:val="center"/>
            </w:pPr>
            <w:r>
              <w:rPr>
                <w:sz w:val="20"/>
                <w:szCs w:val="20"/>
              </w:rPr>
              <w:t xml:space="preserve">99.34 [99.16–99.43]</w:t>
            </w:r>
          </w:p>
        </w:tc>
        <w:tc>
          <w:tcPr>
            <w:tcW w:type="dxa" w:w="1100"/>
            <w:tcMar>
              <w:top w:type="dxa" w:w="60"/>
              <w:left w:type="dxa" w:w="100"/>
              <w:bottom w:type="dxa" w:w="60"/>
              <w:right w:type="dxa" w:w="100"/>
            </w:tcMar>
            <w:vAlign w:val="center"/>
          </w:tcPr>
          <w:p>
            <w:pPr>
              <w:jc w:val="center"/>
            </w:pPr>
            <w:r>
              <w:rPr>
                <w:sz w:val="20"/>
                <w:szCs w:val="20"/>
              </w:rPr>
              <w:t xml:space="preserve">79</w:t>
            </w:r>
          </w:p>
        </w:tc>
      </w:tr>
      <w:tr>
        <w:tc>
          <w:tcPr>
            <w:tcW w:type="dxa" w:w="3300"/>
            <w:tcMar>
              <w:top w:type="dxa" w:w="60"/>
              <w:left w:type="dxa" w:w="100"/>
              <w:bottom w:type="dxa" w:w="60"/>
              <w:right w:type="dxa" w:w="100"/>
            </w:tcMar>
            <w:vAlign w:val="center"/>
          </w:tcPr>
          <w:p>
            <w:pPr>
              <w:jc w:val="left"/>
            </w:pPr>
            <w:r>
              <w:rPr>
                <w:sz w:val="20"/>
                <w:szCs w:val="20"/>
              </w:rPr>
              <w:t xml:space="preserve">QAT, learned clip (PACT-style, 3 starts)</w:t>
            </w:r>
          </w:p>
        </w:tc>
        <w:tc>
          <w:tcPr>
            <w:tcW w:type="dxa" w:w="1600"/>
            <w:tcMar>
              <w:top w:type="dxa" w:w="60"/>
              <w:left w:type="dxa" w:w="100"/>
              <w:bottom w:type="dxa" w:w="60"/>
              <w:right w:type="dxa" w:w="100"/>
            </w:tcMar>
            <w:vAlign w:val="center"/>
          </w:tcPr>
          <w:p>
            <w:pPr>
              <w:jc w:val="center"/>
            </w:pPr>
            <w:r>
              <w:rPr>
                <w:sz w:val="20"/>
                <w:szCs w:val="20"/>
              </w:rPr>
              <w:t xml:space="preserve">87.67–88.73</w:t>
            </w:r>
          </w:p>
        </w:tc>
        <w:tc>
          <w:tcPr>
            <w:tcW w:type="dxa" w:w="1100"/>
            <w:tcMar>
              <w:top w:type="dxa" w:w="60"/>
              <w:left w:type="dxa" w:w="100"/>
              <w:bottom w:type="dxa" w:w="60"/>
              <w:right w:type="dxa" w:w="100"/>
            </w:tcMar>
            <w:vAlign w:val="center"/>
          </w:tcPr>
          <w:p>
            <w:pPr>
              <w:jc w:val="center"/>
            </w:pPr>
            <w:r>
              <w:rPr>
                <w:sz w:val="20"/>
                <w:szCs w:val="20"/>
              </w:rPr>
              <w:t xml:space="preserve">652–718</w:t>
            </w:r>
          </w:p>
        </w:tc>
        <w:tc>
          <w:tcPr>
            <w:tcW w:type="dxa" w:w="1600"/>
            <w:tcMar>
              <w:top w:type="dxa" w:w="60"/>
              <w:left w:type="dxa" w:w="100"/>
              <w:bottom w:type="dxa" w:w="60"/>
              <w:right w:type="dxa" w:w="100"/>
            </w:tcMar>
            <w:vAlign w:val="center"/>
          </w:tcPr>
          <w:p>
            <w:pPr>
              <w:jc w:val="center"/>
            </w:pPr>
            <w:r>
              <w:rPr>
                <w:sz w:val="20"/>
                <w:szCs w:val="20"/>
              </w:rPr>
              <w:t xml:space="preserve">98.99–99.00</w:t>
            </w:r>
          </w:p>
        </w:tc>
        <w:tc>
          <w:tcPr>
            <w:tcW w:type="dxa" w:w="1100"/>
            <w:tcMar>
              <w:top w:type="dxa" w:w="60"/>
              <w:left w:type="dxa" w:w="100"/>
              <w:bottom w:type="dxa" w:w="60"/>
              <w:right w:type="dxa" w:w="100"/>
            </w:tcMar>
            <w:vAlign w:val="center"/>
          </w:tcPr>
          <w:p>
            <w:pPr>
              <w:jc w:val="center"/>
            </w:pPr>
            <w:r>
              <w:rPr>
                <w:sz w:val="20"/>
                <w:szCs w:val="20"/>
              </w:rPr>
              <w:t xml:space="preserve">199–208</w:t>
            </w:r>
          </w:p>
        </w:tc>
      </w:tr>
    </w:tbl>
    <w:p>
      <w:pPr>
        <w:spacing w:after="240" w:before="80"/>
      </w:pPr>
      <w:r>
        <w:rPr>
          <w:i/>
          <w:iCs/>
          <w:sz w:val="20"/>
          <w:szCs w:val="20"/>
        </w:rPr>
        <w:t xml:space="preserve">Table 16. QAT ranges on the base recipe (prune 50% → client fine-tuning → 2 QAT epochs), five fine-tuning draws of client 0. "Calibrated start": ranges initialized from 2,000 calibration samples of the fine-tuning set and then updated by tfmot (range of the means over 5 estimators); "fixed": held at the calibrated values throughout QAT. Source: runs 2026-10-05_x2_ptq_init_qat and _x4_learned_clip_qat.</w:t>
      </w:r>
    </w:p>
    <w:p>
      <w:pPr>
        <w:spacing w:after="160"/>
      </w:pPr>
      <w:r>
        <w:t xml:space="preserve">Table 16 shows why QAT behaves differently from PTQ. tfmot's default QAT does not learn its ranges in a fine-tuning run this short: activation ranges start at ±6 and follow an exponential moving average with decay 0.999, so after our roughly 140 steps about 87% of the start remains, and the hidden ranges end near [−5.2, 10] although ReLU outputs are non-negative. The input quantizer instead tracks the minimum and maximum of every fine-tuning input (up to 61 standard deviations on CIC-IDS2017 and 85 on TON_IoT, against 12 and 27 at the 99.99th percentile). Starting QAT from calibrated ranges, the PTQ-then-QAT order recommended by Wu et al. [25], changes the hidden ranges but keeps this input range and gives the default's results. Holding all ranges at the calibrated values also keeps the input range, and it is the only variant that helps: TON_IoT misses drop from 204 to 70 (FAR 2.49% → 2.14%) and CIC-IDS2017 misses from 513 to 392. Learning the hidden clips (PACT-style [27], parameterized in log space) does not help. The bottleneck is the input quantization range, not the hidden activations. This also explains why QAT on clipped inputs was the best TON_IoT pipeline in Table 10 and why training-time QAT collapses on CIC-IDS2017 (Section 5.6).</w:t>
      </w:r>
    </w:p>
    <w:p>
      <w:pPr>
        <w:pStyle w:val="Heading1"/>
        <w:spacing w:after="160" w:before="320"/>
      </w:pPr>
      <w:r>
        <w:t xml:space="preserve">6. Discussion</w:t>
      </w:r>
    </w:p>
    <w:p>
      <w:pPr>
        <w:pStyle w:val="Heading2"/>
        <w:spacing w:after="140" w:before="260"/>
      </w:pPr>
      <w:r>
        <w:t xml:space="preserve">6.1 Device Heterogeneity and On-Device Measurement</w:t>
      </w:r>
    </w:p>
    <w:p>
      <w:pPr>
        <w:spacing w:after="160"/>
      </w:pPr>
      <w:r>
        <w:t xml:space="preserve">IoT deployments vary in MCU architecture, memory, and clock, and interpreter latency on a workstation does not establish on-device latency. We provide ESP32 firmware that embeds both deployment models (CIC-IDS2017, 112 KB INT8; TON_IoT, 57 KB INT8) and the FP32 federated models they were compressed from (803 KB and 732 KB). It checks on-device outputs against the host TFLite interpreter on fixed inputs, including decision agreement at each model's deployment threshold, and times 100 inferences per model. A host build against the same TensorFlow Lite Micro library reproduces the interpreter outputs exactly (FP32) and within one INT8 output step (at most 0.004), with all decisions in agreement. </w:t>
      </w:r>
      <w:r>
        <w:t xml:space="preserve">Measured on an ESP32 (ESP32-D0WD-V3, two Xtensa LX6 cores at 240 MHz, ESP-IDF v4.4.7; inference runs on one core), every model reproduces the host interpreter on the device as well: exactly for the FP32 models and the TON_IoT deployment model, and within one INT8 output step (0.0039) for the CIC-IDS2017 deployment model, with 8/8 decisions in agreement at each model's threshold. Table 17 gives the on-device latency over 100 inferences. The deployment models are 4.4× (CIC-IDS2017) and 7.9× (TON_IoT) faster than their FP32 federated models, latency is nearly constant (95th percentile within 0.05 ms of the mean), and the tensor arena needs at most 3.9 KB. One core therefore classifies about 38 CIC-IDS2017 or 75 TON_IoT flows per second. These numbers use the kernels of the TensorFlowLite_ESP32 1.0.0 library; optimized kernels and other microcontrollers would change the absolute values.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900"/>
        <w:gridCol w:w="900"/>
        <w:gridCol w:w="1000"/>
        <w:gridCol w:w="1100"/>
        <w:gridCol w:w="1000"/>
      </w:tblGrid>
      <w:tr>
        <w:trPr>
          <w:tblHeader/>
        </w:trPr>
        <w:tc>
          <w:tcPr>
            <w:tcW w:type="dxa" w:w="2600"/>
            <w:shd w:fill="D9E2F3" w:val="clear"/>
            <w:tcMar>
              <w:top w:type="dxa" w:w="60"/>
              <w:left w:type="dxa" w:w="100"/>
              <w:bottom w:type="dxa" w:w="60"/>
              <w:right w:type="dxa" w:w="100"/>
            </w:tcMar>
            <w:vAlign w:val="center"/>
          </w:tcPr>
          <w:p>
            <w:pPr>
              <w:jc w:val="center"/>
            </w:pPr>
            <w:r>
              <w:rPr>
                <w:b/>
                <w:bCs/>
                <w:sz w:val="20"/>
                <w:szCs w:val="20"/>
              </w:rPr>
              <w:t xml:space="preserve">Model</w:t>
            </w:r>
          </w:p>
        </w:tc>
        <w:tc>
          <w:tcPr>
            <w:tcW w:type="dxa" w:w="900"/>
            <w:shd w:fill="D9E2F3" w:val="clear"/>
            <w:tcMar>
              <w:top w:type="dxa" w:w="60"/>
              <w:left w:type="dxa" w:w="100"/>
              <w:bottom w:type="dxa" w:w="60"/>
              <w:right w:type="dxa" w:w="100"/>
            </w:tcMar>
            <w:vAlign w:val="center"/>
          </w:tcPr>
          <w:p>
            <w:pPr>
              <w:jc w:val="center"/>
            </w:pPr>
            <w:r>
              <w:rPr>
                <w:b/>
                <w:bCs/>
                <w:sz w:val="20"/>
                <w:szCs w:val="20"/>
              </w:rPr>
              <w:t xml:space="preserve">Flash size</w:t>
            </w:r>
          </w:p>
        </w:tc>
        <w:tc>
          <w:tcPr>
            <w:tcW w:type="dxa" w:w="1000"/>
            <w:shd w:fill="D9E2F3" w:val="clear"/>
            <w:tcMar>
              <w:top w:type="dxa" w:w="60"/>
              <w:left w:type="dxa" w:w="100"/>
              <w:bottom w:type="dxa" w:w="60"/>
              <w:right w:type="dxa" w:w="100"/>
            </w:tcMar>
            <w:vAlign w:val="center"/>
          </w:tcPr>
          <w:p>
            <w:pPr>
              <w:jc w:val="center"/>
            </w:pPr>
            <w:r>
              <w:rPr>
                <w:b/>
                <w:bCs/>
                <w:sz w:val="20"/>
                <w:szCs w:val="20"/>
              </w:rPr>
              <w:t xml:space="preserve">Mean latency</w:t>
            </w:r>
          </w:p>
        </w:tc>
        <w:tc>
          <w:tcPr>
            <w:tcW w:type="dxa" w:w="900"/>
            <w:shd w:fill="D9E2F3" w:val="clear"/>
            <w:tcMar>
              <w:top w:type="dxa" w:w="60"/>
              <w:left w:type="dxa" w:w="100"/>
              <w:bottom w:type="dxa" w:w="60"/>
              <w:right w:type="dxa" w:w="100"/>
            </w:tcMar>
            <w:vAlign w:val="center"/>
          </w:tcPr>
          <w:p>
            <w:pPr>
              <w:jc w:val="center"/>
            </w:pPr>
            <w:r>
              <w:rPr>
                <w:b/>
                <w:bCs/>
                <w:sz w:val="20"/>
                <w:szCs w:val="20"/>
              </w:rPr>
              <w:t xml:space="preserve">Median</w:t>
            </w:r>
          </w:p>
        </w:tc>
        <w:tc>
          <w:tcPr>
            <w:tcW w:type="dxa" w:w="900"/>
            <w:shd w:fill="D9E2F3" w:val="clear"/>
            <w:tcMar>
              <w:top w:type="dxa" w:w="60"/>
              <w:left w:type="dxa" w:w="100"/>
              <w:bottom w:type="dxa" w:w="60"/>
              <w:right w:type="dxa" w:w="100"/>
            </w:tcMar>
            <w:vAlign w:val="center"/>
          </w:tcPr>
          <w:p>
            <w:pPr>
              <w:jc w:val="center"/>
            </w:pPr>
            <w:r>
              <w:rPr>
                <w:b/>
                <w:bCs/>
                <w:sz w:val="20"/>
                <w:szCs w:val="20"/>
              </w:rPr>
              <w:t xml:space="preserve">p95</w:t>
            </w:r>
          </w:p>
        </w:tc>
        <w:tc>
          <w:tcPr>
            <w:tcW w:type="dxa" w:w="1000"/>
            <w:shd w:fill="D9E2F3" w:val="clear"/>
            <w:tcMar>
              <w:top w:type="dxa" w:w="60"/>
              <w:left w:type="dxa" w:w="100"/>
              <w:bottom w:type="dxa" w:w="60"/>
              <w:right w:type="dxa" w:w="100"/>
            </w:tcMar>
            <w:vAlign w:val="center"/>
          </w:tcPr>
          <w:p>
            <w:pPr>
              <w:jc w:val="center"/>
            </w:pPr>
            <w:r>
              <w:rPr>
                <w:b/>
                <w:bCs/>
                <w:sz w:val="20"/>
                <w:szCs w:val="20"/>
              </w:rPr>
              <w:t xml:space="preserve">Tensor arena</w:t>
            </w:r>
          </w:p>
        </w:tc>
        <w:tc>
          <w:tcPr>
            <w:tcW w:type="dxa" w:w="1100"/>
            <w:shd w:fill="D9E2F3" w:val="clear"/>
            <w:tcMar>
              <w:top w:type="dxa" w:w="60"/>
              <w:left w:type="dxa" w:w="100"/>
              <w:bottom w:type="dxa" w:w="60"/>
              <w:right w:type="dxa" w:w="100"/>
            </w:tcMar>
            <w:vAlign w:val="center"/>
          </w:tcPr>
          <w:p>
            <w:pPr>
              <w:jc w:val="center"/>
            </w:pPr>
            <w:r>
              <w:rPr>
                <w:b/>
                <w:bCs/>
                <w:sz w:val="20"/>
                <w:szCs w:val="20"/>
              </w:rPr>
              <w:t xml:space="preserve">Max |Δ| vs. host</w:t>
            </w:r>
          </w:p>
        </w:tc>
        <w:tc>
          <w:tcPr>
            <w:tcW w:type="dxa" w:w="1000"/>
            <w:shd w:fill="D9E2F3" w:val="clear"/>
            <w:tcMar>
              <w:top w:type="dxa" w:w="60"/>
              <w:left w:type="dxa" w:w="100"/>
              <w:bottom w:type="dxa" w:w="60"/>
              <w:right w:type="dxa" w:w="100"/>
            </w:tcMar>
            <w:vAlign w:val="center"/>
          </w:tcPr>
          <w:p>
            <w:pPr>
              <w:jc w:val="center"/>
            </w:pPr>
            <w:r>
              <w:rPr>
                <w:b/>
                <w:bCs/>
                <w:sz w:val="20"/>
                <w:szCs w:val="20"/>
              </w:rPr>
              <w:t xml:space="preserve">Decisions agree</w:t>
            </w:r>
          </w:p>
        </w:tc>
      </w:tr>
      <w:tr>
        <w:tc>
          <w:tcPr>
            <w:tcW w:type="dxa" w:w="2600"/>
            <w:tcMar>
              <w:top w:type="dxa" w:w="60"/>
              <w:left w:type="dxa" w:w="100"/>
              <w:bottom w:type="dxa" w:w="60"/>
              <w:right w:type="dxa" w:w="100"/>
            </w:tcMar>
            <w:vAlign w:val="center"/>
          </w:tcPr>
          <w:p>
            <w:pPr>
              <w:jc w:val="left"/>
            </w:pPr>
            <w:r>
              <w:rPr>
                <w:sz w:val="20"/>
                <w:szCs w:val="20"/>
              </w:rPr>
              <w:t xml:space="preserve">CIC-IDS2017 deployment (INT8, prune 30%)</w:t>
            </w:r>
          </w:p>
        </w:tc>
        <w:tc>
          <w:tcPr>
            <w:tcW w:type="dxa" w:w="900"/>
            <w:tcMar>
              <w:top w:type="dxa" w:w="60"/>
              <w:left w:type="dxa" w:w="100"/>
              <w:bottom w:type="dxa" w:w="60"/>
              <w:right w:type="dxa" w:w="100"/>
            </w:tcMar>
            <w:vAlign w:val="center"/>
          </w:tcPr>
          <w:p>
            <w:pPr>
              <w:jc w:val="center"/>
            </w:pPr>
            <w:r>
              <w:rPr>
                <w:sz w:val="20"/>
                <w:szCs w:val="20"/>
              </w:rPr>
              <w:t xml:space="preserve">112 KB</w:t>
            </w:r>
          </w:p>
        </w:tc>
        <w:tc>
          <w:tcPr>
            <w:tcW w:type="dxa" w:w="1000"/>
            <w:tcMar>
              <w:top w:type="dxa" w:w="60"/>
              <w:left w:type="dxa" w:w="100"/>
              <w:bottom w:type="dxa" w:w="60"/>
              <w:right w:type="dxa" w:w="100"/>
            </w:tcMar>
            <w:vAlign w:val="center"/>
          </w:tcPr>
          <w:p>
            <w:pPr>
              <w:jc w:val="center"/>
            </w:pPr>
            <w:r>
              <w:rPr>
                <w:sz w:val="20"/>
                <w:szCs w:val="20"/>
              </w:rPr>
              <w:t xml:space="preserve">26.35 ms</w:t>
            </w:r>
          </w:p>
        </w:tc>
        <w:tc>
          <w:tcPr>
            <w:tcW w:type="dxa" w:w="900"/>
            <w:tcMar>
              <w:top w:type="dxa" w:w="60"/>
              <w:left w:type="dxa" w:w="100"/>
              <w:bottom w:type="dxa" w:w="60"/>
              <w:right w:type="dxa" w:w="100"/>
            </w:tcMar>
            <w:vAlign w:val="center"/>
          </w:tcPr>
          <w:p>
            <w:pPr>
              <w:jc w:val="center"/>
            </w:pPr>
            <w:r>
              <w:rPr>
                <w:sz w:val="20"/>
                <w:szCs w:val="20"/>
              </w:rPr>
              <w:t xml:space="preserve">26.35 ms</w:t>
            </w:r>
          </w:p>
        </w:tc>
        <w:tc>
          <w:tcPr>
            <w:tcW w:type="dxa" w:w="900"/>
            <w:tcMar>
              <w:top w:type="dxa" w:w="60"/>
              <w:left w:type="dxa" w:w="100"/>
              <w:bottom w:type="dxa" w:w="60"/>
              <w:right w:type="dxa" w:w="100"/>
            </w:tcMar>
            <w:vAlign w:val="center"/>
          </w:tcPr>
          <w:p>
            <w:pPr>
              <w:jc w:val="center"/>
            </w:pPr>
            <w:r>
              <w:rPr>
                <w:sz w:val="20"/>
                <w:szCs w:val="20"/>
              </w:rPr>
              <w:t xml:space="preserve">26.38 ms</w:t>
            </w:r>
          </w:p>
        </w:tc>
        <w:tc>
          <w:tcPr>
            <w:tcW w:type="dxa" w:w="1000"/>
            <w:tcMar>
              <w:top w:type="dxa" w:w="60"/>
              <w:left w:type="dxa" w:w="100"/>
              <w:bottom w:type="dxa" w:w="60"/>
              <w:right w:type="dxa" w:w="100"/>
            </w:tcMar>
            <w:vAlign w:val="center"/>
          </w:tcPr>
          <w:p>
            <w:pPr>
              <w:jc w:val="center"/>
            </w:pPr>
            <w:r>
              <w:rPr>
                <w:sz w:val="20"/>
                <w:szCs w:val="20"/>
              </w:rPr>
              <w:t xml:space="preserve">1,616 B</w:t>
            </w:r>
          </w:p>
        </w:tc>
        <w:tc>
          <w:tcPr>
            <w:tcW w:type="dxa" w:w="1100"/>
            <w:tcMar>
              <w:top w:type="dxa" w:w="60"/>
              <w:left w:type="dxa" w:w="100"/>
              <w:bottom w:type="dxa" w:w="60"/>
              <w:right w:type="dxa" w:w="100"/>
            </w:tcMar>
            <w:vAlign w:val="center"/>
          </w:tcPr>
          <w:p>
            <w:pPr>
              <w:jc w:val="center"/>
            </w:pPr>
            <w:r>
              <w:rPr>
                <w:sz w:val="20"/>
                <w:szCs w:val="20"/>
              </w:rPr>
              <w:t xml:space="preserve">0.0039</w:t>
            </w:r>
          </w:p>
        </w:tc>
        <w:tc>
          <w:tcPr>
            <w:tcW w:type="dxa" w:w="1000"/>
            <w:tcMar>
              <w:top w:type="dxa" w:w="60"/>
              <w:left w:type="dxa" w:w="100"/>
              <w:bottom w:type="dxa" w:w="60"/>
              <w:right w:type="dxa" w:w="100"/>
            </w:tcMar>
            <w:vAlign w:val="center"/>
          </w:tcPr>
          <w:p>
            <w:pPr>
              <w:jc w:val="center"/>
            </w:pPr>
            <w:r>
              <w:rPr>
                <w:sz w:val="20"/>
                <w:szCs w:val="20"/>
              </w:rPr>
              <w:t xml:space="preserve">8 / 8</w:t>
            </w:r>
          </w:p>
        </w:tc>
      </w:tr>
      <w:tr>
        <w:tc>
          <w:tcPr>
            <w:tcW w:type="dxa" w:w="2600"/>
            <w:tcMar>
              <w:top w:type="dxa" w:w="60"/>
              <w:left w:type="dxa" w:w="100"/>
              <w:bottom w:type="dxa" w:w="60"/>
              <w:right w:type="dxa" w:w="100"/>
            </w:tcMar>
            <w:vAlign w:val="center"/>
          </w:tcPr>
          <w:p>
            <w:pPr>
              <w:jc w:val="left"/>
            </w:pPr>
            <w:r>
              <w:rPr>
                <w:sz w:val="20"/>
                <w:szCs w:val="20"/>
              </w:rPr>
              <w:t xml:space="preserve">CIC-IDS2017 FP32 federated</w:t>
            </w:r>
          </w:p>
        </w:tc>
        <w:tc>
          <w:tcPr>
            <w:tcW w:type="dxa" w:w="900"/>
            <w:tcMar>
              <w:top w:type="dxa" w:w="60"/>
              <w:left w:type="dxa" w:w="100"/>
              <w:bottom w:type="dxa" w:w="60"/>
              <w:right w:type="dxa" w:w="100"/>
            </w:tcMar>
            <w:vAlign w:val="center"/>
          </w:tcPr>
          <w:p>
            <w:pPr>
              <w:jc w:val="center"/>
            </w:pPr>
            <w:r>
              <w:rPr>
                <w:sz w:val="20"/>
                <w:szCs w:val="20"/>
              </w:rPr>
              <w:t xml:space="preserve">802 KB</w:t>
            </w:r>
          </w:p>
        </w:tc>
        <w:tc>
          <w:tcPr>
            <w:tcW w:type="dxa" w:w="1000"/>
            <w:tcMar>
              <w:top w:type="dxa" w:w="60"/>
              <w:left w:type="dxa" w:w="100"/>
              <w:bottom w:type="dxa" w:w="60"/>
              <w:right w:type="dxa" w:w="100"/>
            </w:tcMar>
            <w:vAlign w:val="center"/>
          </w:tcPr>
          <w:p>
            <w:pPr>
              <w:jc w:val="center"/>
            </w:pPr>
            <w:r>
              <w:rPr>
                <w:sz w:val="20"/>
                <w:szCs w:val="20"/>
              </w:rPr>
              <w:t xml:space="preserve">114.62 ms</w:t>
            </w:r>
          </w:p>
        </w:tc>
        <w:tc>
          <w:tcPr>
            <w:tcW w:type="dxa" w:w="900"/>
            <w:tcMar>
              <w:top w:type="dxa" w:w="60"/>
              <w:left w:type="dxa" w:w="100"/>
              <w:bottom w:type="dxa" w:w="60"/>
              <w:right w:type="dxa" w:w="100"/>
            </w:tcMar>
            <w:vAlign w:val="center"/>
          </w:tcPr>
          <w:p>
            <w:pPr>
              <w:jc w:val="center"/>
            </w:pPr>
            <w:r>
              <w:rPr>
                <w:sz w:val="20"/>
                <w:szCs w:val="20"/>
              </w:rPr>
              <w:t xml:space="preserve">114.63 ms</w:t>
            </w:r>
          </w:p>
        </w:tc>
        <w:tc>
          <w:tcPr>
            <w:tcW w:type="dxa" w:w="900"/>
            <w:tcMar>
              <w:top w:type="dxa" w:w="60"/>
              <w:left w:type="dxa" w:w="100"/>
              <w:bottom w:type="dxa" w:w="60"/>
              <w:right w:type="dxa" w:w="100"/>
            </w:tcMar>
            <w:vAlign w:val="center"/>
          </w:tcPr>
          <w:p>
            <w:pPr>
              <w:jc w:val="center"/>
            </w:pPr>
            <w:r>
              <w:rPr>
                <w:sz w:val="20"/>
                <w:szCs w:val="20"/>
              </w:rPr>
              <w:t xml:space="preserve">114.64 ms</w:t>
            </w:r>
          </w:p>
        </w:tc>
        <w:tc>
          <w:tcPr>
            <w:tcW w:type="dxa" w:w="1000"/>
            <w:tcMar>
              <w:top w:type="dxa" w:w="60"/>
              <w:left w:type="dxa" w:w="100"/>
              <w:bottom w:type="dxa" w:w="60"/>
              <w:right w:type="dxa" w:w="100"/>
            </w:tcMar>
            <w:vAlign w:val="center"/>
          </w:tcPr>
          <w:p>
            <w:pPr>
              <w:jc w:val="center"/>
            </w:pPr>
            <w:r>
              <w:rPr>
                <w:sz w:val="20"/>
                <w:szCs w:val="20"/>
              </w:rPr>
              <w:t xml:space="preserve">3,952 B</w:t>
            </w:r>
          </w:p>
        </w:tc>
        <w:tc>
          <w:tcPr>
            <w:tcW w:type="dxa" w:w="1100"/>
            <w:tcMar>
              <w:top w:type="dxa" w:w="60"/>
              <w:left w:type="dxa" w:w="100"/>
              <w:bottom w:type="dxa" w:w="60"/>
              <w:right w:type="dxa" w:w="100"/>
            </w:tcMar>
            <w:vAlign w:val="center"/>
          </w:tcPr>
          <w:p>
            <w:pPr>
              <w:jc w:val="center"/>
            </w:pPr>
            <w:r>
              <w:rPr>
                <w:sz w:val="20"/>
                <w:szCs w:val="20"/>
              </w:rPr>
              <w:t xml:space="preserve">0</w:t>
            </w:r>
          </w:p>
        </w:tc>
        <w:tc>
          <w:tcPr>
            <w:tcW w:type="dxa" w:w="1000"/>
            <w:tcMar>
              <w:top w:type="dxa" w:w="60"/>
              <w:left w:type="dxa" w:w="100"/>
              <w:bottom w:type="dxa" w:w="60"/>
              <w:right w:type="dxa" w:w="100"/>
            </w:tcMar>
            <w:vAlign w:val="center"/>
          </w:tcPr>
          <w:p>
            <w:pPr>
              <w:jc w:val="center"/>
            </w:pPr>
            <w:r>
              <w:rPr>
                <w:sz w:val="20"/>
                <w:szCs w:val="20"/>
              </w:rPr>
              <w:t xml:space="preserve">8 / 8</w:t>
            </w:r>
          </w:p>
        </w:tc>
      </w:tr>
      <w:tr>
        <w:tc>
          <w:tcPr>
            <w:tcW w:type="dxa" w:w="2600"/>
            <w:tcMar>
              <w:top w:type="dxa" w:w="60"/>
              <w:left w:type="dxa" w:w="100"/>
              <w:bottom w:type="dxa" w:w="60"/>
              <w:right w:type="dxa" w:w="100"/>
            </w:tcMar>
            <w:vAlign w:val="center"/>
          </w:tcPr>
          <w:p>
            <w:pPr>
              <w:jc w:val="left"/>
            </w:pPr>
            <w:r>
              <w:rPr>
                <w:sz w:val="20"/>
                <w:szCs w:val="20"/>
              </w:rPr>
              <w:t xml:space="preserve">TON_IoT deployment (INT8, prune 50%)</w:t>
            </w:r>
          </w:p>
        </w:tc>
        <w:tc>
          <w:tcPr>
            <w:tcW w:type="dxa" w:w="900"/>
            <w:tcMar>
              <w:top w:type="dxa" w:w="60"/>
              <w:left w:type="dxa" w:w="100"/>
              <w:bottom w:type="dxa" w:w="60"/>
              <w:right w:type="dxa" w:w="100"/>
            </w:tcMar>
            <w:vAlign w:val="center"/>
          </w:tcPr>
          <w:p>
            <w:pPr>
              <w:jc w:val="center"/>
            </w:pPr>
            <w:r>
              <w:rPr>
                <w:sz w:val="20"/>
                <w:szCs w:val="20"/>
              </w:rPr>
              <w:t xml:space="preserve">57 KB</w:t>
            </w:r>
          </w:p>
        </w:tc>
        <w:tc>
          <w:tcPr>
            <w:tcW w:type="dxa" w:w="1000"/>
            <w:tcMar>
              <w:top w:type="dxa" w:w="60"/>
              <w:left w:type="dxa" w:w="100"/>
              <w:bottom w:type="dxa" w:w="60"/>
              <w:right w:type="dxa" w:w="100"/>
            </w:tcMar>
            <w:vAlign w:val="center"/>
          </w:tcPr>
          <w:p>
            <w:pPr>
              <w:jc w:val="center"/>
            </w:pPr>
            <w:r>
              <w:rPr>
                <w:sz w:val="20"/>
                <w:szCs w:val="20"/>
              </w:rPr>
              <w:t xml:space="preserve">13.33 ms</w:t>
            </w:r>
          </w:p>
        </w:tc>
        <w:tc>
          <w:tcPr>
            <w:tcW w:type="dxa" w:w="900"/>
            <w:tcMar>
              <w:top w:type="dxa" w:w="60"/>
              <w:left w:type="dxa" w:w="100"/>
              <w:bottom w:type="dxa" w:w="60"/>
              <w:right w:type="dxa" w:w="100"/>
            </w:tcMar>
            <w:vAlign w:val="center"/>
          </w:tcPr>
          <w:p>
            <w:pPr>
              <w:jc w:val="center"/>
            </w:pPr>
            <w:r>
              <w:rPr>
                <w:sz w:val="20"/>
                <w:szCs w:val="20"/>
              </w:rPr>
              <w:t xml:space="preserve">13.34 ms</w:t>
            </w:r>
          </w:p>
        </w:tc>
        <w:tc>
          <w:tcPr>
            <w:tcW w:type="dxa" w:w="900"/>
            <w:tcMar>
              <w:top w:type="dxa" w:w="60"/>
              <w:left w:type="dxa" w:w="100"/>
              <w:bottom w:type="dxa" w:w="60"/>
              <w:right w:type="dxa" w:w="100"/>
            </w:tcMar>
            <w:vAlign w:val="center"/>
          </w:tcPr>
          <w:p>
            <w:pPr>
              <w:jc w:val="center"/>
            </w:pPr>
            <w:r>
              <w:rPr>
                <w:sz w:val="20"/>
                <w:szCs w:val="20"/>
              </w:rPr>
              <w:t xml:space="preserve">13.35 ms</w:t>
            </w:r>
          </w:p>
        </w:tc>
        <w:tc>
          <w:tcPr>
            <w:tcW w:type="dxa" w:w="1000"/>
            <w:tcMar>
              <w:top w:type="dxa" w:w="60"/>
              <w:left w:type="dxa" w:w="100"/>
              <w:bottom w:type="dxa" w:w="60"/>
              <w:right w:type="dxa" w:w="100"/>
            </w:tcMar>
            <w:vAlign w:val="center"/>
          </w:tcPr>
          <w:p>
            <w:pPr>
              <w:jc w:val="center"/>
            </w:pPr>
            <w:r>
              <w:rPr>
                <w:sz w:val="20"/>
                <w:szCs w:val="20"/>
              </w:rPr>
              <w:t xml:space="preserve">1,440 B</w:t>
            </w:r>
          </w:p>
        </w:tc>
        <w:tc>
          <w:tcPr>
            <w:tcW w:type="dxa" w:w="1100"/>
            <w:tcMar>
              <w:top w:type="dxa" w:w="60"/>
              <w:left w:type="dxa" w:w="100"/>
              <w:bottom w:type="dxa" w:w="60"/>
              <w:right w:type="dxa" w:w="100"/>
            </w:tcMar>
            <w:vAlign w:val="center"/>
          </w:tcPr>
          <w:p>
            <w:pPr>
              <w:jc w:val="center"/>
            </w:pPr>
            <w:r>
              <w:rPr>
                <w:sz w:val="20"/>
                <w:szCs w:val="20"/>
              </w:rPr>
              <w:t xml:space="preserve">0</w:t>
            </w:r>
          </w:p>
        </w:tc>
        <w:tc>
          <w:tcPr>
            <w:tcW w:type="dxa" w:w="1000"/>
            <w:tcMar>
              <w:top w:type="dxa" w:w="60"/>
              <w:left w:type="dxa" w:w="100"/>
              <w:bottom w:type="dxa" w:w="60"/>
              <w:right w:type="dxa" w:w="100"/>
            </w:tcMar>
            <w:vAlign w:val="center"/>
          </w:tcPr>
          <w:p>
            <w:pPr>
              <w:jc w:val="center"/>
            </w:pPr>
            <w:r>
              <w:rPr>
                <w:sz w:val="20"/>
                <w:szCs w:val="20"/>
              </w:rPr>
              <w:t xml:space="preserve">8 / 8</w:t>
            </w:r>
          </w:p>
        </w:tc>
      </w:tr>
      <w:tr>
        <w:tc>
          <w:tcPr>
            <w:tcW w:type="dxa" w:w="2600"/>
            <w:tcMar>
              <w:top w:type="dxa" w:w="60"/>
              <w:left w:type="dxa" w:w="100"/>
              <w:bottom w:type="dxa" w:w="60"/>
              <w:right w:type="dxa" w:w="100"/>
            </w:tcMar>
            <w:vAlign w:val="center"/>
          </w:tcPr>
          <w:p>
            <w:pPr>
              <w:jc w:val="left"/>
            </w:pPr>
            <w:r>
              <w:rPr>
                <w:sz w:val="20"/>
                <w:szCs w:val="20"/>
              </w:rPr>
              <w:t xml:space="preserve">TON_IoT FP32 federated</w:t>
            </w:r>
          </w:p>
        </w:tc>
        <w:tc>
          <w:tcPr>
            <w:tcW w:type="dxa" w:w="900"/>
            <w:tcMar>
              <w:top w:type="dxa" w:w="60"/>
              <w:left w:type="dxa" w:w="100"/>
              <w:bottom w:type="dxa" w:w="60"/>
              <w:right w:type="dxa" w:w="100"/>
            </w:tcMar>
            <w:vAlign w:val="center"/>
          </w:tcPr>
          <w:p>
            <w:pPr>
              <w:jc w:val="center"/>
            </w:pPr>
            <w:r>
              <w:rPr>
                <w:sz w:val="20"/>
                <w:szCs w:val="20"/>
              </w:rPr>
              <w:t xml:space="preserve">732 KB</w:t>
            </w:r>
          </w:p>
        </w:tc>
        <w:tc>
          <w:tcPr>
            <w:tcW w:type="dxa" w:w="1000"/>
            <w:tcMar>
              <w:top w:type="dxa" w:w="60"/>
              <w:left w:type="dxa" w:w="100"/>
              <w:bottom w:type="dxa" w:w="60"/>
              <w:right w:type="dxa" w:w="100"/>
            </w:tcMar>
            <w:vAlign w:val="center"/>
          </w:tcPr>
          <w:p>
            <w:pPr>
              <w:jc w:val="center"/>
            </w:pPr>
            <w:r>
              <w:rPr>
                <w:sz w:val="20"/>
                <w:szCs w:val="20"/>
              </w:rPr>
              <w:t xml:space="preserve">104.73 ms</w:t>
            </w:r>
          </w:p>
        </w:tc>
        <w:tc>
          <w:tcPr>
            <w:tcW w:type="dxa" w:w="900"/>
            <w:tcMar>
              <w:top w:type="dxa" w:w="60"/>
              <w:left w:type="dxa" w:w="100"/>
              <w:bottom w:type="dxa" w:w="60"/>
              <w:right w:type="dxa" w:w="100"/>
            </w:tcMar>
            <w:vAlign w:val="center"/>
          </w:tcPr>
          <w:p>
            <w:pPr>
              <w:jc w:val="center"/>
            </w:pPr>
            <w:r>
              <w:rPr>
                <w:sz w:val="20"/>
                <w:szCs w:val="20"/>
              </w:rPr>
              <w:t xml:space="preserve">104.74 ms</w:t>
            </w:r>
          </w:p>
        </w:tc>
        <w:tc>
          <w:tcPr>
            <w:tcW w:type="dxa" w:w="900"/>
            <w:tcMar>
              <w:top w:type="dxa" w:w="60"/>
              <w:left w:type="dxa" w:w="100"/>
              <w:bottom w:type="dxa" w:w="60"/>
              <w:right w:type="dxa" w:w="100"/>
            </w:tcMar>
            <w:vAlign w:val="center"/>
          </w:tcPr>
          <w:p>
            <w:pPr>
              <w:jc w:val="center"/>
            </w:pPr>
            <w:r>
              <w:rPr>
                <w:sz w:val="20"/>
                <w:szCs w:val="20"/>
              </w:rPr>
              <w:t xml:space="preserve">104.78 ms</w:t>
            </w:r>
          </w:p>
        </w:tc>
        <w:tc>
          <w:tcPr>
            <w:tcW w:type="dxa" w:w="1000"/>
            <w:tcMar>
              <w:top w:type="dxa" w:w="60"/>
              <w:left w:type="dxa" w:w="100"/>
              <w:bottom w:type="dxa" w:w="60"/>
              <w:right w:type="dxa" w:w="100"/>
            </w:tcMar>
            <w:vAlign w:val="center"/>
          </w:tcPr>
          <w:p>
            <w:pPr>
              <w:jc w:val="center"/>
            </w:pPr>
            <w:r>
              <w:rPr>
                <w:sz w:val="20"/>
                <w:szCs w:val="20"/>
              </w:rPr>
              <w:t xml:space="preserve">3,952 B</w:t>
            </w:r>
          </w:p>
        </w:tc>
        <w:tc>
          <w:tcPr>
            <w:tcW w:type="dxa" w:w="1100"/>
            <w:tcMar>
              <w:top w:type="dxa" w:w="60"/>
              <w:left w:type="dxa" w:w="100"/>
              <w:bottom w:type="dxa" w:w="60"/>
              <w:right w:type="dxa" w:w="100"/>
            </w:tcMar>
            <w:vAlign w:val="center"/>
          </w:tcPr>
          <w:p>
            <w:pPr>
              <w:jc w:val="center"/>
            </w:pPr>
            <w:r>
              <w:rPr>
                <w:sz w:val="20"/>
                <w:szCs w:val="20"/>
              </w:rPr>
              <w:t xml:space="preserve">0</w:t>
            </w:r>
          </w:p>
        </w:tc>
        <w:tc>
          <w:tcPr>
            <w:tcW w:type="dxa" w:w="1000"/>
            <w:tcMar>
              <w:top w:type="dxa" w:w="60"/>
              <w:left w:type="dxa" w:w="100"/>
              <w:bottom w:type="dxa" w:w="60"/>
              <w:right w:type="dxa" w:w="100"/>
            </w:tcMar>
            <w:vAlign w:val="center"/>
          </w:tcPr>
          <w:p>
            <w:pPr>
              <w:jc w:val="center"/>
            </w:pPr>
            <w:r>
              <w:rPr>
                <w:sz w:val="20"/>
                <w:szCs w:val="20"/>
              </w:rPr>
              <w:t xml:space="preserve">8 / 8</w:t>
            </w:r>
          </w:p>
        </w:tc>
      </w:tr>
    </w:tbl>
    <w:p>
      <w:pPr>
        <w:spacing w:after="240" w:before="80"/>
      </w:pPr>
      <w:r>
        <w:rPr>
          <w:i/>
          <w:iCs/>
          <w:sz w:val="20"/>
          <w:szCs w:val="20"/>
        </w:rPr>
        <w:t xml:space="preserve">Table 17. On-device measurement on an ESP32 (ESP32-D0WD-V3, 240 MHz, ESP-IDF v4.4.7, TensorFlowLite_ESP32 1.0.0), 100 timed inferences per model after 5 warm-up runs; parity against the host TFLite interpreter on 8 fixed inputs per dataset. Source: data/processed/ablation/esp32_benchmark.json.</w:t>
      </w:r>
    </w:p>
    <w:p>
      <w:pPr>
        <w:pStyle w:val="Heading2"/>
        <w:spacing w:after="140" w:before="260"/>
      </w:pPr>
      <w:r>
        <w:t xml:space="preserve">6.2 Four Silent Failure Modes</w:t>
      </w:r>
    </w:p>
    <w:p>
      <w:pPr>
        <w:spacing w:after="160"/>
      </w:pPr>
      <w:r>
        <w:t xml:space="preserve">Re-running the reviewers' requested experiments exposed four errors in our own pipeline. None raised an exception, and each produced plausible numbers. Empirical studies report that deployment and model-conversion faults often produce wrong models without errors [48, 49]. We describe them because the same components (Flower, TensorFlow Model Optimization, Keras BatchNorm) are widely used, and because the earlier version of this paper reported results built on the first two.</w:t>
      </w:r>
    </w:p>
    <w:p>
      <w:pPr>
        <w:spacing w:after="120"/>
      </w:pPr>
      <w:r>
        <w:rPr>
          <w:b/>
          <w:bCs/>
        </w:rPr>
        <w:t xml:space="preserve">Weight exchange without scales. </w:t>
      </w:r>
      <w:r>
        <w:t xml:space="preserve">Clients sent int8-rounded weights without their per-tensor scales, and the server averaged the integer codes as if they were weights. Every tensor was therefore rescaled to max |w| = 127 each round, which was visible afterwards as global weights and QAT ranges at exactly ±127. Check: assert that dequantize(quantize(w)) ≈ w on the receiving side.</w:t>
      </w:r>
    </w:p>
    <w:p>
      <w:pPr>
        <w:spacing w:after="120"/>
      </w:pPr>
      <w:r>
        <w:rPr>
          <w:b/>
          <w:bCs/>
        </w:rPr>
        <w:t xml:space="preserve">QAT wrapper stripping that copies nothing. </w:t>
      </w:r>
      <w:r>
        <w:t xml:space="preserve">Converting a QAT model back to float copied weights positionally from the wrapped layer, which does not own its kernel. Every assignment failed silently and the 'stripped' model kept its random initialization. Short fine-tuning on pooled data then produced a deployable-looking model that had learned nothing from FL. Check: copy weights by name, refuse to proceed if nothing was copied, and compare outputs before and after stripping.</w:t>
      </w:r>
    </w:p>
    <w:p>
      <w:pPr>
        <w:spacing w:after="120"/>
      </w:pPr>
      <w:r>
        <w:rPr>
          <w:b/>
          <w:bCs/>
        </w:rPr>
        <w:t xml:space="preserve">BatchNorm folded on the wrong side of the activation. </w:t>
      </w:r>
      <w:r>
        <w:t xml:space="preserve">With Dense → ReLU → BatchNorm, folding BatchNorm into the preceding Dense is not equivalent (max output error 0.86, 11.6% of decisions flipped on our model). Check: fold into the next layer and assert numerical equivalence on random inputs.</w:t>
      </w:r>
    </w:p>
    <w:p>
      <w:pPr>
        <w:spacing w:after="120"/>
      </w:pPr>
      <w:r>
        <w:rPr>
          <w:b/>
          <w:bCs/>
        </w:rPr>
        <w:t xml:space="preserve">Pruning that resets BatchNorm statistics. </w:t>
      </w:r>
      <w:r>
        <w:t xml:space="preserve">Re-creating BatchNorm layers from their configuration during pruning discarded the learned statistics (accuracy 95.4% → 32.7% before fine-tuning). Check: fold BatchNorm before pruning.</w:t>
      </w:r>
    </w:p>
    <w:p>
      <w:pPr>
        <w:spacing w:after="160"/>
      </w:pPr>
      <w:r>
        <w:t xml:space="preserve">What exposed them was an ablation that evaluates the federated model itself, unchanged, at every stage of compression (the FP32 rows in Table 3). That row should reproduce the float model's metrics exactly, and in the erroneous pipeline it was at chance level. We recommend this invariant check for any FL-plus-compression study.</w:t>
      </w:r>
    </w:p>
    <w:p>
      <w:pPr>
        <w:pStyle w:val="Heading2"/>
        <w:spacing w:after="140" w:before="260"/>
      </w:pPr>
      <w:r>
        <w:t xml:space="preserve">6.3 What Goes Beyond Pipeline Composition</w:t>
      </w:r>
    </w:p>
    <w:p>
      <w:pPr>
        <w:spacing w:after="160"/>
      </w:pPr>
      <w:r>
        <w:t xml:space="preserve">The meta-review asked what this work contributes beyond composing known techniques. We consider four results non-obvious from the individual literatures: (1) a federated IDS that is within about 1.7 F1 of centralized training and loses less than one F1 point under an extreme Dirichlet(0.3) partition on two datasets; (2) compression to 65 KB with no loss using only one client's data, together with a quantified dependence on that client's class mix; (3) the dataset-dependent failure of training-time QAT under FL, traced to heavy-tailed features rather than to optimization; and (4) the four silent failure modes and the invariant that detects them; and (5) the instability of full-integer PTQ across calibration draws and a one-line fix (clipped calibration), together with a local-only baseline that locates the benefit of federation in clients with few local attacks. The paper is an evidence-backed characterization, not a new algorithm, and we state that explicitly.</w:t>
      </w:r>
    </w:p>
    <w:p>
      <w:pPr>
        <w:pStyle w:val="Heading1"/>
        <w:spacing w:after="160" w:before="320"/>
      </w:pPr>
      <w:r>
        <w:t xml:space="preserve">7. Limitations</w:t>
      </w:r>
    </w:p>
    <w:p>
      <w:pPr>
        <w:spacing w:after="140"/>
      </w:pPr>
      <w:r>
        <w:rPr>
          <w:b/>
          <w:bCs/>
        </w:rPr>
        <w:t xml:space="preserve">Single seed. </w:t>
      </w:r>
      <w:r>
        <w:t xml:space="preserve">Every configuration was run once, except for a second federated training run on TON_IoT, which differs by 0.03 F1 (Table 1), and the repeated fine-tuning draws of Sections 5.9 and 5.12–5.13. Differences below about one F1 point (e.g. near-IID vs. Dirichlet on CIC-IDS2017) should not be over-interpreted until seed variance is measured more broadly.</w:t>
      </w:r>
    </w:p>
    <w:p>
      <w:pPr>
        <w:spacing w:after="140"/>
      </w:pPr>
      <w:r>
        <w:rPr>
          <w:b/>
          <w:bCs/>
        </w:rPr>
        <w:t xml:space="preserve">Client count. </w:t>
      </w:r>
      <w:r>
        <w:t xml:space="preserve">All experiments use four clients. Scaling to 20–50 clients is supported by our scripts but not yet run.</w:t>
      </w:r>
    </w:p>
    <w:p>
      <w:pPr>
        <w:spacing w:after="140"/>
      </w:pPr>
      <w:r>
        <w:rPr>
          <w:b/>
          <w:bCs/>
        </w:rPr>
        <w:t xml:space="preserve">Choice of fine-tuning client. </w:t>
      </w:r>
      <w:r>
        <w:t xml:space="preserve">Deployed-model quality depends on the fine-tuning client's class mix (Table 4). We chose clients a priori by attack share. Federated fine-tuning over all clients removes this dependence in the recall-priority setting (Section 5.13), but we have not repeated Table 4 with it.</w:t>
      </w:r>
    </w:p>
    <w:p>
      <w:pPr>
        <w:spacing w:after="140"/>
      </w:pPr>
      <w:r>
        <w:rPr>
          <w:b/>
          <w:bCs/>
        </w:rPr>
        <w:t xml:space="preserve">Comparison to published systems. </w:t>
      </w:r>
      <w:r>
        <w:t xml:space="preserve">We compare only against our own centralized baseline. Published CIC-IDS2017 results mostly use multi-class weighted metrics, different splits, and no deduplication, and the dataset has known labelling issues [24], so cross-paper numbers are not directly comparable. We have compiled candidate comparisons but report none until each number is verified against its source.</w:t>
      </w:r>
    </w:p>
    <w:p>
      <w:pPr>
        <w:spacing w:after="140"/>
      </w:pPr>
      <w:r>
        <w:rPr>
          <w:b/>
          <w:bCs/>
        </w:rPr>
        <w:t xml:space="preserve">Single architecture. </w:t>
      </w:r>
      <w:r>
        <w:t xml:space="preserve">All results use one MLP; the QAT failure mode (Section 5.6) may differ for architectures with input normalization layers.</w:t>
      </w:r>
    </w:p>
    <w:p>
      <w:pPr>
        <w:spacing w:after="140"/>
      </w:pPr>
      <w:r>
        <w:rPr>
          <w:b/>
          <w:bCs/>
        </w:rPr>
        <w:t xml:space="preserve">Threshold selection data. </w:t>
      </w:r>
      <w:r>
        <w:t xml:space="preserve">Recall-target thresholds (Section 5.13) are chosen on the fine-tuning client's SMOTE-augmented training data; targets above 99.95% need a larger, non-augmented validation set.</w:t>
      </w:r>
    </w:p>
    <w:p>
      <w:pPr>
        <w:spacing w:after="140"/>
      </w:pPr>
      <w:r>
        <w:rPr>
          <w:b/>
          <w:bCs/>
        </w:rPr>
        <w:t xml:space="preserve">Transfer attacks only. </w:t>
      </w:r>
      <w:r>
        <w:t xml:space="preserve">Robustness of TFLite models is measured with adversarial examples transferred from the float federated model, not with attacks computed through the integer model.</w:t>
      </w:r>
    </w:p>
    <w:p>
      <w:pPr>
        <w:spacing w:after="140"/>
      </w:pPr>
      <w:r>
        <w:rPr>
          <w:b/>
          <w:bCs/>
        </w:rPr>
        <w:t xml:space="preserve">Threat model. </w:t>
      </w:r>
      <w:r>
        <w:t xml:space="preserve">Attacks are feature-space perturbations, not realized as traffic. Training-time poisoning and backdoors [36] are out of scope, and the supervised detector does not target unseen attack classes as unsupervised detectors do [38, 39].</w:t>
      </w:r>
    </w:p>
    <w:p>
      <w:pPr>
        <w:spacing w:after="140"/>
      </w:pPr>
      <w:r>
        <w:rPr>
          <w:b/>
          <w:bCs/>
        </w:rPr>
        <w:t xml:space="preserve">Synthetic partitions. </w:t>
      </w:r>
      <w:r>
        <w:t xml:space="preserve">Near-IID and Dirichlet splits are synthetic; per-host splits [37] are more realistic.</w:t>
      </w:r>
    </w:p>
    <w:p>
      <w:pPr>
        <w:spacing w:after="140"/>
      </w:pPr>
      <w:r>
        <w:rPr>
          <w:b/>
          <w:bCs/>
        </w:rPr>
        <w:t xml:space="preserve">On-device measurement. </w:t>
      </w:r>
      <w:r>
        <w:t xml:space="preserve">See Section 6.1.</w:t>
      </w:r>
    </w:p>
    <w:p>
      <w:pPr>
        <w:pStyle w:val="Heading1"/>
        <w:spacing w:after="160" w:before="320"/>
      </w:pPr>
      <w:r>
        <w:t xml:space="preserve">8. Future Work</w:t>
      </w:r>
    </w:p>
    <w:p>
      <w:pPr>
        <w:spacing w:after="160"/>
      </w:pPr>
      <w:r>
        <w:t xml:space="preserve">Beyond the items in Section 7, we plan to evaluate robust feature scaling as a fix for training-time QAT on heavy-tailed IDS data, federated fine-tuning for the other compression settings (Section 5.13 applies it to the recall-priority case only), threshold selection against an explicit alert budget (Section 5.13 selects for a recall target only), and deployment on heterogeneous microcontrollers beyond the ESP32.</w:t>
      </w:r>
    </w:p>
    <w:p>
      <w:pPr>
        <w:pStyle w:val="Heading1"/>
        <w:spacing w:after="160" w:before="320"/>
      </w:pPr>
      <w:r>
        <w:t xml:space="preserve">9. Conclusion</w:t>
      </w:r>
    </w:p>
    <w:p>
      <w:pPr>
        <w:spacing w:after="160"/>
      </w:pPr>
      <w:r>
        <w:t xml:space="preserve">A federated MLP intrusion detector trained with FedAvgM, a shared cosine schedule, and focal loss comes close to centralized training on CIC-IDS2017 and TON_IoT and loses less than one F1 point under a strongly non-IID partition. It can be compressed to a 65 KB INT8 TensorFlow Lite model (12.3×) without loss using only one participating client's data, provided that client's class mix is representative, and with distillation, federated fine-tuning and a client-chosen threshold the 65 KB model misses about half as many attacks as the FP32 model at its default threshold (27 vs. 52 of 85,173) at an 11.3% false-alarm rate; the remaining misses are concentrated in the rarest attack classes, which the FP32 model also misses. Training-time QAT inside FL, by contrast, fails on heavy-tailed CIC-IDS2017 features while working on TON_IoT, and full-integer post-training quantization is unstable across calibration draws unless its calibration inputs are clipped. Federation matters most for clients with few local attacks, which alone miss up to 55% of attacks. Finally, four silent toolchain failures had invalidated the compressed-model results of our earlier report. An invariant check that re-evaluates the uncompressed federated model at every stage would have caught all of them.</w:t>
      </w:r>
    </w:p>
    <w:p>
      <w:r>
        <w:br w:type="page"/>
      </w:r>
    </w:p>
    <w:p>
      <w:pPr>
        <w:pStyle w:val="Heading1"/>
        <w:spacing w:after="160" w:before="320"/>
      </w:pPr>
      <w:r>
        <w:t xml:space="preserve">References</w:t>
      </w:r>
    </w:p>
    <w:p>
      <w:pPr>
        <w:spacing w:after="100"/>
      </w:pPr>
      <w:r>
        <w:rPr>
          <w:sz w:val="20"/>
          <w:szCs w:val="20"/>
        </w:rPr>
        <w:t xml:space="preserve">[1] Luigi Atzori, Antonio Iera, and Giacomo Morabito. 2010. The Internet of Things: A Survey. Computer Networks 54, 15 (2010), 2787–2805.</w:t>
      </w:r>
    </w:p>
    <w:p>
      <w:pPr>
        <w:spacing w:after="100"/>
      </w:pPr>
      <w:r>
        <w:rPr>
          <w:sz w:val="20"/>
          <w:szCs w:val="20"/>
        </w:rPr>
        <w:t xml:space="preserve">[2] Colby R. Banbury, Vijay Janapa Reddi, Max Lam, William Fu, Amin Fazel, Jeremy Holleman, Xinyuan Huang, Robert Hurtado, David Kanter, Anton Lokhmotov, David Patterson, Danilo Pau, Jae-sun Seo, Jeff Sieracki, Urmish Thakker, Marian Verhelst, and Poonam Yadav. 2020. Benchmarking TinyML Systems: Challenges and Direction. arXiv preprint arXiv:2003.04821 (2020).</w:t>
      </w:r>
    </w:p>
    <w:p>
      <w:pPr>
        <w:spacing w:after="100"/>
      </w:pPr>
      <w:r>
        <w:rPr>
          <w:sz w:val="20"/>
          <w:szCs w:val="20"/>
        </w:rPr>
        <w:t xml:space="preserve">[3] Ian Goodfellow, Jonathon Shlens, and Christian Szegedy. 2015. Explaining and Harnessing Adversarial Examples. In International Conference on Learning Representations (ICLR).</w:t>
      </w:r>
    </w:p>
    <w:p>
      <w:pPr>
        <w:spacing w:after="100"/>
      </w:pPr>
      <w:r>
        <w:rPr>
          <w:sz w:val="20"/>
          <w:szCs w:val="20"/>
        </w:rPr>
        <w:t xml:space="preserve">[4] Song Han, Huizi Mao, and William J. Dally. 2016. Deep Compression: Compressing Deep Neural Networks with Pruning, Trained Quantization and Huffman Coding. In International Conference on Learning Representations (ICLR).</w:t>
      </w:r>
    </w:p>
    <w:p>
      <w:pPr>
        <w:spacing w:after="100"/>
      </w:pPr>
      <w:r>
        <w:rPr>
          <w:sz w:val="20"/>
          <w:szCs w:val="20"/>
        </w:rPr>
        <w:t xml:space="preserve">[5] Geoffrey Hinton, Oriol Vinyals, and Jeff Dean. 2015. Distilling the Knowledge in a Neural Network. arXiv preprint arXiv:1503.02531 (2015).</w:t>
      </w:r>
    </w:p>
    <w:p>
      <w:pPr>
        <w:spacing w:after="100"/>
      </w:pPr>
      <w:r>
        <w:rPr>
          <w:sz w:val="20"/>
          <w:szCs w:val="20"/>
        </w:rPr>
        <w:t xml:space="preserve">[6] Benoit Jacob, Skirmantas Kligys, Bo Chen, Menglong Zhu, Matthew Tang, Andrew Howard, Hartwig Adam, and Dmitry Kalenichenko. 2018. Quantization and Training of Neural Networks for Efficient Integer-Arithmetic-Only Inference. In Proceedings of the IEEE Conference on Computer Vision and Pattern Recognition (CVPR).</w:t>
      </w:r>
    </w:p>
    <w:p>
      <w:pPr>
        <w:spacing w:after="100"/>
      </w:pPr>
      <w:r>
        <w:rPr>
          <w:sz w:val="20"/>
          <w:szCs w:val="20"/>
        </w:rPr>
        <w:t xml:space="preserve">[7] Jakub Konečný, H. Brendan McMahan, Felix Yu, and Peter Richtárik. 2016. Federated Learning: Strategies for Improving Communication Efficiency. arXiv preprint arXiv:1610.05492 (2016).</w:t>
      </w:r>
    </w:p>
    <w:p>
      <w:pPr>
        <w:spacing w:after="100"/>
      </w:pPr>
      <w:r>
        <w:rPr>
          <w:sz w:val="20"/>
          <w:szCs w:val="20"/>
        </w:rPr>
        <w:t xml:space="preserve">[8] H. Brendan McMahan, Eider Moore, Daniel Ramage, Seth Hampson, and Blaise Agüera y Arcas. 2017. Communication-Efficient Learning of Deep Networks from Decentralized Data. In Proceedings of the 20th International Conference on Artificial Intelligence and Statistics (AISTATS).</w:t>
      </w:r>
    </w:p>
    <w:p>
      <w:pPr>
        <w:spacing w:after="100"/>
      </w:pPr>
      <w:r>
        <w:rPr>
          <w:sz w:val="20"/>
          <w:szCs w:val="20"/>
        </w:rPr>
        <w:t xml:space="preserve">[9] Aleksander Madry, Aleksandar Makelov, Ludwig Schmidt, Dimitris Tsipras, and Adrian Vladu. 2018. Towards Deep Learning Models Resistant to Adversarial Attacks. In International Conference on Learning Representations (ICLR).</w:t>
      </w:r>
    </w:p>
    <w:p>
      <w:pPr>
        <w:spacing w:after="100"/>
      </w:pPr>
      <w:r>
        <w:rPr>
          <w:sz w:val="20"/>
          <w:szCs w:val="20"/>
        </w:rPr>
        <w:t xml:space="preserve">[10] Tzu-Ming Harry Hsu, Hang Qi, and Matthew Brown. 2019. Measuring the Effects of Non-Identical Data Distribution for Federated Visual Classification. arXiv preprint arXiv:1909.06335 (2019).</w:t>
      </w:r>
    </w:p>
    <w:p>
      <w:pPr>
        <w:spacing w:after="100"/>
      </w:pPr>
      <w:r>
        <w:rPr>
          <w:sz w:val="20"/>
          <w:szCs w:val="20"/>
        </w:rPr>
        <w:t xml:space="preserve">[11] Tian Li, Anit Kumar Sahu, Manzil Zaheer, Maziar Sanjabi, Ameet Talwalkar, and Virginia Smith. 2020. Federated Optimization in Heterogeneous Networks. In Proceedings of Machine Learning and Systems (MLSys).</w:t>
      </w:r>
    </w:p>
    <w:p>
      <w:pPr>
        <w:spacing w:after="100"/>
      </w:pPr>
      <w:r>
        <w:rPr>
          <w:sz w:val="20"/>
          <w:szCs w:val="20"/>
        </w:rPr>
        <w:t xml:space="preserve">[12] Tsung-Yi Lin, Priya Goyal, Ross Girshick, Kaiming He, and Piotr Dollár. 2017. Focal Loss for Dense Object Detection. In Proceedings of the IEEE International Conference on Computer Vision (ICCV).</w:t>
      </w:r>
    </w:p>
    <w:p>
      <w:pPr>
        <w:spacing w:after="100"/>
      </w:pPr>
      <w:r>
        <w:rPr>
          <w:sz w:val="20"/>
          <w:szCs w:val="20"/>
        </w:rPr>
        <w:t xml:space="preserve">[13] Iman Sharafaldin, Arash Habibi Lashkari, and Ali A. Ghorbani. 2018. Toward Generating a New Intrusion Detection Dataset and Intrusion Traffic Characterization. In Proceedings of the 4th International Conference on Information Systems Security and Privacy (ICISSP).</w:t>
      </w:r>
    </w:p>
    <w:p>
      <w:pPr>
        <w:spacing w:after="100"/>
      </w:pPr>
      <w:r>
        <w:rPr>
          <w:sz w:val="20"/>
          <w:szCs w:val="20"/>
        </w:rPr>
        <w:t xml:space="preserve">[14] Nickolaos Koroniotis, Nour Moustafa, Elena Sitnikova, and Benjamin Turnbull. 2019. Towards the Development of Realistic Botnet Dataset in the Internet of Things for Network Forensic Analytics: Bot-IoT Dataset. Future Generation Computer Systems 100 (2019), 779–796.</w:t>
      </w:r>
    </w:p>
    <w:p>
      <w:pPr>
        <w:spacing w:after="100"/>
      </w:pPr>
      <w:r>
        <w:rPr>
          <w:sz w:val="20"/>
          <w:szCs w:val="20"/>
        </w:rPr>
        <w:t xml:space="preserve">[15] Nour Moustafa. 2021. A New Distributed Architecture for Evaluating AI-Based Security Systems at the Edge: Network TON_IoT Datasets. Sustainable Cities and Society 72 (2021), 102994.</w:t>
      </w:r>
    </w:p>
    <w:p>
      <w:pPr>
        <w:spacing w:after="100"/>
      </w:pPr>
      <w:r>
        <w:rPr>
          <w:sz w:val="20"/>
          <w:szCs w:val="20"/>
        </w:rPr>
        <w:t xml:space="preserve">[16] Markus Nagel, Marios Fournarakis, Yelysei Bondarenko, and Tijmen Blankevoort. 2022. Overcoming Oscillations in Quantization-Aware Training. In Proceedings of the 39th International Conference on Machine Learning (ICML), PMLR 162, 16318–16330.</w:t>
      </w:r>
    </w:p>
    <w:p>
      <w:pPr>
        <w:spacing w:after="100"/>
      </w:pPr>
      <w:r>
        <w:rPr>
          <w:sz w:val="20"/>
          <w:szCs w:val="20"/>
        </w:rPr>
        <w:t xml:space="preserve">[17] Markus Nagel, Marios Fournarakis, Rana Ali Amjad, Yelysei Bondarenko, Mart van Baalen, and Tijmen Blankevoort. 2021. A White Paper on Neural Network Quantization. arXiv preprint arXiv:2106.08295 (2021).</w:t>
      </w:r>
    </w:p>
    <w:p>
      <w:pPr>
        <w:spacing w:after="100"/>
      </w:pPr>
      <w:r>
        <w:rPr>
          <w:sz w:val="20"/>
          <w:szCs w:val="20"/>
        </w:rPr>
        <w:t xml:space="preserve">[18] Amir Gholami, Sehoon Kim, Zhen Dong, Zhewei Yao, Michael W. Mahoney, and Kurt Keutzer. 2021. A Survey of Quantization Methods for Efficient Neural Network Inference. arXiv preprint arXiv:2103.13630 (2021).</w:t>
      </w:r>
    </w:p>
    <w:p>
      <w:pPr>
        <w:spacing w:after="100"/>
      </w:pPr>
      <w:r>
        <w:rPr>
          <w:sz w:val="20"/>
          <w:szCs w:val="20"/>
        </w:rPr>
        <w:t xml:space="preserve">[19] Robert David, Jared Duke, Advait Jain, Vijay Janapa Reddi, Nat Jeffries, Jian Li, Nick Kreeger, Ian Nappier, Meghna Natraj, Tiezhen Wang, Pete Warden, and Rocky Rhodes. 2021. TensorFlow Lite Micro: Embedded Machine Learning for TinyML Systems. In Proceedings of Machine Learning and Systems (MLSys).</w:t>
      </w:r>
    </w:p>
    <w:p>
      <w:pPr>
        <w:spacing w:after="100"/>
      </w:pPr>
      <w:r>
        <w:rPr>
          <w:sz w:val="20"/>
          <w:szCs w:val="20"/>
        </w:rPr>
        <w:t xml:space="preserve">[20] Yue Zhao, Meng Li, Liangzhen Lai, Naveen Suda, Damon Civin, and Vikas Chandra. 2018. Federated Learning with Non-IID Data. arXiv preprint arXiv:1806.00582 (2018).</w:t>
      </w:r>
    </w:p>
    <w:p>
      <w:pPr>
        <w:spacing w:after="100"/>
      </w:pPr>
      <w:r>
        <w:rPr>
          <w:sz w:val="20"/>
          <w:szCs w:val="20"/>
        </w:rPr>
        <w:t xml:space="preserve">[21] Micah Gorsline, James Smith, and Cory Merkel. 2021. On the Adversarial Robustness of Quantized Neural Networks. arXiv preprint arXiv:2105.00227 (2021).</w:t>
      </w:r>
    </w:p>
    <w:p>
      <w:pPr>
        <w:spacing w:after="100"/>
      </w:pPr>
      <w:r>
        <w:rPr>
          <w:sz w:val="20"/>
          <w:szCs w:val="20"/>
        </w:rPr>
        <w:t xml:space="preserve">[22] Chang Song, Elias Fallon, and Hai Li. 2021. Improving Adversarial Robustness in Weight-quantized Neural Networks. arXiv preprint arXiv:2012.14965 (2021).</w:t>
      </w:r>
    </w:p>
    <w:p>
      <w:pPr>
        <w:spacing w:after="100"/>
      </w:pPr>
      <w:r>
        <w:rPr>
          <w:sz w:val="20"/>
          <w:szCs w:val="20"/>
        </w:rPr>
        <w:t xml:space="preserve">[23] Ferheen Ayaz, Idris Zakariyya, José Cano, Sye Loong Keoh, Jeremy Singer, Danilo Pau, and Mounia Kharbouche-Harrari. 2023. Improving Robustness Against Adversarial Attacks with Deeply Quantized Neural Networks. arXiv preprint arXiv:2304.12829 (2023).</w:t>
      </w:r>
    </w:p>
    <w:p>
      <w:pPr>
        <w:spacing w:after="100"/>
      </w:pPr>
      <w:r>
        <w:rPr>
          <w:sz w:val="20"/>
          <w:szCs w:val="20"/>
        </w:rPr>
        <w:t xml:space="preserve">[24] Gints Engelen, Vera Rimmer, and Wouter Joosen. 2021. Troubleshooting an Intrusion Detection Dataset: the CICIDS2017 Case Study. In 2021 IEEE Security and Privacy Workshops (SPW), 7–12. doi:10.1109/SPW53761.2021.00009.</w:t>
      </w:r>
    </w:p>
    <w:p>
      <w:pPr>
        <w:spacing w:after="100"/>
      </w:pPr>
      <w:r>
        <w:rPr>
          <w:sz w:val="20"/>
          <w:szCs w:val="20"/>
        </w:rPr>
        <w:t xml:space="preserve">[25] Hao Wu, Patrick Judd, Xiaojie Zhang, Mikhail Isaev, and Paulius Micikevicius. 2020. Integer Quantization for Deep Learning Inference: Principles and Empirical Evaluation. arXiv preprint arXiv:2004.09602 (2020).</w:t>
      </w:r>
    </w:p>
    <w:p>
      <w:pPr>
        <w:spacing w:after="100"/>
      </w:pPr>
      <w:r>
        <w:rPr>
          <w:sz w:val="20"/>
          <w:szCs w:val="20"/>
        </w:rPr>
        <w:t xml:space="preserve">[26] Ron Banner, Yury Nahshan, and Daniel Soudry. 2019. Post Training 4-bit Quantization of Convolutional Networks for Rapid-Deployment. In Advances in Neural Information Processing Systems (NeurIPS).</w:t>
      </w:r>
    </w:p>
    <w:p>
      <w:pPr>
        <w:spacing w:after="100"/>
      </w:pPr>
      <w:r>
        <w:rPr>
          <w:sz w:val="20"/>
          <w:szCs w:val="20"/>
        </w:rPr>
        <w:t xml:space="preserve">[27] Jungwook Choi, Zhuo Wang, Swagath Venkataramani, Pierce I-Jen Chuang, Vijayalakshmi Srinivasan, and Kailash Gopalakrishnan. 2018. PACT: Parameterized Clipping Activation for Quantized Neural Networks. arXiv preprint arXiv:1805.06085 (2018).</w:t>
      </w:r>
    </w:p>
    <w:p>
      <w:pPr>
        <w:spacing w:after="100"/>
      </w:pPr>
      <w:r>
        <w:rPr>
          <w:sz w:val="20"/>
          <w:szCs w:val="20"/>
        </w:rPr>
        <w:t xml:space="preserve">[28] Steven K. Esser, Jeffrey L. McKinstry, Deepika Bablani, Rathinakumar Appuswamy, and Dharmendra S. Modha. 2020. Learned Step Size Quantization. In International Conference on Learning Representations (ICLR).</w:t>
      </w:r>
    </w:p>
    <w:p>
      <w:pPr>
        <w:spacing w:after="100"/>
      </w:pPr>
      <w:r>
        <w:rPr>
          <w:sz w:val="20"/>
          <w:szCs w:val="20"/>
        </w:rPr>
        <w:t xml:space="preserve">[29] Markus Nagel, Mart van Baalen, Tijmen Blankevoort, and Max Welling. 2019. Data-Free Quantization Through Weight Equalization and Bias Correction. In Proceedings of the IEEE/CVF International Conference on Computer Vision (ICCV), 1325–1334.</w:t>
      </w:r>
    </w:p>
    <w:p>
      <w:pPr>
        <w:spacing w:after="100"/>
      </w:pPr>
      <w:r>
        <w:rPr>
          <w:sz w:val="20"/>
          <w:szCs w:val="20"/>
        </w:rPr>
        <w:t xml:space="preserve">[30] Antonio Polino, Razvan Pascanu, and Dan Alistarh. 2018. Model Compression via Distillation and Quantization. In International Conference on Learning Representations (ICLR).</w:t>
      </w:r>
    </w:p>
    <w:p>
      <w:pPr>
        <w:spacing w:after="100"/>
      </w:pPr>
      <w:r>
        <w:rPr>
          <w:sz w:val="20"/>
          <w:szCs w:val="20"/>
        </w:rPr>
        <w:t xml:space="preserve">[31] Amirhossein Reisizadeh, Aryan Mokhtari, Hamed Hassani, Ali Jadbabaie, and Ramtin Pedarsani. 2020. FedPAQ: A Communication-Efficient Federated Learning Method with Periodic Averaging and Quantization. In Proceedings of the 23rd International Conference on Artificial Intelligence and Statistics (AISTATS), PMLR 108, 2021–2031.</w:t>
      </w:r>
    </w:p>
    <w:p>
      <w:pPr>
        <w:spacing w:after="100"/>
      </w:pPr>
      <w:r>
        <w:rPr>
          <w:sz w:val="20"/>
          <w:szCs w:val="20"/>
        </w:rPr>
        <w:t xml:space="preserve">[32] Kartik Gupta, Marios Fournarakis, Matthias Reisser, Christos Louizos, and Markus Nagel. 2023. Quantization Robust Federated Learning for Efficient Inference on Heterogeneous Devices. Transactions on Machine Learning Research (TMLR). arXiv:2206.10844.</w:t>
      </w:r>
    </w:p>
    <w:p>
      <w:pPr>
        <w:spacing w:after="100"/>
      </w:pPr>
      <w:r>
        <w:rPr>
          <w:sz w:val="20"/>
          <w:szCs w:val="20"/>
        </w:rPr>
        <w:t xml:space="preserve">[33] TensorFlow Model Optimization. 2021. Collaborative Optimization: Pruning-Preserving Quantization Aware Training. https://www.tensorflow.org/model_optimization/guide/combine/collaborative_optimization.</w:t>
      </w:r>
    </w:p>
    <w:p>
      <w:pPr>
        <w:spacing w:after="100"/>
      </w:pPr>
      <w:r>
        <w:rPr>
          <w:sz w:val="20"/>
          <w:szCs w:val="20"/>
        </w:rPr>
        <w:t xml:space="preserve">[34] Mingyan Li et al. 2025. Cognitive IoT and Edge Computing for Intrusion Detection with Federated TinyML. In IEEE World AI IoT Congress (AIIoT), 677–684.</w:t>
      </w:r>
    </w:p>
    <w:p>
      <w:pPr>
        <w:spacing w:after="100"/>
      </w:pPr>
      <w:r>
        <w:rPr>
          <w:sz w:val="20"/>
          <w:szCs w:val="20"/>
        </w:rPr>
        <w:t xml:space="preserve">[35] Thien Duc Nguyen, Samuel Marchal, Markus Miettinen, Hossein Fereidooni, N. Asokan, and Ahmad-Reza Sadeghi. 2019. DÏoT: A Federated Self-learning Anomaly Detection System for IoT. In IEEE 39th International Conference on Distributed Computing Systems (ICDCS), 756–767.</w:t>
      </w:r>
    </w:p>
    <w:p>
      <w:pPr>
        <w:spacing w:after="100"/>
      </w:pPr>
      <w:r>
        <w:rPr>
          <w:sz w:val="20"/>
          <w:szCs w:val="20"/>
        </w:rPr>
        <w:t xml:space="preserve">[36] Thien Duc Nguyen, Phillip Rieger, Huili Chen, Hossein Yalame, Helen Möllering, Hossein Fereidooni, Samuel Marchal, Markus Miettinen, Azalia Mirhoseini, Shaza Zeitouni, Farinaz Koushanfar, Ahmad-Reza Sadeghi, and Thomas Schneider. 2022. FLAME: Taming Backdoors in Federated Learning. In 31st USENIX Security Symposium.</w:t>
      </w:r>
    </w:p>
    <w:p>
      <w:pPr>
        <w:spacing w:after="100"/>
      </w:pPr>
      <w:r>
        <w:rPr>
          <w:sz w:val="20"/>
          <w:szCs w:val="20"/>
        </w:rPr>
        <w:t xml:space="preserve">[37] Othmane Belarbi, Theodoros Spyridopoulos, Eirini Anthi, Ioannis Mavromatis, Pietro Carnelli, and Aftab Khan. 2023. Federated Deep Learning for Intrusion Detection in IoT Networks. In IEEE Global Communications Conference (GLOBECOM), 237–242. doi:10.1109/GLOBECOM54140.2023.10437860.</w:t>
      </w:r>
    </w:p>
    <w:p>
      <w:pPr>
        <w:spacing w:after="100"/>
      </w:pPr>
      <w:r>
        <w:rPr>
          <w:sz w:val="20"/>
          <w:szCs w:val="20"/>
        </w:rPr>
        <w:t xml:space="preserve">[38] Yisroel Mirsky, Tomer Doitshman, Yuval Elovici, and Asaf Shabtai. 2018. Kitsune: An Ensemble of Autoencoders for Online Network Intrusion Detection. In Network and Distributed System Security Symposium (NDSS).</w:t>
      </w:r>
    </w:p>
    <w:p>
      <w:pPr>
        <w:spacing w:after="100"/>
      </w:pPr>
      <w:r>
        <w:rPr>
          <w:sz w:val="20"/>
          <w:szCs w:val="20"/>
        </w:rPr>
        <w:t xml:space="preserve">[39] Yutao Dong, Qing Li, Kaidong Wu, et al. 2023. HorusEye: A Realtime IoT Malicious Traffic Detection Framework using Programmable Switches. In 32nd USENIX Security Symposium.</w:t>
      </w:r>
    </w:p>
    <w:p>
      <w:pPr>
        <w:spacing w:after="100"/>
      </w:pPr>
      <w:r>
        <w:rPr>
          <w:sz w:val="20"/>
          <w:szCs w:val="20"/>
        </w:rPr>
        <w:t xml:space="preserve">[40] Guangmeng Zhou, Zhuotao Liu, Chuanpu Fu, Qi Li, and Ke Xu. 2023. An Efficient Design of Intelligent Network Data Plane. In 32nd USENIX Security Symposium.</w:t>
      </w:r>
    </w:p>
    <w:p>
      <w:pPr>
        <w:spacing w:after="100"/>
      </w:pPr>
      <w:r>
        <w:rPr>
          <w:sz w:val="20"/>
          <w:szCs w:val="20"/>
        </w:rPr>
        <w:t xml:space="preserve">[41] Ji Lin, Wei-Ming Chen, Yujun Lin, John Cohn, Chuang Gan, and Song Han. 2020. MCUNet: Tiny Deep Learning on IoT Devices. In Advances in Neural Information Processing Systems (NeurIPS).</w:t>
      </w:r>
    </w:p>
    <w:p>
      <w:pPr>
        <w:spacing w:after="100"/>
      </w:pPr>
      <w:r>
        <w:rPr>
          <w:sz w:val="20"/>
          <w:szCs w:val="20"/>
        </w:rPr>
        <w:t xml:space="preserve">[42] Ji Lin, Ligeng Zhu, Wei-Ming Chen, Wei-Chen Wang, Chuang Gan, and Song Han. 2022. On-Device Training Under 256KB Memory. In Advances in Neural Information Processing Systems (NeurIPS).</w:t>
      </w:r>
    </w:p>
    <w:p>
      <w:pPr>
        <w:spacing w:after="100"/>
      </w:pPr>
      <w:r>
        <w:rPr>
          <w:sz w:val="20"/>
          <w:szCs w:val="20"/>
        </w:rPr>
        <w:t xml:space="preserve">[43] Enmao Diao, Jie Ding, and Vahid Tarokh. 2021. HeteroFL: Computation and Communication Efficient Federated Learning for Heterogeneous Clients. In International Conference on Learning Representations (ICLR).</w:t>
      </w:r>
    </w:p>
    <w:p>
      <w:pPr>
        <w:spacing w:after="100"/>
      </w:pPr>
      <w:r>
        <w:rPr>
          <w:sz w:val="20"/>
          <w:szCs w:val="20"/>
        </w:rPr>
        <w:t xml:space="preserve">[44] Hong Huang, Lan Zhang, Chaoyue Sun, Ruogu Fang, Xiaoyong Yuan, and Dapeng Wu. 2023. Distributed Pruning Towards Tiny Neural Networks in Federated Learning. In IEEE 43rd International Conference on Distributed Computing Systems (ICDCS), 190–201.</w:t>
      </w:r>
    </w:p>
    <w:p>
      <w:pPr>
        <w:spacing w:after="100"/>
      </w:pPr>
      <w:r>
        <w:rPr>
          <w:sz w:val="20"/>
          <w:szCs w:val="20"/>
        </w:rPr>
        <w:t xml:space="preserve">[45] Shikhar Jaiswal, Rahul Kranti Kiran Goli, Aayan Kumar, Vivek Seshadri, and Rahul Sharma. 2023. MinUn: Accurate ML Inference on Microcontrollers. In Proceedings of the 24th ACM SIGPLAN/SIGBED International Conference on Languages, Compilers, and Tools for Embedded Systems (LCTES), 26–39.</w:t>
      </w:r>
    </w:p>
    <w:p>
      <w:pPr>
        <w:spacing w:after="100"/>
      </w:pPr>
      <w:r>
        <w:rPr>
          <w:sz w:val="20"/>
          <w:szCs w:val="20"/>
        </w:rPr>
        <w:t xml:space="preserve">[46] Sridhar Gopinath, Nikhil Ghanathe, Vivek Seshadri, and Rahul Sharma. 2019. Compiling KB-Sized Machine Learning Models to Tiny IoT Devices. In Proceedings of the 40th ACM SIGPLAN Conference on Programming Language Design and Implementation (PLDI).</w:t>
      </w:r>
    </w:p>
    <w:p>
      <w:pPr>
        <w:spacing w:after="100"/>
      </w:pPr>
      <w:r>
        <w:rPr>
          <w:sz w:val="20"/>
          <w:szCs w:val="20"/>
        </w:rPr>
        <w:t xml:space="preserve">[47] Ji Lin, Chuang Gan, and Song Han. 2019. Defensive Quantization: When Efficiency Meets Robustness. In International Conference on Learning Representations (ICLR).</w:t>
      </w:r>
    </w:p>
    <w:p>
      <w:pPr>
        <w:spacing w:after="100"/>
      </w:pPr>
      <w:r>
        <w:rPr>
          <w:sz w:val="20"/>
          <w:szCs w:val="20"/>
        </w:rPr>
        <w:t xml:space="preserve">[48] Zhenpeng Chen, Huihan Yao, Yiling Lou, Yanbin Cao, Yuanqiang Liu, Haoyu Wang, and Xuanzhe Liu. 2021. An Empirical Study on Deployment Faults of Deep Learning Based Mobile Applications. In IEEE/ACM 43rd International Conference on Software Engineering (ICSE).</w:t>
      </w:r>
    </w:p>
    <w:p>
      <w:pPr>
        <w:spacing w:after="100"/>
      </w:pPr>
      <w:r>
        <w:rPr>
          <w:sz w:val="20"/>
          <w:szCs w:val="20"/>
        </w:rPr>
        <w:t xml:space="preserve">[49] Purvish Jajal, Wenxin Jiang, Arav Tewari, Erik Kocinare, Joseph Woo, Anusha Sarraf, Yung-Hsiang Lu, George K. Thiruvathukal, and James C. Davis. 2024. Interoperability in Deep Learning: A User Survey and Failure Analysis of ONNX Model Converters. In Proceedings of the 33rd ACM SIGSOFT International Symposium on Software Testing and Analysis (ISSTA). doi:10.1145/3650212.3680374.</w:t>
      </w:r>
    </w:p>
    <w:p>
      <w:r>
        <w:br w:type="page"/>
      </w:r>
    </w:p>
    <w:p>
      <w:pPr>
        <w:pStyle w:val="Heading1"/>
        <w:spacing w:after="160" w:before="320"/>
      </w:pPr>
      <w:r>
        <w:t xml:space="preserve">Appendix A: Exact BatchNorm Folding for Post-Activation BatchNorm</w:t>
      </w:r>
    </w:p>
    <w:p>
      <w:pPr>
        <w:spacing w:after="120"/>
      </w:pPr>
      <w:r>
        <w:t xml:space="preserve">In our MLP each hidden layer is Dense → ReLU → BatchNorm → Dropout. At inference, BatchNorm with scale γ, shift β, running mean μ, running variance σ² and epsilon ε is the affine map</w:t>
      </w:r>
    </w:p>
    <w:p>
      <w:pPr>
        <w:spacing w:after="120"/>
        <w:jc w:val="center"/>
      </w:pPr>
      <w:r>
        <w:t xml:space="preserve">BN(h) = s ⊙ h + t,   s = γ / √(σ² + ε),   t = β − s ⊙ μ</w:t>
      </w:r>
    </w:p>
    <w:p>
      <w:pPr>
        <w:spacing w:after="120"/>
      </w:pPr>
      <w:r>
        <w:t xml:space="preserve">Because it is applied after the ReLU, it cannot be folded into the preceding Dense layer. Dropout is the identity at inference, so BN can be folded into the next Dense layer (weights W, bias b):</w:t>
      </w:r>
    </w:p>
    <w:p>
      <w:pPr>
        <w:spacing w:after="160"/>
        <w:jc w:val="center"/>
      </w:pPr>
      <w:r>
        <w:t xml:space="preserve">W′ = diag(s) · W,   b′ = b + tᵀ W</w:t>
      </w:r>
    </w:p>
    <w:p>
      <w:pPr>
        <w:spacing w:after="160"/>
      </w:pPr>
      <w:r>
        <w:t xml:space="preserve">This is exact. On our trained models the folded network matches the original to within 2·10⁻⁵. The commonly used pre-activation formula W′ = W·s, b′ = s·(b − μ) + β is valid only for Dense → BatchNorm → activation. Applied to our post-activation layout, it changed 11.6% of decisions (Section 6.2). Folding is applied before pruning, before QAT fine-tuning, and before every TFLite export.</w:t>
      </w:r>
    </w:p>
    <w:p>
      <w:r>
        <w:br w:type="page"/>
      </w:r>
    </w:p>
    <w:p>
      <w:pPr>
        <w:pStyle w:val="Heading1"/>
        <w:spacing w:after="160" w:before="320"/>
      </w:pPr>
      <w:r>
        <w:t xml:space="preserve">Appendix B: ESP32 On-Device Benchmark Protocol</w:t>
      </w:r>
    </w:p>
    <w:p>
      <w:pPr>
        <w:spacing w:after="160"/>
      </w:pPr>
      <w:r>
        <w:t xml:space="preserve">The harness was verified on a host build and then run on an ESP32 board (ELEGOO ESP-WROOM-32, CP2102 USB bridge); results are in Section 6.1 (Table 17).</w:t>
      </w:r>
    </w:p>
    <w:p>
      <w:pPr>
        <w:spacing w:after="120"/>
      </w:pPr>
      <w:r>
        <w:rPr>
          <w:b/>
          <w:bCs/>
        </w:rPr>
        <w:t xml:space="preserve">1. </w:t>
      </w:r>
      <w:r>
        <w:t xml:space="preserve">Models: the firmware embeds the two deployment models and their FP32 federated models (models/*.tflite, 1.7 MB in total), converted to 16-byte-aligned C arrays at build time (esp32_tflite_project/gen_model_data.py). scripts/prepare_esp32_benchmark.py stages the models, records each model's deployment threshold, and regenerates the parity vectors.</w:t>
      </w:r>
    </w:p>
    <w:p>
      <w:pPr>
        <w:spacing w:after="120"/>
      </w:pPr>
      <w:r>
        <w:rPr>
          <w:b/>
          <w:bCs/>
        </w:rPr>
        <w:t xml:space="preserve">2. </w:t>
      </w:r>
      <w:r>
        <w:t xml:space="preserve">Build and flash (PlatformIO, TensorFlowLite_ESP32 1.0.0, huge_app partition table so the FP32 models fit): pio run -e &lt;esp32dev | esp32-s3-devkitc-1 | esp32-c3-devkitm-1&gt; -t upload.</w:t>
      </w:r>
    </w:p>
    <w:p>
      <w:pPr>
        <w:spacing w:after="120"/>
      </w:pPr>
      <w:r>
        <w:rPr>
          <w:b/>
          <w:bCs/>
        </w:rPr>
        <w:t xml:space="preserve">3. </w:t>
      </w:r>
      <w:r>
        <w:t xml:space="preserve">Parity check: for 8 fixed standardized input vectors per dataset (78 features for CIC-IDS2017, 43 for TON_IoT), the firmware compares each model's on-device output with the host TFLite output (include/test_vectors.h) and reports the maximum absolute difference and decision agreement at the model's deployment threshold. A host build against the same TensorFlow Lite Micro library matched exactly (FP32) and within one quantization step (INT8, 1/256), with 8/8 decisions in agreement for every model.</w:t>
      </w:r>
    </w:p>
    <w:p>
      <w:pPr>
        <w:spacing w:after="120"/>
      </w:pPr>
      <w:r>
        <w:rPr>
          <w:b/>
          <w:bCs/>
        </w:rPr>
        <w:t xml:space="preserve">4. </w:t>
      </w:r>
      <w:r>
        <w:t xml:space="preserve">Timing: after 5 warm-up inferences, 100 timed Invoke() calls per model are measured with micros(). The firmware reports chip model, core count, CPU clock and ESP-IDF version. Tensor-arena use on the ESP32 is 1.4–4.0 KB (16 KB allocated).</w:t>
      </w:r>
    </w:p>
    <w:p>
      <w:pPr>
        <w:spacing w:after="120"/>
      </w:pPr>
      <w:r>
        <w:rPr>
          <w:b/>
          <w:bCs/>
        </w:rPr>
        <w:t xml:space="preserve">5. </w:t>
      </w:r>
      <w:r>
        <w:t xml:space="preserve">Collect: python scripts/collect_esp32_benchmark.py --port &lt;serial port&gt; writes per-model mean / median / std / p95 latency, arena use and parity to data/processed/ablation/esp32_benchmark.json.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ec06eec00a1912b95ed824f910b00384882d27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2026-10-26T15:51:36.480Z</dcterms:created>
  <dcterms:modified xsi:type="dcterms:W3CDTF">2026-10-26T15:51:36.620Z</dcterms:modified>
</cp:coreProperties>
</file>

<file path=docProps/custom.xml><?xml version="1.0" encoding="utf-8"?>
<Properties xmlns="http://schemas.openxmlformats.org/officeDocument/2006/custom-properties" xmlns:vt="http://schemas.openxmlformats.org/officeDocument/2006/docPropsVTypes"/>
</file>