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99.41 vs. 99.68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98.67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the same recipe lets a 57 KB model miss 12 of 16,215 attacks at 6.6%. For on-device deployment we use a 112 KB CIC-IDS2017 variant (23 of 85,173 missed at 9.7%, mean over fine-tuning draws) and this 57 KB TON_IoT model.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33 and 99 for the same TON_IoT model) until the calibration inputs are clipped, after which it is stable (F1 99.19 for every calibration set). A local-only baseline shows where federation pays off: clients with few local attacks detect 45–93% of attacks alone and 99.8–99.99%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High-cardinality free text (DNS query, URI) is not used directly; instead we add six row-local features from it (length, digit count, and non-alphanumeric count of each field, 0 when absent), which cannot leak information across records, giving 43 features. Duplicates are removed (105,176 unique records: 24,106 normal, 81,070 attack) and the same split, scaling, and SMOTE steps are applied (test set: 21,036 records). These features and the TON_IoT focal-loss setting (Section 3.2) were selected on validation data (Section 5.14). Deduplication is keyed on the other 37 features, so the record set and the split do not depend on the text-derived features.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for CIC-IDS2017, carried over from preliminary experiments in which larger α values were unstable; α = 0.5 for TON_IoT, where attacks are the majority class, selected on validation data in Section 5.14)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99.51%</w:t>
            </w:r>
          </w:p>
        </w:tc>
        <w:tc>
          <w:tcPr>
            <w:tcW w:type="dxa" w:w="950"/>
            <w:tcMar>
              <w:top w:type="dxa" w:w="60"/>
              <w:left w:type="dxa" w:w="100"/>
              <w:bottom w:type="dxa" w:w="60"/>
              <w:right w:type="dxa" w:w="100"/>
            </w:tcMar>
            <w:vAlign w:val="center"/>
          </w:tcPr>
          <w:p>
            <w:pPr>
              <w:jc w:val="center"/>
            </w:pPr>
            <w:r>
              <w:rPr>
                <w:sz w:val="20"/>
                <w:szCs w:val="20"/>
              </w:rPr>
              <w:t xml:space="preserve">99.43%</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99.68%</w:t>
            </w:r>
          </w:p>
        </w:tc>
        <w:tc>
          <w:tcPr>
            <w:tcW w:type="dxa" w:w="850"/>
            <w:tcMar>
              <w:top w:type="dxa" w:w="60"/>
              <w:left w:type="dxa" w:w="100"/>
              <w:bottom w:type="dxa" w:w="60"/>
              <w:right w:type="dxa" w:w="100"/>
            </w:tcMar>
            <w:vAlign w:val="center"/>
          </w:tcPr>
          <w:p>
            <w:pPr>
              <w:jc w:val="center"/>
            </w:pPr>
            <w:r>
              <w:rPr>
                <w:sz w:val="20"/>
                <w:szCs w:val="20"/>
              </w:rPr>
              <w:t xml:space="preserve">1.93%</w:t>
            </w:r>
          </w:p>
        </w:tc>
        <w:tc>
          <w:tcPr>
            <w:tcW w:type="dxa" w:w="1900"/>
            <w:tcMar>
              <w:top w:type="dxa" w:w="60"/>
              <w:left w:type="dxa" w:w="100"/>
              <w:bottom w:type="dxa" w:w="60"/>
              <w:right w:type="dxa" w:w="100"/>
            </w:tcMar>
            <w:vAlign w:val="center"/>
          </w:tcPr>
          <w:p>
            <w:pPr>
              <w:jc w:val="center"/>
            </w:pPr>
            <w:r>
              <w:rPr>
                <w:sz w:val="20"/>
                <w:szCs w:val="20"/>
              </w:rPr>
              <w:t xml:space="preserve">10 / 16,215 (0.062%)</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98.94%</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900"/>
            <w:tcMar>
              <w:top w:type="dxa" w:w="60"/>
              <w:left w:type="dxa" w:w="100"/>
              <w:bottom w:type="dxa" w:w="60"/>
              <w:right w:type="dxa" w:w="100"/>
            </w:tcMar>
            <w:vAlign w:val="center"/>
          </w:tcPr>
          <w:p>
            <w:pPr>
              <w:jc w:val="center"/>
            </w:pPr>
            <w:r>
              <w:rPr>
                <w:sz w:val="20"/>
                <w:szCs w:val="20"/>
              </w:rPr>
              <w:t xml:space="preserve">99.41%</w:t>
            </w:r>
          </w:p>
        </w:tc>
        <w:tc>
          <w:tcPr>
            <w:tcW w:type="dxa" w:w="850"/>
            <w:tcMar>
              <w:top w:type="dxa" w:w="60"/>
              <w:left w:type="dxa" w:w="100"/>
              <w:bottom w:type="dxa" w:w="60"/>
              <w:right w:type="dxa" w:w="100"/>
            </w:tcMar>
            <w:vAlign w:val="center"/>
          </w:tcPr>
          <w:p>
            <w:pPr>
              <w:jc w:val="center"/>
            </w:pPr>
            <w:r>
              <w:rPr>
                <w:sz w:val="20"/>
                <w:szCs w:val="20"/>
              </w:rPr>
              <w:t xml:space="preserve">3.61%</w:t>
            </w:r>
          </w:p>
        </w:tc>
        <w:tc>
          <w:tcPr>
            <w:tcW w:type="dxa" w:w="1900"/>
            <w:tcMar>
              <w:top w:type="dxa" w:w="60"/>
              <w:left w:type="dxa" w:w="100"/>
              <w:bottom w:type="dxa" w:w="60"/>
              <w:right w:type="dxa" w:w="100"/>
            </w:tcMar>
            <w:vAlign w:val="center"/>
          </w:tcPr>
          <w:p>
            <w:pPr>
              <w:jc w:val="center"/>
            </w:pPr>
            <w:r>
              <w:rPr>
                <w:sz w:val="20"/>
                <w:szCs w:val="20"/>
              </w:rPr>
              <w:t xml:space="preserve">19 / 16,215 (0.12%)</w:t>
            </w:r>
          </w:p>
        </w:tc>
      </w:tr>
      <w:tr>
        <w:tc>
          <w:tcPr>
            <w:tcW w:type="dxa" w:w="2600"/>
            <w:tcMar>
              <w:top w:type="dxa" w:w="60"/>
              <w:left w:type="dxa" w:w="100"/>
              <w:bottom w:type="dxa" w:w="60"/>
              <w:right w:type="dxa" w:w="100"/>
            </w:tcMar>
            <w:vAlign w:val="center"/>
          </w:tcPr>
          <w:p>
            <w:pPr>
              <w:jc w:val="left"/>
            </w:pPr>
            <w:r>
              <w:rPr>
                <w:sz w:val="20"/>
                <w:szCs w:val="20"/>
              </w:rPr>
              <w:t xml:space="preserve">TON_IoT — federated, second training run</w:t>
            </w:r>
          </w:p>
        </w:tc>
        <w:tc>
          <w:tcPr>
            <w:tcW w:type="dxa" w:w="950"/>
            <w:tcMar>
              <w:top w:type="dxa" w:w="60"/>
              <w:left w:type="dxa" w:w="100"/>
              <w:bottom w:type="dxa" w:w="60"/>
              <w:right w:type="dxa" w:w="100"/>
            </w:tcMar>
            <w:vAlign w:val="center"/>
          </w:tcPr>
          <w:p>
            <w:pPr>
              <w:jc w:val="center"/>
            </w:pPr>
            <w:r>
              <w:rPr>
                <w:sz w:val="20"/>
                <w:szCs w:val="20"/>
              </w:rPr>
              <w:t xml:space="preserve">99.04%</w:t>
            </w:r>
          </w:p>
        </w:tc>
        <w:tc>
          <w:tcPr>
            <w:tcW w:type="dxa" w:w="950"/>
            <w:tcMar>
              <w:top w:type="dxa" w:w="60"/>
              <w:left w:type="dxa" w:w="100"/>
              <w:bottom w:type="dxa" w:w="60"/>
              <w:right w:type="dxa" w:w="100"/>
            </w:tcMar>
            <w:vAlign w:val="center"/>
          </w:tcPr>
          <w:p>
            <w:pPr>
              <w:jc w:val="center"/>
            </w:pPr>
            <w:r>
              <w:rPr>
                <w:sz w:val="20"/>
                <w:szCs w:val="20"/>
              </w:rPr>
              <w:t xml:space="preserve">98.91%</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99.38%</w:t>
            </w:r>
          </w:p>
        </w:tc>
        <w:tc>
          <w:tcPr>
            <w:tcW w:type="dxa" w:w="850"/>
            <w:tcMar>
              <w:top w:type="dxa" w:w="60"/>
              <w:left w:type="dxa" w:w="100"/>
              <w:bottom w:type="dxa" w:w="60"/>
              <w:right w:type="dxa" w:w="100"/>
            </w:tcMar>
            <w:vAlign w:val="center"/>
          </w:tcPr>
          <w:p>
            <w:pPr>
              <w:jc w:val="center"/>
            </w:pPr>
            <w:r>
              <w:rPr>
                <w:sz w:val="20"/>
                <w:szCs w:val="20"/>
              </w:rPr>
              <w:t xml:space="preserve">3.71%</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98.97%</w:t>
            </w:r>
          </w:p>
        </w:tc>
        <w:tc>
          <w:tcPr>
            <w:tcW w:type="dxa" w:w="950"/>
            <w:tcMar>
              <w:top w:type="dxa" w:w="60"/>
              <w:left w:type="dxa" w:w="100"/>
              <w:bottom w:type="dxa" w:w="60"/>
              <w:right w:type="dxa" w:w="100"/>
            </w:tcMar>
            <w:vAlign w:val="center"/>
          </w:tcPr>
          <w:p>
            <w:pPr>
              <w:jc w:val="center"/>
            </w:pPr>
            <w:r>
              <w:rPr>
                <w:sz w:val="20"/>
                <w:szCs w:val="20"/>
              </w:rPr>
              <w:t xml:space="preserve">98.82%</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99.34%</w:t>
            </w:r>
          </w:p>
        </w:tc>
        <w:tc>
          <w:tcPr>
            <w:tcW w:type="dxa" w:w="850"/>
            <w:tcMar>
              <w:top w:type="dxa" w:w="60"/>
              <w:left w:type="dxa" w:w="100"/>
              <w:bottom w:type="dxa" w:w="60"/>
              <w:right w:type="dxa" w:w="100"/>
            </w:tcMar>
            <w:vAlign w:val="center"/>
          </w:tcPr>
          <w:p>
            <w:pPr>
              <w:jc w:val="center"/>
            </w:pPr>
            <w:r>
              <w:rPr>
                <w:sz w:val="20"/>
                <w:szCs w:val="20"/>
              </w:rPr>
              <w:t xml:space="preserve">4.00%</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0.27 on TON_IoT. On both datasets the gap lies mostly in precision (FAR 6.84% vs. 5.92% and 3.61% vs. 1.93%); all four models detect more than 99.8% of attacks. A second, independent federated training run on TON_IoT reaches F1 99.38 (23 instead of 19 missed attacks), so run-to-run variation there is small compared with the effects we discuss. </w:t>
      </w:r>
      <w:r>
        <w:t xml:space="preserve">A fixed learning rate (10⁻³ throughout) does as well as the cosine schedule on both datasets: F1 87.20 vs. 85.70 on CIC-IDS2017 and 99.34 vs. 99.41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99.41%</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800"/>
            <w:tcMar>
              <w:top w:type="dxa" w:w="60"/>
              <w:left w:type="dxa" w:w="100"/>
              <w:bottom w:type="dxa" w:w="60"/>
              <w:right w:type="dxa" w:w="100"/>
            </w:tcMar>
            <w:vAlign w:val="center"/>
          </w:tcPr>
          <w:p>
            <w:pPr>
              <w:jc w:val="center"/>
            </w:pPr>
            <w:r>
              <w:rPr>
                <w:sz w:val="20"/>
                <w:szCs w:val="20"/>
              </w:rPr>
              <w:t xml:space="preserve">3.61%</w:t>
            </w:r>
          </w:p>
        </w:tc>
        <w:tc>
          <w:tcPr>
            <w:tcW w:type="dxa" w:w="1800"/>
            <w:tcMar>
              <w:top w:type="dxa" w:w="60"/>
              <w:left w:type="dxa" w:w="100"/>
              <w:bottom w:type="dxa" w:w="60"/>
              <w:right w:type="dxa" w:w="100"/>
            </w:tcMar>
            <w:vAlign w:val="center"/>
          </w:tcPr>
          <w:p>
            <w:pPr>
              <w:jc w:val="center"/>
            </w:pPr>
            <w:r>
              <w:rPr>
                <w:sz w:val="20"/>
                <w:szCs w:val="20"/>
              </w:rPr>
              <w:t xml:space="preserve">19 / 16,215 (0.12%)</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97.81%</w:t>
            </w:r>
          </w:p>
        </w:tc>
        <w:tc>
          <w:tcPr>
            <w:tcW w:type="dxa" w:w="800"/>
            <w:tcMar>
              <w:top w:type="dxa" w:w="60"/>
              <w:left w:type="dxa" w:w="100"/>
              <w:bottom w:type="dxa" w:w="60"/>
              <w:right w:type="dxa" w:w="100"/>
            </w:tcMar>
            <w:vAlign w:val="center"/>
          </w:tcPr>
          <w:p>
            <w:pPr>
              <w:jc w:val="center"/>
            </w:pPr>
            <w:r>
              <w:rPr>
                <w:sz w:val="20"/>
                <w:szCs w:val="20"/>
              </w:rPr>
              <w:t xml:space="preserve">98.60%</w:t>
            </w:r>
          </w:p>
        </w:tc>
        <w:tc>
          <w:tcPr>
            <w:tcW w:type="dxa" w:w="1000"/>
            <w:tcMar>
              <w:top w:type="dxa" w:w="60"/>
              <w:left w:type="dxa" w:w="100"/>
              <w:bottom w:type="dxa" w:w="60"/>
              <w:right w:type="dxa" w:w="100"/>
            </w:tcMar>
            <w:vAlign w:val="center"/>
          </w:tcPr>
          <w:p>
            <w:pPr>
              <w:jc w:val="center"/>
            </w:pPr>
            <w:r>
              <w:rPr>
                <w:sz w:val="20"/>
                <w:szCs w:val="20"/>
              </w:rPr>
              <w:t xml:space="preserve">99.99%</w:t>
            </w:r>
          </w:p>
        </w:tc>
        <w:tc>
          <w:tcPr>
            <w:tcW w:type="dxa" w:w="800"/>
            <w:tcMar>
              <w:top w:type="dxa" w:w="60"/>
              <w:left w:type="dxa" w:w="100"/>
              <w:bottom w:type="dxa" w:w="60"/>
              <w:right w:type="dxa" w:w="100"/>
            </w:tcMar>
            <w:vAlign w:val="center"/>
          </w:tcPr>
          <w:p>
            <w:pPr>
              <w:jc w:val="center"/>
            </w:pPr>
            <w:r>
              <w:rPr>
                <w:sz w:val="20"/>
                <w:szCs w:val="20"/>
              </w:rPr>
              <w:t xml:space="preserve">9.52%</w:t>
            </w:r>
          </w:p>
        </w:tc>
        <w:tc>
          <w:tcPr>
            <w:tcW w:type="dxa" w:w="1800"/>
            <w:tcMar>
              <w:top w:type="dxa" w:w="60"/>
              <w:left w:type="dxa" w:w="100"/>
              <w:bottom w:type="dxa" w:w="60"/>
              <w:right w:type="dxa" w:w="100"/>
            </w:tcMar>
            <w:vAlign w:val="center"/>
          </w:tcPr>
          <w:p>
            <w:pPr>
              <w:jc w:val="center"/>
            </w:pPr>
            <w:r>
              <w:rPr>
                <w:sz w:val="20"/>
                <w:szCs w:val="20"/>
              </w:rPr>
              <w:t xml:space="preserve">1 / 16,215 (0.006%)</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0.81 F1 on TON_IoT, where the Dirichlet model becomes recall-heavy: it misses a single attack, but FAR rises from 3.61% to 9.52%.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16,215</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732.4 KB</w:t>
            </w:r>
          </w:p>
        </w:tc>
        <w:tc>
          <w:tcPr>
            <w:tcW w:type="dxa" w:w="1300"/>
            <w:tcMar>
              <w:top w:type="dxa" w:w="60"/>
              <w:left w:type="dxa" w:w="100"/>
              <w:bottom w:type="dxa" w:w="60"/>
              <w:right w:type="dxa" w:w="100"/>
            </w:tcMar>
            <w:vAlign w:val="center"/>
          </w:tcPr>
          <w:p>
            <w:pPr>
              <w:jc w:val="center"/>
            </w:pPr>
            <w:r>
              <w:rPr>
                <w:sz w:val="20"/>
                <w:szCs w:val="20"/>
              </w:rPr>
              <w:t xml:space="preserve">99.41 / 3.61%</w:t>
            </w:r>
          </w:p>
        </w:tc>
        <w:tc>
          <w:tcPr>
            <w:tcW w:type="dxa" w:w="1200"/>
            <w:tcMar>
              <w:top w:type="dxa" w:w="60"/>
              <w:left w:type="dxa" w:w="100"/>
              <w:bottom w:type="dxa" w:w="60"/>
              <w:right w:type="dxa" w:w="100"/>
            </w:tcMar>
            <w:vAlign w:val="center"/>
          </w:tcPr>
          <w:p>
            <w:pPr>
              <w:jc w:val="center"/>
            </w:pPr>
            <w:r>
              <w:rPr>
                <w:sz w:val="20"/>
                <w:szCs w:val="20"/>
              </w:rPr>
              <w:t xml:space="preserve">19 (0.12%)</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209.4 KB</w:t>
            </w:r>
          </w:p>
        </w:tc>
        <w:tc>
          <w:tcPr>
            <w:tcW w:type="dxa" w:w="1300"/>
            <w:tcMar>
              <w:top w:type="dxa" w:w="60"/>
              <w:left w:type="dxa" w:w="100"/>
              <w:bottom w:type="dxa" w:w="60"/>
              <w:right w:type="dxa" w:w="100"/>
            </w:tcMar>
            <w:vAlign w:val="center"/>
          </w:tcPr>
          <w:p>
            <w:pPr>
              <w:jc w:val="center"/>
            </w:pPr>
            <w:r>
              <w:rPr>
                <w:sz w:val="20"/>
                <w:szCs w:val="20"/>
              </w:rPr>
              <w:t xml:space="preserve">98.96 / 3.86%</w:t>
            </w:r>
          </w:p>
        </w:tc>
        <w:tc>
          <w:tcPr>
            <w:tcW w:type="dxa" w:w="1200"/>
            <w:tcMar>
              <w:top w:type="dxa" w:w="60"/>
              <w:left w:type="dxa" w:w="100"/>
              <w:bottom w:type="dxa" w:w="60"/>
              <w:right w:type="dxa" w:w="100"/>
            </w:tcMar>
            <w:vAlign w:val="center"/>
          </w:tcPr>
          <w:p>
            <w:pPr>
              <w:jc w:val="center"/>
            </w:pPr>
            <w:r>
              <w:rPr>
                <w:sz w:val="20"/>
                <w:szCs w:val="20"/>
              </w:rPr>
              <w:t xml:space="preserve">153 (0.94%)</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95.30 / 30.20%</w:t>
            </w:r>
          </w:p>
        </w:tc>
        <w:tc>
          <w:tcPr>
            <w:tcW w:type="dxa" w:w="1200"/>
            <w:tcMar>
              <w:top w:type="dxa" w:w="60"/>
              <w:left w:type="dxa" w:w="100"/>
              <w:bottom w:type="dxa" w:w="60"/>
              <w:right w:type="dxa" w:w="100"/>
            </w:tcMar>
            <w:vAlign w:val="center"/>
          </w:tcPr>
          <w:p>
            <w:pPr>
              <w:jc w:val="center"/>
            </w:pPr>
            <w:r>
              <w:rPr>
                <w:sz w:val="20"/>
                <w:szCs w:val="20"/>
              </w:rPr>
              <w:t xml:space="preserve">129 (0.80%)</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90.20 / 13.23%</w:t>
            </w:r>
          </w:p>
        </w:tc>
        <w:tc>
          <w:tcPr>
            <w:tcW w:type="dxa" w:w="1200"/>
            <w:tcMar>
              <w:top w:type="dxa" w:w="60"/>
              <w:left w:type="dxa" w:w="100"/>
              <w:bottom w:type="dxa" w:w="60"/>
              <w:right w:type="dxa" w:w="100"/>
            </w:tcMar>
            <w:vAlign w:val="center"/>
          </w:tcPr>
          <w:p>
            <w:pPr>
              <w:jc w:val="center"/>
            </w:pPr>
            <w:r>
              <w:rPr>
                <w:sz w:val="20"/>
                <w:szCs w:val="20"/>
              </w:rPr>
              <w:t xml:space="preserve">2,369 (14.61%)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(base recipe)</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98.67 / 2.26%</w:t>
            </w:r>
          </w:p>
        </w:tc>
        <w:tc>
          <w:tcPr>
            <w:tcW w:type="dxa" w:w="1200"/>
            <w:tcMar>
              <w:top w:type="dxa" w:w="60"/>
              <w:left w:type="dxa" w:w="100"/>
              <w:bottom w:type="dxa" w:w="60"/>
              <w:right w:type="dxa" w:w="100"/>
            </w:tcMar>
            <w:vAlign w:val="center"/>
          </w:tcPr>
          <w:p>
            <w:pPr>
              <w:jc w:val="center"/>
            </w:pPr>
            <w:r>
              <w:rPr>
                <w:sz w:val="20"/>
                <w:szCs w:val="20"/>
              </w:rPr>
              <w:t xml:space="preserve">319 (1.97%)</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99.16 / 3.48%</w:t>
            </w:r>
          </w:p>
        </w:tc>
        <w:tc>
          <w:tcPr>
            <w:tcW w:type="dxa" w:w="1200"/>
            <w:tcMar>
              <w:top w:type="dxa" w:w="60"/>
              <w:left w:type="dxa" w:w="100"/>
              <w:bottom w:type="dxa" w:w="60"/>
              <w:right w:type="dxa" w:w="100"/>
            </w:tcMar>
            <w:vAlign w:val="center"/>
          </w:tcPr>
          <w:p>
            <w:pPr>
              <w:jc w:val="center"/>
            </w:pPr>
            <w:r>
              <w:rPr>
                <w:sz w:val="20"/>
                <w:szCs w:val="20"/>
              </w:rPr>
              <w:t xml:space="preserve">105 (0.65%)</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30% on TON_IoT). With fine-tuning and QAT fine-tuning on one client's local data, the resulting INT8 model is 65.4 KB on CIC-IDS2017 (802.5 / 65.4 = 12.27×) and 56.7 KB on TON_IoT (12.92×), and it stays close to the float federated model (F1 85.59 vs. 85.70 and 98.67 vs. 99.41). This CIC-IDS2017 model has 94.28% accuracy, 75.00% precision, and 99.66% Attack Recall. The QAT fine-tuning step matters on TON_IoT, where client-fine-tuned PTQ reaches only F1 90.20.</w:t>
      </w:r>
    </w:p>
    <w:p>
      <w:pPr>
        <w:spacing w:after="160"/>
      </w:pPr>
      <w:r>
        <w:t xml:space="preserve">Pooled fine-tuning scores higher on CIC-IDS2017 (F1 90.72), but only by shifting the operating point toward precision (FAR 2.98%): it misses 4,216 of 85,173 attacks (4.95%), against 291 for the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INT8 F1 (base recipe)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98.67</w:t>
            </w:r>
          </w:p>
        </w:tc>
        <w:tc>
          <w:tcPr>
            <w:tcW w:type="dxa" w:w="900"/>
            <w:tcMar>
              <w:top w:type="dxa" w:w="60"/>
              <w:left w:type="dxa" w:w="100"/>
              <w:bottom w:type="dxa" w:w="60"/>
              <w:right w:type="dxa" w:w="100"/>
            </w:tcMar>
            <w:vAlign w:val="center"/>
          </w:tcPr>
          <w:p>
            <w:pPr>
              <w:jc w:val="center"/>
            </w:pPr>
            <w:r>
              <w:rPr>
                <w:sz w:val="20"/>
                <w:szCs w:val="20"/>
              </w:rPr>
              <w:t xml:space="preserve">2.26%</w:t>
            </w:r>
          </w:p>
        </w:tc>
        <w:tc>
          <w:tcPr>
            <w:tcW w:type="dxa" w:w="2000"/>
            <w:tcMar>
              <w:top w:type="dxa" w:w="60"/>
              <w:left w:type="dxa" w:w="100"/>
              <w:bottom w:type="dxa" w:w="60"/>
              <w:right w:type="dxa" w:w="100"/>
            </w:tcMar>
            <w:vAlign w:val="center"/>
          </w:tcPr>
          <w:p>
            <w:pPr>
              <w:jc w:val="center"/>
            </w:pPr>
            <w:r>
              <w:rPr>
                <w:sz w:val="20"/>
                <w:szCs w:val="20"/>
              </w:rPr>
              <w:t xml:space="preserve">319 / 16,215 (1.97%)</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98.80</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248 / 16,215 (1.53%)</w:t>
            </w:r>
          </w:p>
        </w:tc>
      </w:tr>
    </w:tbl>
    <w:p>
      <w:pPr>
        <w:spacing w:after="240" w:before="80"/>
      </w:pPr>
      <w:r>
        <w:rPr>
          <w:i/>
          <w:iCs/>
          <w:sz w:val="20"/>
          <w:szCs w:val="20"/>
        </w:rPr>
        <w:t xml:space="preserve">Table 4. Compressed-model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degrades the TON_IoT model until, from 85%, it too predicts every record as an attack. With client fine-tuning, CIC-IDS2017 degrades gracefully: 30% pruning (112–126 KB) gives F1 87.6–89.7, 70% pruning (31 KB, 26×) gives 84.4–85.0, 85% (14 KB, 57×) gives 81.3–82.9, and 90% (9.9 KB, 81×) gives 78.0. PTQ and QAT fine-tuning track each other closely. On TON_IoT, client fine-tuning + QAT holds F1 between 98.65 and 98.74 all the way to 90% pruning (8.2 KB, 90× smaller than FP32), whereas client fine-tuning + PTQ stays between 87.7 and 91.5.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98.14%, F1 98.79, 166 of 16,215 attacks missed).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compression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98.4%</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85.7%</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(base recipe)</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98.0%</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91.1%</w:t>
            </w:r>
          </w:p>
        </w:tc>
        <w:tc>
          <w:tcPr>
            <w:tcW w:type="dxa" w:w="950"/>
            <w:tcMar>
              <w:top w:type="dxa" w:w="60"/>
              <w:left w:type="dxa" w:w="100"/>
              <w:bottom w:type="dxa" w:w="60"/>
              <w:right w:type="dxa" w:w="100"/>
            </w:tcMar>
            <w:vAlign w:val="center"/>
          </w:tcPr>
          <w:p>
            <w:pPr>
              <w:jc w:val="center"/>
            </w:pPr>
            <w:r>
              <w:rPr>
                <w:sz w:val="20"/>
                <w:szCs w:val="20"/>
              </w:rPr>
              <w:t xml:space="preserve">91.1%</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the pooled-fine-tuned model keeps 91.1% accuracy, but it uses server-held data and is therefore only an upper bound.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We deploy one model per dataset, chosen in Section 5.13 for recall priority: for CIC-IDS2017 the 112 KB INT8 model (30% pruning, distillation and QAT fine-tuning on clipped inputs, threshold 0.191 chosen on client data), and for TON_IoT the 57 KB INT8 model of the same recipe with federated fine-tuning (50% pruning, threshold 0.207). On the test split the CIC-IDS2017 model misses 27 of 85,173 attacks (0.032%) and flags 10.0% of benign flows, about one in ten; the TON_IoT model misses 12 of 16,215 attacks (0.074%) and flags 6.5% of benign records, about one in fifteen. For comparison, the base recipe of Table 3 at the fixed 0.3 threshold misses 291 of 85,173 CIC-IDS2017 attacks (FAR 6.82%) and 319 of 16,215 TON_IoT attacks (FAR 2.26%). The trade-off is therefore explicit: roughly 11–27 times fewer missed attacks for 1.5–2.9 times as many false alarms. A deployment with a fixed alert budget would choose the threshold on client data for that budget instead; Section 5.4 shows that the fine-tuning client's class mix shifts the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732 KB · 99.41</w:t>
            </w:r>
          </w:p>
        </w:tc>
        <w:tc>
          <w:tcPr>
            <w:tcW w:type="dxa" w:w="1450"/>
            <w:tcMar>
              <w:top w:type="dxa" w:w="60"/>
              <w:left w:type="dxa" w:w="100"/>
              <w:bottom w:type="dxa" w:w="60"/>
              <w:right w:type="dxa" w:w="100"/>
            </w:tcMar>
            <w:vAlign w:val="center"/>
          </w:tcPr>
          <w:p>
            <w:pPr>
              <w:jc w:val="center"/>
            </w:pPr>
            <w:r>
              <w:rPr>
                <w:sz w:val="20"/>
                <w:szCs w:val="20"/>
              </w:rPr>
              <w:t xml:space="preserve">208 KB · 99.42</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199 KB · 99.41</w:t>
            </w:r>
          </w:p>
        </w:tc>
        <w:tc>
          <w:tcPr>
            <w:tcW w:type="dxa" w:w="1450"/>
            <w:tcMar>
              <w:top w:type="dxa" w:w="60"/>
              <w:left w:type="dxa" w:w="100"/>
              <w:bottom w:type="dxa" w:w="60"/>
              <w:right w:type="dxa" w:w="100"/>
            </w:tcMar>
            <w:vAlign w:val="center"/>
          </w:tcPr>
          <w:p>
            <w:pPr>
              <w:jc w:val="center"/>
            </w:pPr>
            <w:r>
              <w:rPr>
                <w:sz w:val="20"/>
                <w:szCs w:val="20"/>
              </w:rPr>
              <w:t xml:space="preserve">61 KB · 99.43</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369 KB · 99.41</w:t>
            </w:r>
          </w:p>
        </w:tc>
        <w:tc>
          <w:tcPr>
            <w:tcW w:type="dxa" w:w="1450"/>
            <w:tcMar>
              <w:top w:type="dxa" w:w="60"/>
              <w:left w:type="dxa" w:w="100"/>
              <w:bottom w:type="dxa" w:w="60"/>
              <w:right w:type="dxa" w:w="100"/>
            </w:tcMar>
            <w:vAlign w:val="center"/>
          </w:tcPr>
          <w:p>
            <w:pPr>
              <w:jc w:val="center"/>
            </w:pPr>
            <w:r>
              <w:rPr>
                <w:sz w:val="20"/>
                <w:szCs w:val="20"/>
              </w:rPr>
              <w:t xml:space="preserve">106 KB · 99.42</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209 KB · 97.69</w:t>
            </w:r>
          </w:p>
        </w:tc>
        <w:tc>
          <w:tcPr>
            <w:tcW w:type="dxa" w:w="1450"/>
            <w:tcMar>
              <w:top w:type="dxa" w:w="60"/>
              <w:left w:type="dxa" w:w="100"/>
              <w:bottom w:type="dxa" w:w="60"/>
              <w:right w:type="dxa" w:w="100"/>
            </w:tcMar>
            <w:vAlign w:val="center"/>
          </w:tcPr>
          <w:p>
            <w:pPr>
              <w:jc w:val="center"/>
            </w:pPr>
            <w:r>
              <w:rPr>
                <w:sz w:val="20"/>
                <w:szCs w:val="20"/>
              </w:rPr>
              <w:t xml:space="preserve">66 KB · 90.20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220 KB · 99.40</w:t>
            </w:r>
          </w:p>
        </w:tc>
        <w:tc>
          <w:tcPr>
            <w:tcW w:type="dxa" w:w="1450"/>
            <w:tcMar>
              <w:top w:type="dxa" w:w="60"/>
              <w:left w:type="dxa" w:w="100"/>
              <w:bottom w:type="dxa" w:w="60"/>
              <w:right w:type="dxa" w:w="100"/>
            </w:tcMar>
            <w:vAlign w:val="center"/>
          </w:tcPr>
          <w:p>
            <w:pPr>
              <w:jc w:val="center"/>
            </w:pPr>
            <w:r>
              <w:rPr>
                <w:sz w:val="20"/>
                <w:szCs w:val="20"/>
              </w:rPr>
              <w:t xml:space="preserve">72 KB · 99.41</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(base recipe,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57 KB · 98.67</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3.8% and 13.2%;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1.7 F1 (federated model) and 9.2 F1 (pruned model) on TON_IoT, where the pruned model's FAR rises from 2.0% to 13.2%.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98.96 vs. 97.69). We therefore converted each federated model 45 more times, varying the calibration source (pooled data or any one of the four clients), the number of samples (100, 500, 2,000), and the random draw (three per setting). The source does not matter: for every source the median F1 is 98.97–99.36 on TON_IoT and 83.1–83.8 on CIC-IDS2017. The draw does (Table 7). On TON_IoT the same model ranges from F1 32.72 to 99.40, and on CIC-IDS2017 from 29.16 to 85.02. More calibration data makes it worse, not better: with 100 samples, 14 of 15 TON_IoT conversions are within one F1 point of FP32, with 2,000 samples only 5 of 15, and 7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99.36</w:t>
            </w:r>
          </w:p>
        </w:tc>
        <w:tc>
          <w:tcPr>
            <w:tcW w:type="dxa" w:w="1200"/>
            <w:tcMar>
              <w:top w:type="dxa" w:w="60"/>
              <w:left w:type="dxa" w:w="100"/>
              <w:bottom w:type="dxa" w:w="60"/>
              <w:right w:type="dxa" w:w="100"/>
            </w:tcMar>
            <w:vAlign w:val="center"/>
          </w:tcPr>
          <w:p>
            <w:pPr>
              <w:jc w:val="center"/>
            </w:pPr>
            <w:r>
              <w:rPr>
                <w:sz w:val="20"/>
                <w:szCs w:val="20"/>
              </w:rPr>
              <w:t xml:space="preserve">96.11</w:t>
            </w:r>
          </w:p>
        </w:tc>
        <w:tc>
          <w:tcPr>
            <w:tcW w:type="dxa" w:w="1500"/>
            <w:tcMar>
              <w:top w:type="dxa" w:w="60"/>
              <w:left w:type="dxa" w:w="100"/>
              <w:bottom w:type="dxa" w:w="60"/>
              <w:right w:type="dxa" w:w="100"/>
            </w:tcMar>
            <w:vAlign w:val="center"/>
          </w:tcPr>
          <w:p>
            <w:pPr>
              <w:jc w:val="center"/>
            </w:pPr>
            <w:r>
              <w:rPr>
                <w:sz w:val="20"/>
                <w:szCs w:val="20"/>
              </w:rPr>
              <w:t xml:space="preserve">14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99.37</w:t>
            </w:r>
          </w:p>
        </w:tc>
        <w:tc>
          <w:tcPr>
            <w:tcW w:type="dxa" w:w="1200"/>
            <w:tcMar>
              <w:top w:type="dxa" w:w="60"/>
              <w:left w:type="dxa" w:w="100"/>
              <w:bottom w:type="dxa" w:w="60"/>
              <w:right w:type="dxa" w:w="100"/>
            </w:tcMar>
            <w:vAlign w:val="center"/>
          </w:tcPr>
          <w:p>
            <w:pPr>
              <w:jc w:val="center"/>
            </w:pPr>
            <w:r>
              <w:rPr>
                <w:sz w:val="20"/>
                <w:szCs w:val="20"/>
              </w:rPr>
              <w:t xml:space="preserve">54.01</w:t>
            </w:r>
          </w:p>
        </w:tc>
        <w:tc>
          <w:tcPr>
            <w:tcW w:type="dxa" w:w="1500"/>
            <w:tcMar>
              <w:top w:type="dxa" w:w="60"/>
              <w:left w:type="dxa" w:w="100"/>
              <w:bottom w:type="dxa" w:w="60"/>
              <w:right w:type="dxa" w:w="100"/>
            </w:tcMar>
            <w:vAlign w:val="center"/>
          </w:tcPr>
          <w:p>
            <w:pPr>
              <w:jc w:val="center"/>
            </w:pPr>
            <w:r>
              <w:rPr>
                <w:sz w:val="20"/>
                <w:szCs w:val="20"/>
              </w:rPr>
              <w:t xml:space="preserve">13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97.68</w:t>
            </w:r>
          </w:p>
        </w:tc>
        <w:tc>
          <w:tcPr>
            <w:tcW w:type="dxa" w:w="1200"/>
            <w:tcMar>
              <w:top w:type="dxa" w:w="60"/>
              <w:left w:type="dxa" w:w="100"/>
              <w:bottom w:type="dxa" w:w="60"/>
              <w:right w:type="dxa" w:w="100"/>
            </w:tcMar>
            <w:vAlign w:val="center"/>
          </w:tcPr>
          <w:p>
            <w:pPr>
              <w:jc w:val="center"/>
            </w:pPr>
            <w:r>
              <w:rPr>
                <w:sz w:val="20"/>
                <w:szCs w:val="20"/>
              </w:rPr>
              <w:t xml:space="preserve">32.72</w:t>
            </w:r>
          </w:p>
        </w:tc>
        <w:tc>
          <w:tcPr>
            <w:tcW w:type="dxa" w:w="1500"/>
            <w:tcMar>
              <w:top w:type="dxa" w:w="60"/>
              <w:left w:type="dxa" w:w="100"/>
              <w:bottom w:type="dxa" w:w="60"/>
              <w:right w:type="dxa" w:w="100"/>
            </w:tcMar>
            <w:vAlign w:val="center"/>
          </w:tcPr>
          <w:p>
            <w:pPr>
              <w:jc w:val="center"/>
            </w:pPr>
            <w:r>
              <w:rPr>
                <w:sz w:val="20"/>
                <w:szCs w:val="20"/>
              </w:rPr>
              <w:t xml:space="preserve">5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99.19</w:t>
            </w:r>
          </w:p>
        </w:tc>
        <w:tc>
          <w:tcPr>
            <w:tcW w:type="dxa" w:w="1200"/>
            <w:tcMar>
              <w:top w:type="dxa" w:w="60"/>
              <w:left w:type="dxa" w:w="100"/>
              <w:bottom w:type="dxa" w:w="60"/>
              <w:right w:type="dxa" w:w="100"/>
            </w:tcMar>
            <w:vAlign w:val="center"/>
          </w:tcPr>
          <w:p>
            <w:pPr>
              <w:jc w:val="center"/>
            </w:pPr>
            <w:r>
              <w:rPr>
                <w:sz w:val="20"/>
                <w:szCs w:val="20"/>
              </w:rPr>
              <w:t xml:space="preserve">99.19</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99.41</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TON_IoT conversions with hidden-layer maxima near 400 reach only F1 33–75, and the worst CIC-IDS2017 conversion (F1 29.16) has a maximum of 9,609, against roughly 50–210 for most well-behaved conversions. The relation is not strictly monotonic (on TON_IoT, maxima of 142–165 already give F1 54–69, while one of 209 keeps 97.7),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99.19 for all 15 sets on TON_IoT (FP32 99.41) and 83.02–84.85 on CIC-IDS2017 (FP32 85.70), against 32.72–99.09 and 29.16–84.99 without clipping (Table 7). Clipping at ±10 works as well (TON_IoT 99.37–99.39), while ±3 is too tight for TON_IoT (F1 98.30–98.79).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base recipe with five different 10,000-sample fine-tuning draws from client 0 gives F1 98.79–99.51 on TON_IoT (PTQ of the same pruned models: 96.89–99.19)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66.4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99.46 / 99.37 / 99.05</w:t>
            </w:r>
          </w:p>
        </w:tc>
        <w:tc>
          <w:tcPr>
            <w:tcW w:type="dxa" w:w="1600"/>
            <w:tcMar>
              <w:top w:type="dxa" w:w="60"/>
              <w:left w:type="dxa" w:w="100"/>
              <w:bottom w:type="dxa" w:w="60"/>
              <w:right w:type="dxa" w:w="100"/>
            </w:tcMar>
            <w:vAlign w:val="center"/>
          </w:tcPr>
          <w:p>
            <w:pPr>
              <w:jc w:val="center"/>
            </w:pPr>
            <w:r>
              <w:rPr>
                <w:sz w:val="20"/>
                <w:szCs w:val="20"/>
              </w:rPr>
              <w:t xml:space="preserve">99.42 / 98.81 / 99.08</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24.8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99.42 / 99.13 / 98.96</w:t>
            </w:r>
          </w:p>
        </w:tc>
        <w:tc>
          <w:tcPr>
            <w:tcW w:type="dxa" w:w="1600"/>
            <w:tcMar>
              <w:top w:type="dxa" w:w="60"/>
              <w:left w:type="dxa" w:w="100"/>
              <w:bottom w:type="dxa" w:w="60"/>
              <w:right w:type="dxa" w:w="100"/>
            </w:tcMar>
            <w:vAlign w:val="center"/>
          </w:tcPr>
          <w:p>
            <w:pPr>
              <w:jc w:val="center"/>
            </w:pPr>
            <w:r>
              <w:rPr>
                <w:sz w:val="20"/>
                <w:szCs w:val="20"/>
              </w:rPr>
              <w:t xml:space="preserve">99.43 / 98.73 / 99.05</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11.6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99.20 / 99.21 / 98.78</w:t>
            </w:r>
          </w:p>
        </w:tc>
        <w:tc>
          <w:tcPr>
            <w:tcW w:type="dxa" w:w="1600"/>
            <w:tcMar>
              <w:top w:type="dxa" w:w="60"/>
              <w:left w:type="dxa" w:w="100"/>
              <w:bottom w:type="dxa" w:w="60"/>
              <w:right w:type="dxa" w:w="100"/>
            </w:tcMar>
            <w:vAlign w:val="center"/>
          </w:tcPr>
          <w:p>
            <w:pPr>
              <w:jc w:val="center"/>
            </w:pPr>
            <w:r>
              <w:rPr>
                <w:sz w:val="20"/>
                <w:szCs w:val="20"/>
              </w:rPr>
              <w:t xml:space="preserve">99.37 / 98.82 / 99.00</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732.4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99.41</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9.8 KB at 1/8 width).</w:t>
      </w:r>
    </w:p>
    <w:p>
      <w:pPr>
        <w:spacing w:after="160"/>
      </w:pPr>
      <w:r>
        <w:t xml:space="preserve">On TON_IoT, distillation gives the most compact models in this paper: the 1/8-width distilled student keeps F1 99.21 at 11.6 KB with plain INT8 PTQ (63× smaller than the FP32 federated model), and distillation makes the student more robust to INT8 PTQ (at most 0.29 F1 lost, against 0.55–0.70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base-recipe model of Table 3).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99.08–99.35 / 99.69–99.81% / 3.6–5.6%</w:t>
            </w:r>
          </w:p>
        </w:tc>
        <w:tc>
          <w:tcPr>
            <w:tcW w:type="dxa" w:w="1500"/>
            <w:tcMar>
              <w:top w:type="dxa" w:w="60"/>
              <w:left w:type="dxa" w:w="100"/>
              <w:bottom w:type="dxa" w:w="60"/>
              <w:right w:type="dxa" w:w="100"/>
            </w:tcMar>
            <w:vAlign w:val="center"/>
          </w:tcPr>
          <w:p>
            <w:pPr>
              <w:jc w:val="center"/>
            </w:pPr>
            <w:r>
              <w:rPr>
                <w:sz w:val="20"/>
                <w:szCs w:val="20"/>
              </w:rPr>
              <w:t xml:space="preserve">31–51 / 16,215 (0.19–0.31%)</w:t>
            </w:r>
          </w:p>
        </w:tc>
        <w:tc>
          <w:tcPr>
            <w:tcW w:type="dxa" w:w="1700"/>
            <w:tcMar>
              <w:top w:type="dxa" w:w="60"/>
              <w:left w:type="dxa" w:w="100"/>
              <w:bottom w:type="dxa" w:w="60"/>
              <w:right w:type="dxa" w:w="100"/>
            </w:tcMar>
            <w:vAlign w:val="center"/>
          </w:tcPr>
          <w:p>
            <w:pPr>
              <w:jc w:val="center"/>
            </w:pPr>
            <w:r>
              <w:rPr>
                <w:sz w:val="20"/>
                <w:szCs w:val="20"/>
              </w:rPr>
              <w:t xml:space="preserve">99.41 / 99.88% / 3.61%</w:t>
            </w:r>
          </w:p>
        </w:tc>
        <w:tc>
          <w:tcPr>
            <w:tcW w:type="dxa" w:w="1500"/>
            <w:tcMar>
              <w:top w:type="dxa" w:w="60"/>
              <w:left w:type="dxa" w:w="100"/>
              <w:bottom w:type="dxa" w:w="60"/>
              <w:right w:type="dxa" w:w="100"/>
            </w:tcMar>
            <w:vAlign w:val="center"/>
          </w:tcPr>
          <w:p>
            <w:pPr>
              <w:jc w:val="center"/>
            </w:pPr>
            <w:r>
              <w:rPr>
                <w:sz w:val="20"/>
                <w:szCs w:val="20"/>
              </w:rPr>
              <w:t xml:space="preserve">19 / 16,215 (0.12%)</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92.15 / 85.53% / 0.35%</w:t>
            </w:r>
          </w:p>
        </w:tc>
        <w:tc>
          <w:tcPr>
            <w:tcW w:type="dxa" w:w="1500"/>
            <w:tcMar>
              <w:top w:type="dxa" w:w="60"/>
              <w:left w:type="dxa" w:w="100"/>
              <w:bottom w:type="dxa" w:w="60"/>
              <w:right w:type="dxa" w:w="100"/>
            </w:tcMar>
            <w:vAlign w:val="center"/>
          </w:tcPr>
          <w:p>
            <w:pPr>
              <w:jc w:val="center"/>
            </w:pPr>
            <w:r>
              <w:rPr>
                <w:sz w:val="20"/>
                <w:szCs w:val="20"/>
              </w:rPr>
              <w:t xml:space="preserve">2,346 / 16,215 (14.47%)</w:t>
            </w:r>
          </w:p>
        </w:tc>
        <w:tc>
          <w:tcPr>
            <w:tcW w:type="dxa" w:w="1700"/>
            <w:tcMar>
              <w:top w:type="dxa" w:w="60"/>
              <w:left w:type="dxa" w:w="100"/>
              <w:bottom w:type="dxa" w:w="60"/>
              <w:right w:type="dxa" w:w="100"/>
            </w:tcMar>
            <w:vAlign w:val="center"/>
          </w:tcPr>
          <w:p>
            <w:pPr>
              <w:jc w:val="center"/>
            </w:pPr>
            <w:r>
              <w:rPr>
                <w:sz w:val="20"/>
                <w:szCs w:val="20"/>
              </w:rPr>
              <w:t xml:space="preserve">98.60 / 99.99% / 9.52%</w:t>
            </w:r>
          </w:p>
        </w:tc>
        <w:tc>
          <w:tcPr>
            <w:tcW w:type="dxa" w:w="1500"/>
            <w:tcMar>
              <w:top w:type="dxa" w:w="60"/>
              <w:left w:type="dxa" w:w="100"/>
              <w:bottom w:type="dxa" w:w="60"/>
              <w:right w:type="dxa" w:w="100"/>
            </w:tcMar>
            <w:vAlign w:val="center"/>
          </w:tcPr>
          <w:p>
            <w:pPr>
              <w:jc w:val="center"/>
            </w:pPr>
            <w:r>
              <w:rPr>
                <w:sz w:val="20"/>
                <w:szCs w:val="20"/>
              </w:rPr>
              <w:t xml:space="preserve">1 / 16,215 (0.006%)</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98.40 / 99.99% / 10.93%</w:t>
            </w:r>
          </w:p>
        </w:tc>
        <w:tc>
          <w:tcPr>
            <w:tcW w:type="dxa" w:w="1500"/>
            <w:tcMar>
              <w:top w:type="dxa" w:w="60"/>
              <w:left w:type="dxa" w:w="100"/>
              <w:bottom w:type="dxa" w:w="60"/>
              <w:right w:type="dxa" w:w="100"/>
            </w:tcMar>
            <w:vAlign w:val="center"/>
          </w:tcPr>
          <w:p>
            <w:pPr>
              <w:jc w:val="center"/>
            </w:pPr>
            <w:r>
              <w:rPr>
                <w:sz w:val="20"/>
                <w:szCs w:val="20"/>
              </w:rPr>
              <w:t xml:space="preserve">1 / 16,215 (0.006%)</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98.75 / 99.73% / 7.59%</w:t>
            </w:r>
          </w:p>
        </w:tc>
        <w:tc>
          <w:tcPr>
            <w:tcW w:type="dxa" w:w="1500"/>
            <w:tcMar>
              <w:top w:type="dxa" w:w="60"/>
              <w:left w:type="dxa" w:w="100"/>
              <w:bottom w:type="dxa" w:w="60"/>
              <w:right w:type="dxa" w:w="100"/>
            </w:tcMar>
            <w:vAlign w:val="center"/>
          </w:tcPr>
          <w:p>
            <w:pPr>
              <w:jc w:val="center"/>
            </w:pPr>
            <w:r>
              <w:rPr>
                <w:sz w:val="20"/>
                <w:szCs w:val="20"/>
              </w:rPr>
              <w:t xml:space="preserve">44 / 16,215 (0.27%)</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96.42 / 93.39% / 1.06%</w:t>
            </w:r>
          </w:p>
        </w:tc>
        <w:tc>
          <w:tcPr>
            <w:tcW w:type="dxa" w:w="1500"/>
            <w:tcMar>
              <w:top w:type="dxa" w:w="60"/>
              <w:left w:type="dxa" w:w="100"/>
              <w:bottom w:type="dxa" w:w="60"/>
              <w:right w:type="dxa" w:w="100"/>
            </w:tcMar>
            <w:vAlign w:val="center"/>
          </w:tcPr>
          <w:p>
            <w:pPr>
              <w:jc w:val="center"/>
            </w:pPr>
            <w:r>
              <w:rPr>
                <w:sz w:val="20"/>
                <w:szCs w:val="20"/>
              </w:rPr>
              <w:t xml:space="preserve">1,072 / 16,215 (6.61%)</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16,215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85.53% and client 3 (8.5%) 93.39%. On the same partitions the federated model detects 99.83% (CIC-IDS2017) and 99.99% (TON_IoT). The attack-heavy TON_IoT client 1 (92.8% attacks) gains little: alone it flags 10.9% of benign records, the federated Dirichlet model 9.5%.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732 / 803</w:t>
            </w:r>
          </w:p>
        </w:tc>
        <w:tc>
          <w:tcPr>
            <w:tcW w:type="dxa" w:w="1250"/>
            <w:tcMar>
              <w:top w:type="dxa" w:w="60"/>
              <w:left w:type="dxa" w:w="100"/>
              <w:bottom w:type="dxa" w:w="60"/>
              <w:right w:type="dxa" w:w="100"/>
            </w:tcMar>
            <w:vAlign w:val="center"/>
          </w:tcPr>
          <w:p>
            <w:pPr>
              <w:jc w:val="center"/>
            </w:pPr>
            <w:r>
              <w:rPr>
                <w:sz w:val="20"/>
                <w:szCs w:val="20"/>
              </w:rPr>
              <w:t xml:space="preserve">684 / 755</w:t>
            </w:r>
          </w:p>
        </w:tc>
        <w:tc>
          <w:tcPr>
            <w:tcW w:type="dxa" w:w="1500"/>
            <w:tcMar>
              <w:top w:type="dxa" w:w="60"/>
              <w:left w:type="dxa" w:w="100"/>
              <w:bottom w:type="dxa" w:w="60"/>
              <w:right w:type="dxa" w:w="100"/>
            </w:tcMar>
            <w:vAlign w:val="center"/>
          </w:tcPr>
          <w:p>
            <w:pPr>
              <w:jc w:val="center"/>
            </w:pPr>
            <w:r>
              <w:rPr>
                <w:sz w:val="20"/>
                <w:szCs w:val="20"/>
              </w:rPr>
              <w:t xml:space="preserve">99.41</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99.10 (98.92–99.40)</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99.18 (99.18–99.19)</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131 / 99</w:t>
            </w:r>
          </w:p>
        </w:tc>
        <w:tc>
          <w:tcPr>
            <w:tcW w:type="dxa" w:w="1500"/>
            <w:tcMar>
              <w:top w:type="dxa" w:w="60"/>
              <w:left w:type="dxa" w:w="100"/>
              <w:bottom w:type="dxa" w:w="60"/>
              <w:right w:type="dxa" w:w="100"/>
            </w:tcMar>
            <w:vAlign w:val="center"/>
          </w:tcPr>
          <w:p>
            <w:pPr>
              <w:jc w:val="center"/>
            </w:pPr>
            <w:r>
              <w:rPr>
                <w:sz w:val="20"/>
                <w:szCs w:val="20"/>
              </w:rPr>
              <w:t xml:space="preserve">99.22 (99.07–99.52)</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98.32 (96.89–99.19)</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(99.40–99.44)</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(base recipe)</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99.12 (98.89–99.51)</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35</w:t>
            </w:r>
          </w:p>
        </w:tc>
        <w:tc>
          <w:tcPr>
            <w:tcW w:type="dxa" w:w="1500"/>
            <w:tcMar>
              <w:top w:type="dxa" w:w="60"/>
              <w:left w:type="dxa" w:w="100"/>
              <w:bottom w:type="dxa" w:w="60"/>
              <w:right w:type="dxa" w:w="100"/>
            </w:tcMar>
            <w:vAlign w:val="center"/>
          </w:tcPr>
          <w:p>
            <w:pPr>
              <w:jc w:val="center"/>
            </w:pPr>
            <w:r>
              <w:rPr>
                <w:sz w:val="20"/>
                <w:szCs w:val="20"/>
              </w:rPr>
              <w:t xml:space="preserve">99.49 (99.47–99.51)</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99.19 (99.01–99.49)</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(99.34–99.47)</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34</w:t>
            </w:r>
          </w:p>
        </w:tc>
        <w:tc>
          <w:tcPr>
            <w:tcW w:type="dxa" w:w="1500"/>
            <w:tcMar>
              <w:top w:type="dxa" w:w="60"/>
              <w:left w:type="dxa" w:w="100"/>
              <w:bottom w:type="dxa" w:w="60"/>
              <w:right w:type="dxa" w:w="100"/>
            </w:tcMar>
            <w:vAlign w:val="center"/>
          </w:tcPr>
          <w:p>
            <w:pPr>
              <w:jc w:val="center"/>
            </w:pPr>
            <w:r>
              <w:rPr>
                <w:sz w:val="20"/>
                <w:szCs w:val="20"/>
              </w:rPr>
              <w:t xml:space="preserve">99.17 (98.97–99.48)</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127 / 128</w:t>
            </w:r>
          </w:p>
        </w:tc>
        <w:tc>
          <w:tcPr>
            <w:tcW w:type="dxa" w:w="1500"/>
            <w:tcMar>
              <w:top w:type="dxa" w:w="60"/>
              <w:left w:type="dxa" w:w="100"/>
              <w:bottom w:type="dxa" w:w="60"/>
              <w:right w:type="dxa" w:w="100"/>
            </w:tcMar>
            <w:vAlign w:val="center"/>
          </w:tcPr>
          <w:p>
            <w:pPr>
              <w:jc w:val="center"/>
            </w:pPr>
            <w:r>
              <w:rPr>
                <w:sz w:val="20"/>
                <w:szCs w:val="20"/>
              </w:rPr>
              <w:t xml:space="preserve">99.47 (99.46–99.47)</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104 / 90</w:t>
            </w:r>
          </w:p>
        </w:tc>
        <w:tc>
          <w:tcPr>
            <w:tcW w:type="dxa" w:w="1500"/>
            <w:tcMar>
              <w:top w:type="dxa" w:w="60"/>
              <w:left w:type="dxa" w:w="100"/>
              <w:bottom w:type="dxa" w:w="60"/>
              <w:right w:type="dxa" w:w="100"/>
            </w:tcMar>
            <w:vAlign w:val="center"/>
          </w:tcPr>
          <w:p>
            <w:pPr>
              <w:jc w:val="center"/>
            </w:pPr>
            <w:r>
              <w:rPr>
                <w:sz w:val="20"/>
                <w:szCs w:val="20"/>
              </w:rPr>
              <w:t xml:space="preserve">99.18 (99.03–99.42)</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72 / 76</w:t>
            </w:r>
          </w:p>
        </w:tc>
        <w:tc>
          <w:tcPr>
            <w:tcW w:type="dxa" w:w="1500"/>
            <w:tcMar>
              <w:top w:type="dxa" w:w="60"/>
              <w:left w:type="dxa" w:w="100"/>
              <w:bottom w:type="dxa" w:w="60"/>
              <w:right w:type="dxa" w:w="100"/>
            </w:tcMar>
            <w:vAlign w:val="center"/>
          </w:tcPr>
          <w:p>
            <w:pPr>
              <w:jc w:val="center"/>
            </w:pPr>
            <w:r>
              <w:rPr>
                <w:sz w:val="20"/>
                <w:szCs w:val="20"/>
              </w:rPr>
              <w:t xml:space="preserve">99.38 (99.36–99.39)</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58 / 57</w:t>
            </w:r>
          </w:p>
        </w:tc>
        <w:tc>
          <w:tcPr>
            <w:tcW w:type="dxa" w:w="1500"/>
            <w:tcMar>
              <w:top w:type="dxa" w:w="60"/>
              <w:left w:type="dxa" w:w="100"/>
              <w:bottom w:type="dxa" w:w="60"/>
              <w:right w:type="dxa" w:w="100"/>
            </w:tcMar>
            <w:vAlign w:val="center"/>
          </w:tcPr>
          <w:p>
            <w:pPr>
              <w:jc w:val="center"/>
            </w:pPr>
            <w:r>
              <w:rPr>
                <w:sz w:val="20"/>
                <w:szCs w:val="20"/>
              </w:rPr>
              <w:t xml:space="preserve">99.03 (98.82–99.43)</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80 / 62</w:t>
            </w:r>
          </w:p>
        </w:tc>
        <w:tc>
          <w:tcPr>
            <w:tcW w:type="dxa" w:w="1500"/>
            <w:tcMar>
              <w:top w:type="dxa" w:w="60"/>
              <w:left w:type="dxa" w:w="100"/>
              <w:bottom w:type="dxa" w:w="60"/>
              <w:right w:type="dxa" w:w="100"/>
            </w:tcMar>
            <w:vAlign w:val="center"/>
          </w:tcPr>
          <w:p>
            <w:pPr>
              <w:jc w:val="center"/>
            </w:pPr>
            <w:r>
              <w:rPr>
                <w:sz w:val="20"/>
                <w:szCs w:val="20"/>
              </w:rPr>
              <w:t xml:space="preserve">99.06 (98.86–99.46)</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56 / 65</w:t>
            </w:r>
          </w:p>
        </w:tc>
        <w:tc>
          <w:tcPr>
            <w:tcW w:type="dxa" w:w="1250"/>
            <w:tcMar>
              <w:top w:type="dxa" w:w="60"/>
              <w:left w:type="dxa" w:w="100"/>
              <w:bottom w:type="dxa" w:w="60"/>
              <w:right w:type="dxa" w:w="100"/>
            </w:tcMar>
            <w:vAlign w:val="center"/>
          </w:tcPr>
          <w:p>
            <w:pPr>
              <w:jc w:val="center"/>
            </w:pPr>
            <w:r>
              <w:rPr>
                <w:sz w:val="20"/>
                <w:szCs w:val="20"/>
              </w:rPr>
              <w:t xml:space="preserve">33 / 31</w:t>
            </w:r>
          </w:p>
        </w:tc>
        <w:tc>
          <w:tcPr>
            <w:tcW w:type="dxa" w:w="1500"/>
            <w:tcMar>
              <w:top w:type="dxa" w:w="60"/>
              <w:left w:type="dxa" w:w="100"/>
              <w:bottom w:type="dxa" w:w="60"/>
              <w:right w:type="dxa" w:w="100"/>
            </w:tcMar>
            <w:vAlign w:val="center"/>
          </w:tcPr>
          <w:p>
            <w:pPr>
              <w:jc w:val="center"/>
            </w:pPr>
            <w:r>
              <w:rPr>
                <w:sz w:val="20"/>
                <w:szCs w:val="20"/>
              </w:rPr>
              <w:t xml:space="preserve">99.01 (98.74–99.46)</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base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(189–227 KB) even at 80% sparsity; it only reduces the gzip size (to 57–80 KB at 80%), which matters for transferring model updates but not for flash. Adding magnitude pruning on top of structured pruning likewise leaves flash at 56–65 KB and reduces gzip to 31–33 KB. PQAT keeps the target sparsity (50% and 80%; slightly more on CIC-IDS2017, where INT8 rounding adds zeros), whereas standard QAT after 80% magnitude pruning lets part of the pruned weights grow back (to 60%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96.89–99.19 → 99.40–99.44), and QAT fine-tuning on clipped inputs slightly exceeds the FP32 model's F1 at 57 KB (99.49 vs. 99.41, range 99.47–99.51) while missing 84 attacks on average against 174 for the base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base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(99.17 vs. 99.12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base recipe, and distillation fine-tuning (fewest missed attacks) is a choice of operating point, which should be made with a validation-set threshold rather than by picking a pipeline (Section 5.13). On TON_IoT, structured pruning followed by QAT fine-tuning on clipped inputs is the best 57 KB pipeline at the fixed threshold and loses nothing in F1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base-recipe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base-recipe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Without distillation, the compressed models are so confident that a few client-validation attacks score near zero; reaching a 99.9% recall target on client data then pushes their threshold to almost zero and FAR to about 37%, with or without clipped inputs. Distilled students keep their scores in the middle of the range, and their thresholds (0.17–0.25) carry over to the test split. With federated fine-tuning the 57 KB model is also stable across draws: at a 99.99% client-validation target it misses 12 of 16,215 attacks (at most 14 over draws) at a 6.6% FAR (at most 6.8%), and at a 99.9% target 30 at 3.7%. Client-only fine-tuning misses fewer attacks on average (4) but its FAR varies between 7.2% and 17.3% across draws. The FP32 federated model reaches 9 missed attacks at a 4.7% FAR, so the 57 KB model pays roughly two FAR points at a similar miss count. XSS accounts for about half of the remaining misses. On TON_IoT the selected thresholds undershoot the recall targets on the test split (99.82% for a 99.9% target, 99.93% for 99.99% with federated fine-tuning),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3.61%</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0.259</w:t>
            </w:r>
          </w:p>
        </w:tc>
        <w:tc>
          <w:tcPr>
            <w:tcW w:type="dxa" w:w="1500"/>
            <w:tcMar>
              <w:top w:type="dxa" w:w="60"/>
              <w:left w:type="dxa" w:w="100"/>
              <w:bottom w:type="dxa" w:w="60"/>
              <w:right w:type="dxa" w:w="100"/>
            </w:tcMar>
            <w:vAlign w:val="center"/>
          </w:tcPr>
          <w:p>
            <w:pPr>
              <w:jc w:val="center"/>
            </w:pPr>
            <w:r>
              <w:rPr>
                <w:sz w:val="20"/>
                <w:szCs w:val="20"/>
              </w:rPr>
              <w:t xml:space="preserve">9 / 16,215</w:t>
            </w:r>
          </w:p>
        </w:tc>
        <w:tc>
          <w:tcPr>
            <w:tcW w:type="dxa" w:w="900"/>
            <w:tcMar>
              <w:top w:type="dxa" w:w="60"/>
              <w:left w:type="dxa" w:w="100"/>
              <w:bottom w:type="dxa" w:w="60"/>
              <w:right w:type="dxa" w:w="100"/>
            </w:tcMar>
            <w:vAlign w:val="center"/>
          </w:tcPr>
          <w:p>
            <w:pPr>
              <w:jc w:val="center"/>
            </w:pPr>
            <w:r>
              <w:rPr>
                <w:sz w:val="20"/>
                <w:szCs w:val="20"/>
              </w:rPr>
              <w:t xml:space="preserve">0.056%</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4.71%</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168 / 16,215</w:t>
            </w:r>
          </w:p>
        </w:tc>
        <w:tc>
          <w:tcPr>
            <w:tcW w:type="dxa" w:w="900"/>
            <w:tcMar>
              <w:top w:type="dxa" w:w="60"/>
              <w:left w:type="dxa" w:w="100"/>
              <w:bottom w:type="dxa" w:w="60"/>
              <w:right w:type="dxa" w:w="100"/>
            </w:tcMar>
            <w:vAlign w:val="center"/>
          </w:tcPr>
          <w:p>
            <w:pPr>
              <w:jc w:val="center"/>
            </w:pPr>
            <w:r>
              <w:rPr>
                <w:sz w:val="20"/>
                <w:szCs w:val="20"/>
              </w:rPr>
              <w:t xml:space="preserve">1.04%</w:t>
            </w:r>
          </w:p>
        </w:tc>
        <w:tc>
          <w:tcPr>
            <w:tcW w:type="dxa" w:w="900"/>
            <w:tcMar>
              <w:top w:type="dxa" w:w="60"/>
              <w:left w:type="dxa" w:w="100"/>
              <w:bottom w:type="dxa" w:w="60"/>
              <w:right w:type="dxa" w:w="100"/>
            </w:tcMar>
            <w:vAlign w:val="center"/>
          </w:tcPr>
          <w:p>
            <w:pPr>
              <w:jc w:val="center"/>
            </w:pPr>
            <w:r>
              <w:rPr>
                <w:sz w:val="20"/>
                <w:szCs w:val="20"/>
              </w:rPr>
              <w:t xml:space="preserve">274</w:t>
            </w:r>
          </w:p>
        </w:tc>
        <w:tc>
          <w:tcPr>
            <w:tcW w:type="dxa" w:w="800"/>
            <w:tcMar>
              <w:top w:type="dxa" w:w="60"/>
              <w:left w:type="dxa" w:w="100"/>
              <w:bottom w:type="dxa" w:w="60"/>
              <w:right w:type="dxa" w:w="100"/>
            </w:tcMar>
            <w:vAlign w:val="center"/>
          </w:tcPr>
          <w:p>
            <w:pPr>
              <w:jc w:val="center"/>
            </w:pPr>
            <w:r>
              <w:rPr>
                <w:sz w:val="20"/>
                <w:szCs w:val="20"/>
              </w:rPr>
              <w:t xml:space="preserve">6.45%</w:t>
            </w:r>
          </w:p>
        </w:tc>
      </w:tr>
      <w:tr>
        <w:tc>
          <w:tcPr>
            <w:tcW w:type="dxa" w:w="2700"/>
            <w:tcMar>
              <w:top w:type="dxa" w:w="60"/>
              <w:left w:type="dxa" w:w="100"/>
              <w:bottom w:type="dxa" w:w="60"/>
              <w:right w:type="dxa" w:w="100"/>
            </w:tcMar>
            <w:vAlign w:val="center"/>
          </w:tcPr>
          <w:p>
            <w:pPr>
              <w:jc w:val="left"/>
            </w:pPr>
            <w:r>
              <w:rPr>
                <w:sz w:val="20"/>
                <w:szCs w:val="20"/>
              </w:rPr>
              <w:t xml:space="preserve">57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15 / 16,215</w:t>
            </w:r>
          </w:p>
        </w:tc>
        <w:tc>
          <w:tcPr>
            <w:tcW w:type="dxa" w:w="900"/>
            <w:tcMar>
              <w:top w:type="dxa" w:w="60"/>
              <w:left w:type="dxa" w:w="100"/>
              <w:bottom w:type="dxa" w:w="60"/>
              <w:right w:type="dxa" w:w="100"/>
            </w:tcMar>
            <w:vAlign w:val="center"/>
          </w:tcPr>
          <w:p>
            <w:pPr>
              <w:jc w:val="center"/>
            </w:pPr>
            <w:r>
              <w:rPr>
                <w:sz w:val="20"/>
                <w:szCs w:val="20"/>
              </w:rPr>
              <w:t xml:space="preserve">0.094%</w:t>
            </w:r>
          </w:p>
        </w:tc>
        <w:tc>
          <w:tcPr>
            <w:tcW w:type="dxa" w:w="900"/>
            <w:tcMar>
              <w:top w:type="dxa" w:w="60"/>
              <w:left w:type="dxa" w:w="100"/>
              <w:bottom w:type="dxa" w:w="60"/>
              <w:right w:type="dxa" w:w="100"/>
            </w:tcMar>
            <w:vAlign w:val="center"/>
          </w:tcPr>
          <w:p>
            <w:pPr>
              <w:jc w:val="center"/>
            </w:pPr>
            <w:r>
              <w:rPr>
                <w:sz w:val="20"/>
                <w:szCs w:val="20"/>
              </w:rPr>
              <w:t xml:space="preserve">16</w:t>
            </w:r>
          </w:p>
        </w:tc>
        <w:tc>
          <w:tcPr>
            <w:tcW w:type="dxa" w:w="800"/>
            <w:tcMar>
              <w:top w:type="dxa" w:w="60"/>
              <w:left w:type="dxa" w:w="100"/>
              <w:bottom w:type="dxa" w:w="60"/>
              <w:right w:type="dxa" w:w="100"/>
            </w:tcMar>
            <w:vAlign w:val="center"/>
          </w:tcPr>
          <w:p>
            <w:pPr>
              <w:jc w:val="center"/>
            </w:pPr>
            <w:r>
              <w:rPr>
                <w:sz w:val="20"/>
                <w:szCs w:val="20"/>
              </w:rPr>
              <w:t xml:space="preserve">37.65%</w:t>
            </w:r>
          </w:p>
        </w:tc>
      </w:tr>
      <w:tr>
        <w:tc>
          <w:tcPr>
            <w:tcW w:type="dxa" w:w="2700"/>
            <w:tcMar>
              <w:top w:type="dxa" w:w="60"/>
              <w:left w:type="dxa" w:w="100"/>
              <w:bottom w:type="dxa" w:w="60"/>
              <w:right w:type="dxa" w:w="100"/>
            </w:tcMar>
            <w:vAlign w:val="center"/>
          </w:tcPr>
          <w:p>
            <w:pPr>
              <w:jc w:val="left"/>
            </w:pPr>
            <w:r>
              <w:rPr>
                <w:sz w:val="20"/>
                <w:szCs w:val="20"/>
              </w:rPr>
              <w:t xml:space="preserve">57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0.023</w:t>
            </w:r>
          </w:p>
        </w:tc>
        <w:tc>
          <w:tcPr>
            <w:tcW w:type="dxa" w:w="1500"/>
            <w:tcMar>
              <w:top w:type="dxa" w:w="60"/>
              <w:left w:type="dxa" w:w="100"/>
              <w:bottom w:type="dxa" w:w="60"/>
              <w:right w:type="dxa" w:w="100"/>
            </w:tcMar>
            <w:vAlign w:val="center"/>
          </w:tcPr>
          <w:p>
            <w:pPr>
              <w:jc w:val="center"/>
            </w:pPr>
            <w:r>
              <w:rPr>
                <w:sz w:val="20"/>
                <w:szCs w:val="20"/>
              </w:rPr>
              <w:t xml:space="preserve">13 / 16,215</w:t>
            </w:r>
          </w:p>
        </w:tc>
        <w:tc>
          <w:tcPr>
            <w:tcW w:type="dxa" w:w="900"/>
            <w:tcMar>
              <w:top w:type="dxa" w:w="60"/>
              <w:left w:type="dxa" w:w="100"/>
              <w:bottom w:type="dxa" w:w="60"/>
              <w:right w:type="dxa" w:w="100"/>
            </w:tcMar>
            <w:vAlign w:val="center"/>
          </w:tcPr>
          <w:p>
            <w:pPr>
              <w:jc w:val="center"/>
            </w:pPr>
            <w:r>
              <w:rPr>
                <w:sz w:val="20"/>
                <w:szCs w:val="20"/>
              </w:rPr>
              <w:t xml:space="preserve">0.080%</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37.25%</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0.249</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4.91%</w:t>
            </w:r>
          </w:p>
        </w:tc>
      </w:tr>
      <w:tr>
        <w:tc>
          <w:tcPr>
            <w:tcW w:type="dxa" w:w="2700"/>
            <w:tcMar>
              <w:top w:type="dxa" w:w="60"/>
              <w:left w:type="dxa" w:w="100"/>
              <w:bottom w:type="dxa" w:w="60"/>
              <w:right w:type="dxa" w:w="100"/>
            </w:tcMar>
            <w:vAlign w:val="center"/>
          </w:tcPr>
          <w:p>
            <w:pPr>
              <w:jc w:val="left"/>
            </w:pPr>
            <w:r>
              <w:rPr>
                <w:sz w:val="20"/>
                <w:szCs w:val="20"/>
              </w:rPr>
              <w:t xml:space="preserve">57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0.165</w:t>
            </w:r>
          </w:p>
        </w:tc>
        <w:tc>
          <w:tcPr>
            <w:tcW w:type="dxa" w:w="1500"/>
            <w:tcMar>
              <w:top w:type="dxa" w:w="60"/>
              <w:left w:type="dxa" w:w="100"/>
              <w:bottom w:type="dxa" w:w="60"/>
              <w:right w:type="dxa" w:w="100"/>
            </w:tcMar>
            <w:vAlign w:val="center"/>
          </w:tcPr>
          <w:p>
            <w:pPr>
              <w:jc w:val="center"/>
            </w:pPr>
            <w:r>
              <w:rPr>
                <w:sz w:val="20"/>
                <w:szCs w:val="20"/>
              </w:rPr>
              <w:t xml:space="preserve">4 / 16,215</w:t>
            </w:r>
          </w:p>
        </w:tc>
        <w:tc>
          <w:tcPr>
            <w:tcW w:type="dxa" w:w="900"/>
            <w:tcMar>
              <w:top w:type="dxa" w:w="60"/>
              <w:left w:type="dxa" w:w="100"/>
              <w:bottom w:type="dxa" w:w="60"/>
              <w:right w:type="dxa" w:w="100"/>
            </w:tcMar>
            <w:vAlign w:val="center"/>
          </w:tcPr>
          <w:p>
            <w:pPr>
              <w:jc w:val="center"/>
            </w:pPr>
            <w:r>
              <w:rPr>
                <w:sz w:val="20"/>
                <w:szCs w:val="20"/>
              </w:rPr>
              <w:t xml:space="preserve">0.023%</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12.30%</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0.244</w:t>
            </w:r>
          </w:p>
        </w:tc>
        <w:tc>
          <w:tcPr>
            <w:tcW w:type="dxa" w:w="1500"/>
            <w:tcMar>
              <w:top w:type="dxa" w:w="60"/>
              <w:left w:type="dxa" w:w="100"/>
              <w:bottom w:type="dxa" w:w="60"/>
              <w:right w:type="dxa" w:w="100"/>
            </w:tcMar>
            <w:vAlign w:val="center"/>
          </w:tcPr>
          <w:p>
            <w:pPr>
              <w:jc w:val="center"/>
            </w:pPr>
            <w:r>
              <w:rPr>
                <w:sz w:val="20"/>
                <w:szCs w:val="20"/>
              </w:rPr>
              <w:t xml:space="preserve">30 / 16,215</w:t>
            </w:r>
          </w:p>
        </w:tc>
        <w:tc>
          <w:tcPr>
            <w:tcW w:type="dxa" w:w="900"/>
            <w:tcMar>
              <w:top w:type="dxa" w:w="60"/>
              <w:left w:type="dxa" w:w="100"/>
              <w:bottom w:type="dxa" w:w="60"/>
              <w:right w:type="dxa" w:w="100"/>
            </w:tcMar>
            <w:vAlign w:val="center"/>
          </w:tcPr>
          <w:p>
            <w:pPr>
              <w:jc w:val="center"/>
            </w:pPr>
            <w:r>
              <w:rPr>
                <w:sz w:val="20"/>
                <w:szCs w:val="20"/>
              </w:rPr>
              <w:t xml:space="preserve">0.19%</w:t>
            </w:r>
          </w:p>
        </w:tc>
        <w:tc>
          <w:tcPr>
            <w:tcW w:type="dxa" w:w="900"/>
            <w:tcMar>
              <w:top w:type="dxa" w:w="60"/>
              <w:left w:type="dxa" w:w="100"/>
              <w:bottom w:type="dxa" w:w="60"/>
              <w:right w:type="dxa" w:w="100"/>
            </w:tcMar>
            <w:vAlign w:val="center"/>
          </w:tcPr>
          <w:p>
            <w:pPr>
              <w:jc w:val="center"/>
            </w:pPr>
            <w:r>
              <w:rPr>
                <w:sz w:val="20"/>
                <w:szCs w:val="20"/>
              </w:rPr>
              <w:t xml:space="preserve">32</w:t>
            </w:r>
          </w:p>
        </w:tc>
        <w:tc>
          <w:tcPr>
            <w:tcW w:type="dxa" w:w="800"/>
            <w:tcMar>
              <w:top w:type="dxa" w:w="60"/>
              <w:left w:type="dxa" w:w="100"/>
              <w:bottom w:type="dxa" w:w="60"/>
              <w:right w:type="dxa" w:w="100"/>
            </w:tcMar>
            <w:vAlign w:val="center"/>
          </w:tcPr>
          <w:p>
            <w:pPr>
              <w:jc w:val="center"/>
            </w:pPr>
            <w:r>
              <w:rPr>
                <w:sz w:val="20"/>
                <w:szCs w:val="20"/>
              </w:rPr>
              <w:t xml:space="preserve">3.68%</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0.215</w:t>
            </w:r>
          </w:p>
        </w:tc>
        <w:tc>
          <w:tcPr>
            <w:tcW w:type="dxa" w:w="1500"/>
            <w:tcMar>
              <w:top w:type="dxa" w:w="60"/>
              <w:left w:type="dxa" w:w="100"/>
              <w:bottom w:type="dxa" w:w="60"/>
              <w:right w:type="dxa" w:w="100"/>
            </w:tcMar>
            <w:vAlign w:val="center"/>
          </w:tcPr>
          <w:p>
            <w:pPr>
              <w:jc w:val="center"/>
            </w:pPr>
            <w:r>
              <w:rPr>
                <w:sz w:val="20"/>
                <w:szCs w:val="20"/>
              </w:rPr>
              <w:t xml:space="preserve">18 / 16,215</w:t>
            </w:r>
          </w:p>
        </w:tc>
        <w:tc>
          <w:tcPr>
            <w:tcW w:type="dxa" w:w="900"/>
            <w:tcMar>
              <w:top w:type="dxa" w:w="60"/>
              <w:left w:type="dxa" w:w="100"/>
              <w:bottom w:type="dxa" w:w="60"/>
              <w:right w:type="dxa" w:w="100"/>
            </w:tcMar>
            <w:vAlign w:val="center"/>
          </w:tcPr>
          <w:p>
            <w:pPr>
              <w:jc w:val="center"/>
            </w:pPr>
            <w:r>
              <w:rPr>
                <w:sz w:val="20"/>
                <w:szCs w:val="20"/>
              </w:rPr>
              <w:t xml:space="preserve">0.11%</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5.61%</w:t>
            </w:r>
          </w:p>
        </w:tc>
      </w:tr>
      <w:tr>
        <w:tc>
          <w:tcPr>
            <w:tcW w:type="dxa" w:w="2700"/>
            <w:tcMar>
              <w:top w:type="dxa" w:w="60"/>
              <w:left w:type="dxa" w:w="100"/>
              <w:bottom w:type="dxa" w:w="60"/>
              <w:right w:type="dxa" w:w="100"/>
            </w:tcMar>
            <w:vAlign w:val="center"/>
          </w:tcPr>
          <w:p>
            <w:pPr>
              <w:jc w:val="left"/>
            </w:pPr>
            <w:r>
              <w:rPr>
                <w:sz w:val="20"/>
                <w:szCs w:val="20"/>
              </w:rPr>
              <w:t xml:space="preserve">57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0.203</w:t>
            </w:r>
          </w:p>
        </w:tc>
        <w:tc>
          <w:tcPr>
            <w:tcW w:type="dxa" w:w="1500"/>
            <w:tcMar>
              <w:top w:type="dxa" w:w="60"/>
              <w:left w:type="dxa" w:w="100"/>
              <w:bottom w:type="dxa" w:w="60"/>
              <w:right w:type="dxa" w:w="100"/>
            </w:tcMar>
            <w:vAlign w:val="center"/>
          </w:tcPr>
          <w:p>
            <w:pPr>
              <w:jc w:val="center"/>
            </w:pPr>
            <w:r>
              <w:rPr>
                <w:sz w:val="20"/>
                <w:szCs w:val="20"/>
              </w:rPr>
              <w:t xml:space="preserve">12 / 16,215</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14</w:t>
            </w:r>
          </w:p>
        </w:tc>
        <w:tc>
          <w:tcPr>
            <w:tcW w:type="dxa" w:w="800"/>
            <w:tcMar>
              <w:top w:type="dxa" w:w="60"/>
              <w:left w:type="dxa" w:w="100"/>
              <w:bottom w:type="dxa" w:w="60"/>
              <w:right w:type="dxa" w:w="100"/>
            </w:tcMar>
            <w:vAlign w:val="center"/>
          </w:tcPr>
          <w:p>
            <w:pPr>
              <w:jc w:val="center"/>
            </w:pPr>
            <w:r>
              <w:rPr>
                <w:sz w:val="20"/>
                <w:szCs w:val="20"/>
              </w:rPr>
              <w:t xml:space="preserve">6.61%</w:t>
            </w:r>
          </w:p>
        </w:tc>
      </w:tr>
      <w:tr>
        <w:tc>
          <w:tcPr>
            <w:tcW w:type="dxa" w:w="2700"/>
            <w:tcMar>
              <w:top w:type="dxa" w:w="60"/>
              <w:left w:type="dxa" w:w="100"/>
              <w:bottom w:type="dxa" w:w="60"/>
              <w:right w:type="dxa" w:w="100"/>
            </w:tcMar>
            <w:vAlign w:val="center"/>
          </w:tcPr>
          <w:p>
            <w:pPr>
              <w:jc w:val="left"/>
            </w:pPr>
            <w:r>
              <w:rPr>
                <w:sz w:val="20"/>
                <w:szCs w:val="20"/>
              </w:rPr>
              <w:t xml:space="preserve">100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0.186</w:t>
            </w:r>
          </w:p>
        </w:tc>
        <w:tc>
          <w:tcPr>
            <w:tcW w:type="dxa" w:w="1500"/>
            <w:tcMar>
              <w:top w:type="dxa" w:w="60"/>
              <w:left w:type="dxa" w:w="100"/>
              <w:bottom w:type="dxa" w:w="60"/>
              <w:right w:type="dxa" w:w="100"/>
            </w:tcMar>
            <w:vAlign w:val="center"/>
          </w:tcPr>
          <w:p>
            <w:pPr>
              <w:jc w:val="center"/>
            </w:pPr>
            <w:r>
              <w:rPr>
                <w:sz w:val="20"/>
                <w:szCs w:val="20"/>
              </w:rPr>
              <w:t xml:space="preserve">5 / 16,215</w:t>
            </w:r>
          </w:p>
        </w:tc>
        <w:tc>
          <w:tcPr>
            <w:tcW w:type="dxa" w:w="900"/>
            <w:tcMar>
              <w:top w:type="dxa" w:w="60"/>
              <w:left w:type="dxa" w:w="100"/>
              <w:bottom w:type="dxa" w:w="60"/>
              <w:right w:type="dxa" w:w="100"/>
            </w:tcMar>
            <w:vAlign w:val="center"/>
          </w:tcPr>
          <w:p>
            <w:pPr>
              <w:jc w:val="center"/>
            </w:pPr>
            <w:r>
              <w:rPr>
                <w:sz w:val="20"/>
                <w:szCs w:val="20"/>
              </w:rPr>
              <w:t xml:space="preserve">0.031%</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9.07%</w:t>
            </w:r>
          </w:p>
        </w:tc>
      </w:tr>
    </w:tbl>
    <w:p>
      <w:pPr>
        <w:spacing w:after="240" w:before="80"/>
      </w:pPr>
      <w:r>
        <w:rPr>
          <w:i/>
          <w:iCs/>
          <w:sz w:val="20"/>
          <w:szCs w:val="20"/>
        </w:rPr>
        <w:t xml:space="preserve">Table 13. Recall-priority deployment on TON_IoT (16,215 test attacks), same procedure as Table 11; the client validation set is 8,000 held-out samples of client 0.</w:t>
      </w:r>
    </w:p>
    <w:p>
      <w:pPr>
        <w:spacing w:after="160"/>
      </w:pPr>
      <w:r>
        <w:t xml:space="preserve">For a recall-priority deployment we therefore recommend one recipe for both datasets: distillation from the federated model, QAT fine-tuning on clipped inputs with federated fine-tuning across clients, and a threshold chosen on client-held data for the required recall. On a 65 KB budget for CIC-IDS2017 the price is about one benign flow in nine raising an alert; where 112 KB of flash is available, 30% pruning lowers that to about one in ten at the same recall and keeps the rare Heartbleed attacks. On TON_IoT the 57 KB model misses 12 of 16,215 attacks at about one false alarm in fifteen benign records. We deploy the CIC-IDS2017 112 KB model and the TON_IoT 57 KB federated-fine-tuned model (first fine-tuning draw of each; Section 5.8) and benchmark them on the ESP32 (Section 6.1).</w:t>
      </w:r>
    </w:p>
    <w:p>
      <w:pPr>
        <w:pStyle w:val="Heading2"/>
        <w:spacing w:after="140" w:before="260"/>
      </w:pPr>
      <w:r>
        <w:t xml:space="preserve">5.14 How the TON_IoT Recipe Was Chosen</w:t>
      </w:r>
    </w:p>
    <w:p>
      <w:pPr>
        <w:spacing w:after="160"/>
      </w:pPr>
      <w:r>
        <w:t xml:space="preserve">Our first TON_IoT runs reused three settings from CIC-IDS2017 without tuning them: focal α = 0.35 down-weights the attack class, which on TON_IoT is the majority; SMOTE therefore synthesizes benign rather than attack records; and the DNS query and URI fields were dropped entirely (37 features). We trained eight variants of the federated model with 10% of the training split held out and selected among them only on that validation set, by the false-alarm rate at the threshold that reaches 99.9% validation recall (Table 14). The test split was not used for selection, and all TON_IoT results in this paper use the selected recipe.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000"/>
        <w:gridCol w:w="1900"/>
        <w:gridCol w:w="10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Variant (TON_IoT, federated, 60 rounds)</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FAR at 99.9% val. recall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F1 at 0.3</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val. attacks at 0.3 (of 6,485)</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PR-AUC</w:t>
            </w:r>
          </w:p>
        </w:tc>
      </w:tr>
      <w:tr>
        <w:tc>
          <w:tcPr>
            <w:tcW w:type="dxa" w:w="3600"/>
            <w:tcMar>
              <w:top w:type="dxa" w:w="60"/>
              <w:left w:type="dxa" w:w="100"/>
              <w:bottom w:type="dxa" w:w="60"/>
              <w:right w:type="dxa" w:w="100"/>
            </w:tcMar>
            <w:vAlign w:val="center"/>
          </w:tcPr>
          <w:p>
            <w:pPr>
              <w:jc w:val="left"/>
            </w:pPr>
            <w:r>
              <w:rPr>
                <w:sz w:val="20"/>
                <w:szCs w:val="20"/>
              </w:rPr>
              <w:t xml:space="preserve">Initial recipe (37 features, α = 0.35, SMOTE)</w:t>
            </w:r>
          </w:p>
        </w:tc>
        <w:tc>
          <w:tcPr>
            <w:tcW w:type="dxa" w:w="1500"/>
            <w:tcMar>
              <w:top w:type="dxa" w:w="60"/>
              <w:left w:type="dxa" w:w="100"/>
              <w:bottom w:type="dxa" w:w="60"/>
              <w:right w:type="dxa" w:w="100"/>
            </w:tcMar>
            <w:vAlign w:val="center"/>
          </w:tcPr>
          <w:p>
            <w:pPr>
              <w:jc w:val="center"/>
            </w:pPr>
            <w:r>
              <w:rPr>
                <w:sz w:val="20"/>
                <w:szCs w:val="20"/>
              </w:rPr>
              <w:t xml:space="preserve">6.84%</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18</w:t>
            </w:r>
          </w:p>
        </w:tc>
        <w:tc>
          <w:tcPr>
            <w:tcW w:type="dxa" w:w="1000"/>
            <w:tcMar>
              <w:top w:type="dxa" w:w="60"/>
              <w:left w:type="dxa" w:w="100"/>
              <w:bottom w:type="dxa" w:w="60"/>
              <w:right w:type="dxa" w:w="100"/>
            </w:tcMar>
            <w:vAlign w:val="center"/>
          </w:tcPr>
          <w:p>
            <w:pPr>
              <w:jc w:val="center"/>
            </w:pPr>
            <w:r>
              <w:rPr>
                <w:sz w:val="20"/>
                <w:szCs w:val="20"/>
              </w:rPr>
              <w:t xml:space="preserve">0.99932</w:t>
            </w:r>
          </w:p>
        </w:tc>
      </w:tr>
      <w:tr>
        <w:tc>
          <w:tcPr>
            <w:tcW w:type="dxa" w:w="3600"/>
            <w:tcMar>
              <w:top w:type="dxa" w:w="60"/>
              <w:left w:type="dxa" w:w="100"/>
              <w:bottom w:type="dxa" w:w="60"/>
              <w:right w:type="dxa" w:w="100"/>
            </w:tcMar>
            <w:vAlign w:val="center"/>
          </w:tcPr>
          <w:p>
            <w:pPr>
              <w:jc w:val="left"/>
            </w:pPr>
            <w:r>
              <w:rPr>
                <w:sz w:val="20"/>
                <w:szCs w:val="20"/>
              </w:rPr>
              <w:t xml:space="preserve">Focal α = 0.5</w:t>
            </w:r>
          </w:p>
        </w:tc>
        <w:tc>
          <w:tcPr>
            <w:tcW w:type="dxa" w:w="1500"/>
            <w:tcMar>
              <w:top w:type="dxa" w:w="60"/>
              <w:left w:type="dxa" w:w="100"/>
              <w:bottom w:type="dxa" w:w="60"/>
              <w:right w:type="dxa" w:w="100"/>
            </w:tcMar>
            <w:vAlign w:val="center"/>
          </w:tcPr>
          <w:p>
            <w:pPr>
              <w:jc w:val="center"/>
            </w:pPr>
            <w:r>
              <w:rPr>
                <w:sz w:val="20"/>
                <w:szCs w:val="20"/>
              </w:rPr>
              <w:t xml:space="preserve">3.78%</w:t>
            </w:r>
          </w:p>
        </w:tc>
        <w:tc>
          <w:tcPr>
            <w:tcW w:type="dxa" w:w="1000"/>
            <w:tcMar>
              <w:top w:type="dxa" w:w="60"/>
              <w:left w:type="dxa" w:w="100"/>
              <w:bottom w:type="dxa" w:w="60"/>
              <w:right w:type="dxa" w:w="100"/>
            </w:tcMar>
            <w:vAlign w:val="center"/>
          </w:tcPr>
          <w:p>
            <w:pPr>
              <w:jc w:val="center"/>
            </w:pPr>
            <w:r>
              <w:rPr>
                <w:sz w:val="20"/>
                <w:szCs w:val="20"/>
              </w:rPr>
              <w:t xml:space="preserve">99.35</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0.99941</w:t>
            </w:r>
          </w:p>
        </w:tc>
      </w:tr>
      <w:tr>
        <w:tc>
          <w:tcPr>
            <w:tcW w:type="dxa" w:w="3600"/>
            <w:tcMar>
              <w:top w:type="dxa" w:w="60"/>
              <w:left w:type="dxa" w:w="100"/>
              <w:bottom w:type="dxa" w:w="60"/>
              <w:right w:type="dxa" w:w="100"/>
            </w:tcMar>
            <w:vAlign w:val="center"/>
          </w:tcPr>
          <w:p>
            <w:pPr>
              <w:jc w:val="left"/>
            </w:pPr>
            <w:r>
              <w:rPr>
                <w:sz w:val="20"/>
                <w:szCs w:val="20"/>
              </w:rPr>
              <w:t xml:space="preserve">Focal α = 0.65</w:t>
            </w:r>
          </w:p>
        </w:tc>
        <w:tc>
          <w:tcPr>
            <w:tcW w:type="dxa" w:w="1500"/>
            <w:tcMar>
              <w:top w:type="dxa" w:w="60"/>
              <w:left w:type="dxa" w:w="100"/>
              <w:bottom w:type="dxa" w:w="60"/>
              <w:right w:type="dxa" w:w="100"/>
            </w:tcMar>
            <w:vAlign w:val="center"/>
          </w:tcPr>
          <w:p>
            <w:pPr>
              <w:jc w:val="center"/>
            </w:pPr>
            <w:r>
              <w:rPr>
                <w:sz w:val="20"/>
                <w:szCs w:val="20"/>
              </w:rPr>
              <w:t xml:space="preserve">7.72%</w:t>
            </w:r>
          </w:p>
        </w:tc>
        <w:tc>
          <w:tcPr>
            <w:tcW w:type="dxa" w:w="1000"/>
            <w:tcMar>
              <w:top w:type="dxa" w:w="60"/>
              <w:left w:type="dxa" w:w="100"/>
              <w:bottom w:type="dxa" w:w="60"/>
              <w:right w:type="dxa" w:w="100"/>
            </w:tcMar>
            <w:vAlign w:val="center"/>
          </w:tcPr>
          <w:p>
            <w:pPr>
              <w:jc w:val="center"/>
            </w:pPr>
            <w:r>
              <w:rPr>
                <w:sz w:val="20"/>
                <w:szCs w:val="20"/>
              </w:rPr>
              <w:t xml:space="preserve">99.06</w:t>
            </w:r>
          </w:p>
        </w:tc>
        <w:tc>
          <w:tcPr>
            <w:tcW w:type="dxa" w:w="1900"/>
            <w:tcMar>
              <w:top w:type="dxa" w:w="60"/>
              <w:left w:type="dxa" w:w="100"/>
              <w:bottom w:type="dxa" w:w="60"/>
              <w:right w:type="dxa" w:w="100"/>
            </w:tcMar>
            <w:vAlign w:val="center"/>
          </w:tcPr>
          <w:p>
            <w:pPr>
              <w:jc w:val="center"/>
            </w:pPr>
            <w:r>
              <w:rPr>
                <w:sz w:val="20"/>
                <w:szCs w:val="20"/>
              </w:rPr>
              <w:t xml:space="preserve">8</w:t>
            </w:r>
          </w:p>
        </w:tc>
        <w:tc>
          <w:tcPr>
            <w:tcW w:type="dxa" w:w="1000"/>
            <w:tcMar>
              <w:top w:type="dxa" w:w="60"/>
              <w:left w:type="dxa" w:w="100"/>
              <w:bottom w:type="dxa" w:w="60"/>
              <w:right w:type="dxa" w:w="100"/>
            </w:tcMar>
            <w:vAlign w:val="center"/>
          </w:tcPr>
          <w:p>
            <w:pPr>
              <w:jc w:val="center"/>
            </w:pPr>
            <w:r>
              <w:rPr>
                <w:sz w:val="20"/>
                <w:szCs w:val="20"/>
              </w:rPr>
              <w:t xml:space="preserve">0.99927</w:t>
            </w:r>
          </w:p>
        </w:tc>
      </w:tr>
      <w:tr>
        <w:tc>
          <w:tcPr>
            <w:tcW w:type="dxa" w:w="3600"/>
            <w:tcMar>
              <w:top w:type="dxa" w:w="60"/>
              <w:left w:type="dxa" w:w="100"/>
              <w:bottom w:type="dxa" w:w="60"/>
              <w:right w:type="dxa" w:w="100"/>
            </w:tcMar>
            <w:vAlign w:val="center"/>
          </w:tcPr>
          <w:p>
            <w:pPr>
              <w:jc w:val="left"/>
            </w:pPr>
            <w:r>
              <w:rPr>
                <w:sz w:val="20"/>
                <w:szCs w:val="20"/>
              </w:rPr>
              <w:t xml:space="preserve">No SMOTE</w:t>
            </w:r>
          </w:p>
        </w:tc>
        <w:tc>
          <w:tcPr>
            <w:tcW w:type="dxa" w:w="1500"/>
            <w:tcMar>
              <w:top w:type="dxa" w:w="60"/>
              <w:left w:type="dxa" w:w="100"/>
              <w:bottom w:type="dxa" w:w="60"/>
              <w:right w:type="dxa" w:w="100"/>
            </w:tcMar>
            <w:vAlign w:val="center"/>
          </w:tcPr>
          <w:p>
            <w:pPr>
              <w:jc w:val="center"/>
            </w:pPr>
            <w:r>
              <w:rPr>
                <w:sz w:val="20"/>
                <w:szCs w:val="20"/>
              </w:rPr>
              <w:t xml:space="preserve">4.30%</w:t>
            </w:r>
          </w:p>
        </w:tc>
        <w:tc>
          <w:tcPr>
            <w:tcW w:type="dxa" w:w="1000"/>
            <w:tcMar>
              <w:top w:type="dxa" w:w="60"/>
              <w:left w:type="dxa" w:w="100"/>
              <w:bottom w:type="dxa" w:w="60"/>
              <w:right w:type="dxa" w:w="100"/>
            </w:tcMar>
            <w:vAlign w:val="center"/>
          </w:tcPr>
          <w:p>
            <w:pPr>
              <w:jc w:val="center"/>
            </w:pPr>
            <w:r>
              <w:rPr>
                <w:sz w:val="20"/>
                <w:szCs w:val="20"/>
              </w:rPr>
              <w:t xml:space="preserve">99.28</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0.99957</w:t>
            </w:r>
          </w:p>
        </w:tc>
      </w:tr>
      <w:tr>
        <w:tc>
          <w:tcPr>
            <w:tcW w:type="dxa" w:w="3600"/>
            <w:tcMar>
              <w:top w:type="dxa" w:w="60"/>
              <w:left w:type="dxa" w:w="100"/>
              <w:bottom w:type="dxa" w:w="60"/>
              <w:right w:type="dxa" w:w="100"/>
            </w:tcMar>
            <w:vAlign w:val="center"/>
          </w:tcPr>
          <w:p>
            <w:pPr>
              <w:jc w:val="left"/>
            </w:pPr>
            <w:r>
              <w:rPr>
                <w:sz w:val="20"/>
                <w:szCs w:val="20"/>
              </w:rPr>
              <w:t xml:space="preserve">Text-derived features (43 features)</w:t>
            </w:r>
          </w:p>
        </w:tc>
        <w:tc>
          <w:tcPr>
            <w:tcW w:type="dxa" w:w="1500"/>
            <w:tcMar>
              <w:top w:type="dxa" w:w="60"/>
              <w:left w:type="dxa" w:w="100"/>
              <w:bottom w:type="dxa" w:w="60"/>
              <w:right w:type="dxa" w:w="100"/>
            </w:tcMar>
            <w:vAlign w:val="center"/>
          </w:tcPr>
          <w:p>
            <w:pPr>
              <w:jc w:val="center"/>
            </w:pPr>
            <w:r>
              <w:rPr>
                <w:sz w:val="20"/>
                <w:szCs w:val="20"/>
              </w:rPr>
              <w:t xml:space="preserve">3.21%</w:t>
            </w:r>
          </w:p>
        </w:tc>
        <w:tc>
          <w:tcPr>
            <w:tcW w:type="dxa" w:w="1000"/>
            <w:tcMar>
              <w:top w:type="dxa" w:w="60"/>
              <w:left w:type="dxa" w:w="100"/>
              <w:bottom w:type="dxa" w:w="60"/>
              <w:right w:type="dxa" w:w="100"/>
            </w:tcMar>
            <w:vAlign w:val="center"/>
          </w:tcPr>
          <w:p>
            <w:pPr>
              <w:jc w:val="center"/>
            </w:pPr>
            <w:r>
              <w:rPr>
                <w:sz w:val="20"/>
                <w:szCs w:val="20"/>
              </w:rPr>
              <w:t xml:space="preserve">99.45</w:t>
            </w:r>
          </w:p>
        </w:tc>
        <w:tc>
          <w:tcPr>
            <w:tcW w:type="dxa" w:w="1900"/>
            <w:tcMar>
              <w:top w:type="dxa" w:w="60"/>
              <w:left w:type="dxa" w:w="100"/>
              <w:bottom w:type="dxa" w:w="60"/>
              <w:right w:type="dxa" w:w="100"/>
            </w:tcMar>
            <w:vAlign w:val="center"/>
          </w:tcPr>
          <w:p>
            <w:pPr>
              <w:jc w:val="center"/>
            </w:pPr>
            <w:r>
              <w:rPr>
                <w:sz w:val="20"/>
                <w:szCs w:val="20"/>
              </w:rPr>
              <w:t xml:space="preserve">6</w:t>
            </w:r>
          </w:p>
        </w:tc>
        <w:tc>
          <w:tcPr>
            <w:tcW w:type="dxa" w:w="1000"/>
            <w:tcMar>
              <w:top w:type="dxa" w:w="60"/>
              <w:left w:type="dxa" w:w="100"/>
              <w:bottom w:type="dxa" w:w="60"/>
              <w:right w:type="dxa" w:w="100"/>
            </w:tcMar>
            <w:vAlign w:val="center"/>
          </w:tcPr>
          <w:p>
            <w:pPr>
              <w:jc w:val="center"/>
            </w:pPr>
            <w:r>
              <w:rPr>
                <w:sz w:val="20"/>
                <w:szCs w:val="20"/>
              </w:rPr>
              <w:t xml:space="preserve">0.99942</w:t>
            </w:r>
          </w:p>
        </w:tc>
      </w:tr>
      <w:tr>
        <w:tc>
          <w:tcPr>
            <w:tcW w:type="dxa" w:w="3600"/>
            <w:tcMar>
              <w:top w:type="dxa" w:w="60"/>
              <w:left w:type="dxa" w:w="100"/>
              <w:bottom w:type="dxa" w:w="60"/>
              <w:right w:type="dxa" w:w="100"/>
            </w:tcMar>
            <w:vAlign w:val="center"/>
          </w:tcPr>
          <w:p>
            <w:pPr>
              <w:jc w:val="left"/>
            </w:pPr>
            <w:r>
              <w:rPr>
                <w:sz w:val="20"/>
                <w:szCs w:val="20"/>
              </w:rPr>
              <w:t xml:space="preserve">100 rounds</w:t>
            </w:r>
          </w:p>
        </w:tc>
        <w:tc>
          <w:tcPr>
            <w:tcW w:type="dxa" w:w="1500"/>
            <w:tcMar>
              <w:top w:type="dxa" w:w="60"/>
              <w:left w:type="dxa" w:w="100"/>
              <w:bottom w:type="dxa" w:w="60"/>
              <w:right w:type="dxa" w:w="100"/>
            </w:tcMar>
            <w:vAlign w:val="center"/>
          </w:tcPr>
          <w:p>
            <w:pPr>
              <w:jc w:val="center"/>
            </w:pPr>
            <w:r>
              <w:rPr>
                <w:sz w:val="20"/>
                <w:szCs w:val="20"/>
              </w:rPr>
              <w:t xml:space="preserve">5.18%</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14</w:t>
            </w:r>
          </w:p>
        </w:tc>
        <w:tc>
          <w:tcPr>
            <w:tcW w:type="dxa" w:w="1000"/>
            <w:tcMar>
              <w:top w:type="dxa" w:w="60"/>
              <w:left w:type="dxa" w:w="100"/>
              <w:bottom w:type="dxa" w:w="60"/>
              <w:right w:type="dxa" w:w="100"/>
            </w:tcMar>
            <w:vAlign w:val="center"/>
          </w:tcPr>
          <w:p>
            <w:pPr>
              <w:jc w:val="center"/>
            </w:pPr>
            <w:r>
              <w:rPr>
                <w:sz w:val="20"/>
                <w:szCs w:val="20"/>
              </w:rPr>
              <w:t xml:space="preserve">0.99806</w:t>
            </w:r>
          </w:p>
        </w:tc>
      </w:tr>
      <w:tr>
        <w:tc>
          <w:tcPr>
            <w:tcW w:type="dxa" w:w="3600"/>
            <w:tcMar>
              <w:top w:type="dxa" w:w="60"/>
              <w:left w:type="dxa" w:w="100"/>
              <w:bottom w:type="dxa" w:w="60"/>
              <w:right w:type="dxa" w:w="100"/>
            </w:tcMar>
            <w:vAlign w:val="center"/>
          </w:tcPr>
          <w:p>
            <w:pPr>
              <w:jc w:val="left"/>
            </w:pPr>
            <w:r>
              <w:rPr>
                <w:sz w:val="20"/>
                <w:szCs w:val="20"/>
              </w:rPr>
              <w:t xml:space="preserve">Text-derived features + focal α = 0.5 (selected)</w:t>
            </w:r>
          </w:p>
        </w:tc>
        <w:tc>
          <w:tcPr>
            <w:tcW w:type="dxa" w:w="1500"/>
            <w:tcMar>
              <w:top w:type="dxa" w:w="60"/>
              <w:left w:type="dxa" w:w="100"/>
              <w:bottom w:type="dxa" w:w="60"/>
              <w:right w:type="dxa" w:w="100"/>
            </w:tcMar>
            <w:vAlign w:val="center"/>
          </w:tcPr>
          <w:p>
            <w:pPr>
              <w:jc w:val="center"/>
            </w:pPr>
            <w:r>
              <w:rPr>
                <w:sz w:val="20"/>
                <w:szCs w:val="20"/>
              </w:rPr>
              <w:t xml:space="preserve">3.01%</w:t>
            </w:r>
          </w:p>
        </w:tc>
        <w:tc>
          <w:tcPr>
            <w:tcW w:type="dxa" w:w="1000"/>
            <w:tcMar>
              <w:top w:type="dxa" w:w="60"/>
              <w:left w:type="dxa" w:w="100"/>
              <w:bottom w:type="dxa" w:w="60"/>
              <w:right w:type="dxa" w:w="100"/>
            </w:tcMar>
            <w:vAlign w:val="center"/>
          </w:tcPr>
          <w:p>
            <w:pPr>
              <w:jc w:val="center"/>
            </w:pPr>
            <w:r>
              <w:rPr>
                <w:sz w:val="20"/>
                <w:szCs w:val="20"/>
              </w:rPr>
              <w:t xml:space="preserve">99.39</w:t>
            </w:r>
          </w:p>
        </w:tc>
        <w:tc>
          <w:tcPr>
            <w:tcW w:type="dxa" w:w="1900"/>
            <w:tcMar>
              <w:top w:type="dxa" w:w="60"/>
              <w:left w:type="dxa" w:w="100"/>
              <w:bottom w:type="dxa" w:w="60"/>
              <w:right w:type="dxa" w:w="100"/>
            </w:tcMar>
            <w:vAlign w:val="center"/>
          </w:tcPr>
          <w:p>
            <w:pPr>
              <w:jc w:val="center"/>
            </w:pPr>
            <w:r>
              <w:rPr>
                <w:sz w:val="20"/>
                <w:szCs w:val="20"/>
              </w:rPr>
              <w:t xml:space="preserve">5</w:t>
            </w:r>
          </w:p>
        </w:tc>
        <w:tc>
          <w:tcPr>
            <w:tcW w:type="dxa" w:w="1000"/>
            <w:tcMar>
              <w:top w:type="dxa" w:w="60"/>
              <w:left w:type="dxa" w:w="100"/>
              <w:bottom w:type="dxa" w:w="60"/>
              <w:right w:type="dxa" w:w="100"/>
            </w:tcMar>
            <w:vAlign w:val="center"/>
          </w:tcPr>
          <w:p>
            <w:pPr>
              <w:jc w:val="center"/>
            </w:pPr>
            <w:r>
              <w:rPr>
                <w:sz w:val="20"/>
                <w:szCs w:val="20"/>
              </w:rPr>
              <w:t xml:space="preserve">0.99887</w:t>
            </w:r>
          </w:p>
        </w:tc>
      </w:tr>
      <w:tr>
        <w:tc>
          <w:tcPr>
            <w:tcW w:type="dxa" w:w="3600"/>
            <w:tcMar>
              <w:top w:type="dxa" w:w="60"/>
              <w:left w:type="dxa" w:w="100"/>
              <w:bottom w:type="dxa" w:w="60"/>
              <w:right w:type="dxa" w:w="100"/>
            </w:tcMar>
            <w:vAlign w:val="center"/>
          </w:tcPr>
          <w:p>
            <w:pPr>
              <w:jc w:val="left"/>
            </w:pPr>
            <w:r>
              <w:rPr>
                <w:sz w:val="20"/>
                <w:szCs w:val="20"/>
              </w:rPr>
              <w:t xml:space="preserve">Text-derived features + no SMOTE</w:t>
            </w:r>
          </w:p>
        </w:tc>
        <w:tc>
          <w:tcPr>
            <w:tcW w:type="dxa" w:w="1500"/>
            <w:tcMar>
              <w:top w:type="dxa" w:w="60"/>
              <w:left w:type="dxa" w:w="100"/>
              <w:bottom w:type="dxa" w:w="60"/>
              <w:right w:type="dxa" w:w="100"/>
            </w:tcMar>
            <w:vAlign w:val="center"/>
          </w:tcPr>
          <w:p>
            <w:pPr>
              <w:jc w:val="center"/>
            </w:pPr>
            <w:r>
              <w:rPr>
                <w:sz w:val="20"/>
                <w:szCs w:val="20"/>
              </w:rPr>
              <w:t xml:space="preserve">3.06%</w:t>
            </w:r>
          </w:p>
        </w:tc>
        <w:tc>
          <w:tcPr>
            <w:tcW w:type="dxa" w:w="1000"/>
            <w:tcMar>
              <w:top w:type="dxa" w:w="60"/>
              <w:left w:type="dxa" w:w="100"/>
              <w:bottom w:type="dxa" w:w="60"/>
              <w:right w:type="dxa" w:w="100"/>
            </w:tcMar>
            <w:vAlign w:val="center"/>
          </w:tcPr>
          <w:p>
            <w:pPr>
              <w:jc w:val="center"/>
            </w:pPr>
            <w:r>
              <w:rPr>
                <w:sz w:val="20"/>
                <w:szCs w:val="20"/>
              </w:rPr>
              <w:t xml:space="preserve">99.41</w:t>
            </w:r>
          </w:p>
        </w:tc>
        <w:tc>
          <w:tcPr>
            <w:tcW w:type="dxa" w:w="1900"/>
            <w:tcMar>
              <w:top w:type="dxa" w:w="60"/>
              <w:left w:type="dxa" w:w="100"/>
              <w:bottom w:type="dxa" w:w="60"/>
              <w:right w:type="dxa" w:w="100"/>
            </w:tcMar>
            <w:vAlign w:val="center"/>
          </w:tcPr>
          <w:p>
            <w:pPr>
              <w:jc w:val="center"/>
            </w:pPr>
            <w:r>
              <w:rPr>
                <w:sz w:val="20"/>
                <w:szCs w:val="20"/>
              </w:rPr>
              <w:t xml:space="preserve">3</w:t>
            </w:r>
          </w:p>
        </w:tc>
        <w:tc>
          <w:tcPr>
            <w:tcW w:type="dxa" w:w="1000"/>
            <w:tcMar>
              <w:top w:type="dxa" w:w="60"/>
              <w:left w:type="dxa" w:w="100"/>
              <w:bottom w:type="dxa" w:w="60"/>
              <w:right w:type="dxa" w:w="100"/>
            </w:tcMar>
            <w:vAlign w:val="center"/>
          </w:tcPr>
          <w:p>
            <w:pPr>
              <w:jc w:val="center"/>
            </w:pPr>
            <w:r>
              <w:rPr>
                <w:sz w:val="20"/>
                <w:szCs w:val="20"/>
              </w:rPr>
              <w:t xml:space="preserve">0.99960</w:t>
            </w:r>
          </w:p>
        </w:tc>
      </w:tr>
    </w:tbl>
    <w:p>
      <w:pPr>
        <w:spacing w:after="240" w:before="80"/>
      </w:pPr>
      <w:r>
        <w:rPr>
          <w:i/>
          <w:iCs/>
          <w:sz w:val="20"/>
          <w:szCs w:val="20"/>
        </w:rPr>
        <w:t xml:space="preserve">Table 14. Federated-training variants for TON_IoT, evaluated on a validation split held out from the training data (8,414 records, 6,485 attacks). The selected variant was retrained on the full training split; that model is the TON_IoT federated model throughout the paper.</w:t>
      </w:r>
    </w:p>
    <w:p>
      <w:pPr>
        <w:spacing w:after="160"/>
      </w:pPr>
      <w:r>
        <w:t xml:space="preserve">The text-derived features and the higher focal α each roughly halve the validation false-alarm rate at 99.9% recall, and together they are best (3.01% vs. 6.84%); α = 0.65 and longer training do not help. On the test split, the model trained with the initial recipe misses 61 of 16,215 attacks at the 0.3 threshold (FAR 2.76%), against 19 (FAR 3.61%) for the selected recipe, and at an equal 99.9% test recall its FAR is 7.16% against 4.52% (ROC-AUC 0.99860 vs. 0.99895). Missed DoS, MITM, and DDoS records fall from 16, 14, and 10 to 3, 5, and 1. A second, independent federated training run of the selected recipe gives F1 99.38 and 23 missed attacks (Table 1). The variants were designed after we saw that the initial TON_IoT model left room for improvement, but the choice among them used validation data only.</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both deployment models (CIC-IDS2017, 112 KB INT8; TON_IoT, 57 KB INT8) and the FP32 federated models they were compressed from (803 KB and 732 KB). It checks on-device outputs against the host TFLite interpreter on fixed inputs, including decision agreement at each model's deployment threshold, and times 100 inferences per model. A host build against the same TensorFlow Lite Micro library reproduces the interpreter outputs exactly (FP32) and within one INT8 output step (at most 0.004), with all decisions in agreement. Tensor-arena use is 2.2–4.6 KB, well within ESP32 SRAM. </w:t>
      </w:r>
      <w:r>
        <w:rPr>
          <w:b/>
          <w:bCs/>
          <w:color w:val="C00000"/>
        </w:rPr>
        <w:t xml:space="preserve">[PENDING: ESP32 latency, arena use and parity measured on hardware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loses less than one F1 point under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except for a second federated training run on TON_IoT, which differs by 0.03 F1 (Table 1), and the repeated fine-tuning draws of Sections 5.9 and 5.12–5.13. Differences below about one F1 point (e.g. near-IID vs. Dirichlet on CIC-IDS2017) should not be over-interpreted until seed variance is measured more broadly.</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loses less than one F1 point under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R. Banbury, Vijay Janapa Reddi, Max Lam, William Fu, Amin Fazel, Jeremy Holleman, Xinyuan Huang, Robert Hurtado, David Kanter, Anton Lokhmotov, David Patterson, Danilo Pau, Jae-sun Seo, Jeff Sieracki, Urmish Thakker, Marian Verhelst, and Poonam Yadav. 2020. Benchmarking TinyML Systems: Challenges and Direction. arXiv preprint arXiv:2003.04821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the two deployment models and their FP32 federated models (models/*.tflite, 1.7 MB in total), converted to 16-byte-aligned C arrays at build time (esp32_tflite_project/gen_model_data.py). scripts/prepare_esp32_benchmark.py stages the models, records each model's deployment threshold, and regenerates the parity vectors.</w:t>
      </w:r>
    </w:p>
    <w:p>
      <w:pPr>
        <w:spacing w:after="120"/>
      </w:pPr>
      <w:r>
        <w:rPr>
          <w:b/>
          <w:bCs/>
        </w:rPr>
        <w:t xml:space="preserve">2. </w:t>
      </w:r>
      <w:r>
        <w:t xml:space="preserve">Build and flash (PlatformIO, TensorFlowLite_ESP32 1.0.0, huge_app partition table so the FP32 models fit): pio run -e &lt;esp32dev | esp32-s3-devkitc-1 | esp32-c3-devkitm-1&gt; -t upload.</w:t>
      </w:r>
    </w:p>
    <w:p>
      <w:pPr>
        <w:spacing w:after="120"/>
      </w:pPr>
      <w:r>
        <w:rPr>
          <w:b/>
          <w:bCs/>
        </w:rPr>
        <w:t xml:space="preserve">3. </w:t>
      </w:r>
      <w:r>
        <w:t xml:space="preserve">Parity check: for 8 fixed standardized input vectors per dataset (78 features for CIC-IDS2017, 43 for TON_IoT), the firmware compares each model's on-device output with the host TFLite output (include/test_vectors.h) and reports the maximum absolute difference and decision agreement at the model's deployment threshold. A host build against the same TensorFlow Lite Micro library matched exactly (FP32) and within one quantization step (INT8, 1/256), with 8/8 decisions in agreement for every model.</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2.2–4.6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run on hardware and report latency]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c06eec00a1912b95ed824f910b00384882d27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2026-10-05T19:15:45.182Z</dcterms:created>
  <dcterms:modified xsi:type="dcterms:W3CDTF">2026-10-05T19:15:45.189Z</dcterms:modified>
</cp:coreProperties>
</file>

<file path=docProps/custom.xml><?xml version="1.0" encoding="utf-8"?>
<Properties xmlns="http://schemas.openxmlformats.org/officeDocument/2006/custom-properties" xmlns:vt="http://schemas.openxmlformats.org/officeDocument/2006/docPropsVTypes"/>
</file>