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Section 6.1 reports on-device latency, memory and output parity measured on two microcontrollers with different cores, ESP32 (Xtensa LX6) and ESP32-S3 (Xtensa LX7) (Table 17).</w:t>
      </w:r>
    </w:p>
    <w:p>
      <w:pPr>
        <w:spacing w:after="100"/>
      </w:pPr>
      <w:r>
        <w:rPr>
          <w:b/>
          <w:bCs/>
        </w:rPr>
        <w:t xml:space="preserve">• Related work depth and citation formatting (81C): </w:t>
      </w:r>
      <w:r>
        <w:t xml:space="preserve">Section 2 is reorganized by topic and now covers federated and lightweight intrusion detection, TinyML compilers and on-device training, federated compression, calibration and QAT-range methods, and deployment-fault studies (49 references), including the closest prior federated TinyML IDS [34].</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57 KB model miss 12 of 16,215 attacks at 6.6%. For on-device deployment we use a 112 KB CIC-IDS2017 variant (23 of 85,173 missed at 9.7%, mean over fine-tuning draws) and this 57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on-device measurement on an ESP32: the deployed INT8 models take 26 ms (CIC-IDS2017, 112 KB) and 13 ms (TON_IoT, 57 KB) per flow on an ESP32 and 11 ms and 6 ms on an ESP32-S3, with every on-device decision matching the host (Section 6.1, Table 17).</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spacing w:after="160"/>
      </w:pPr>
      <w:r>
        <w:t xml:space="preserve">Federated and lightweight intrusion detection. DÏoT trains per-device-type anomaly detectors across security gateways with federated learning [35]; Belarbi et al. study federated IDS on TON_IoT with one client per IP address [37]; and FLAME defends federated learning against backdoors, including on IoT IDS data [36]. Closest to our work, Li et al. combine federated learning and TinyML for intrusion detection on N-BaIoT in an IoT/edge/cloud architecture, using an outlier-resistant scaler, feature reduction and quantization [34]. We add an identically configured centralized and a local-only baseline on two datasets, a step-by-step analysis of compression without pooled data, missed-attack accounting, an analysis of quantization calibration, and the toolchain failures of Section 6.2. Outside federated learning, lightweight detectors run on gateways (Kitsune [38]) or programmable switches (HorusEye [39], NetBeacon [40]); we target the endpoint microcontroller.</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spacing w:after="160"/>
      </w:pPr>
      <w:r>
        <w:t xml:space="preserve">Calibration need not use the extremes of each activation: percentile and entropy (KL) calibration [25] and the MSE-optimal clip of ACIQ [26] clip the ranges, and Wu et al. recommend calibrating first and then fine-tuning with QAT [25]. PACT [27] and LSQ [28] learn the clip or the step size during QAT, and DFQ quantizes without data by equalizing weight ranges across layers (cross-layer equalization, CLE) [29]. Distillation has been combined with quantization before [30], and TensorFlow Model Optimization provides sparsity-preserving QAT because standard QAT re-densifies pruned weights [33]. In federated learning, quantization has mainly been used to compress model updates [31]; Gupta et al. train federated models that stay accurate under later quantization [32]. Our input clipping (Section 5.9) is an instance of clipped calibration; Section 5.15 compares it with these estimators and with QAT-range, data-free and learned-clipping variants on our models.</w:t>
      </w:r>
    </w:p>
    <w:p>
      <w:pPr>
        <w:spacing w:after="160"/>
      </w:pPr>
      <w:r>
        <w:t xml:space="preserve">MCUNet co-designs models and the inference engine for microcontrollers [41], Lin et al. train on 256 KB of memory [42], and SeeDot [46] and MinUn [45] compile fixed-point and mixed-precision models for microcontrollers. In federated learning, HeteroFL trains width-reduced submodels and aggregates BatchNorm statistics after training [43], and FedTiny prunes without pooled data during training [44]; we compress an already-trained federated model and use its BatchNorm statistics for INT8 calibration (Section 5.15).</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Lin et al. show that quantization can amplify adversarial noise [47].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57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is more stable than PTQ (Section 5.15 explains why)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57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57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57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We also applied the two levers of Section 5.15 to both deployed recipes (same three fine-tuning draws, threshold for 99.99% client-validation recall). Holding the QAT activation ranges at values calibrated on the client's clipped fine-tuning inputs (99.99th percentile) moves the operating point along the same trade-off curve rather than improving it: on CIC-IDS2017 the 112 KB model misses 28.7 attacks at an 8.6% FAR (deployed recipe: 23.3 at 9.7%), and on TON_IoT the 57 KB model misses 8.3 at 7.1% (deployed: 12.0 at 6.6%); at a fixed 0.2 threshold the TON_IoT models are equal (13.3 vs. 14.3 missed at 6.3% FAR). Cross-layer equalization before QAT makes CIC-IDS2017 worse (29.3 missed, and one draw reaches an 84% FAR). The recall-priority recipe already fine-tunes on clipped inputs, which bounds the input quantization range, the lever identified in Section 5.15, so we keep the deployed models. Source: runs 2026-10-05_x5_recall_fixed_cic and _x6_recall_fixed_ton.</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57 KB model misses 12 of 16,215 attacks at about one false alarm in fifteen benign records. We deploy the CIC-IDS2017 112 KB model and the TON_IoT 57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2"/>
        <w:spacing w:after="140" w:before="260"/>
      </w:pPr>
      <w:r>
        <w:t xml:space="preserve">5.15 Calibration Estimators, QAT Ranges, and Data-Free Calibration</w:t>
      </w:r>
    </w:p>
    <w:p>
      <w:pPr>
        <w:spacing w:after="160"/>
      </w:pPr>
      <w:r>
        <w:t xml:space="preserve">We tested the quantization methods of Section 2.3 on our federated models. To compare range estimators with everything else fixed, we build the tfmot fake-quantization model, set its activation ranges directly, and convert it; with min/max ranges this reproduces TensorFlow Lite's per-tensor PTQ exactly (same F1, FAR and missed attacks on every calibration set). TensorFlow Lite's default PTQ uses per-channel weight scales, whereas QAT exports use per-tensor scales, so Table 15 lists both.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1100"/>
        <w:gridCol w:w="900"/>
        <w:gridCol w:w="700"/>
        <w:gridCol w:w="1100"/>
        <w:gridCol w:w="900"/>
        <w:gridCol w:w="700"/>
      </w:tblGrid>
      <w:tr>
        <w:trPr>
          <w:tblHeader/>
        </w:trPr>
        <w:tc>
          <w:tcPr>
            <w:tcW w:type="dxa" w:w="1000"/>
            <w:shd w:fill="D9E2F3" w:val="clear"/>
            <w:tcMar>
              <w:top w:type="dxa" w:w="60"/>
              <w:left w:type="dxa" w:w="100"/>
              <w:bottom w:type="dxa" w:w="60"/>
              <w:right w:type="dxa" w:w="100"/>
            </w:tcMar>
            <w:vAlign w:val="center"/>
          </w:tcPr>
          <w:p>
            <w:pPr>
              <w:jc w:val="center"/>
            </w:pPr>
            <w:r>
              <w:rPr>
                <w:b/>
                <w:bCs/>
                <w:sz w:val="20"/>
                <w:szCs w:val="20"/>
              </w:rPr>
              <w:t xml:space="preserve">Weights</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Range estimator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CIC FAR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missed / 16,215</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TON FAR</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min/max (TFLite default)</w:t>
            </w:r>
          </w:p>
        </w:tc>
        <w:tc>
          <w:tcPr>
            <w:tcW w:type="dxa" w:w="1100"/>
            <w:tcMar>
              <w:top w:type="dxa" w:w="60"/>
              <w:left w:type="dxa" w:w="100"/>
              <w:bottom w:type="dxa" w:w="60"/>
              <w:right w:type="dxa" w:w="100"/>
            </w:tcMar>
            <w:vAlign w:val="center"/>
          </w:tcPr>
          <w:p>
            <w:pPr>
              <w:jc w:val="center"/>
            </w:pPr>
            <w:r>
              <w:rPr>
                <w:sz w:val="20"/>
                <w:szCs w:val="20"/>
              </w:rPr>
              <w:t xml:space="preserve">77.67 [29.16]</w:t>
            </w:r>
          </w:p>
        </w:tc>
        <w:tc>
          <w:tcPr>
            <w:tcW w:type="dxa" w:w="900"/>
            <w:tcMar>
              <w:top w:type="dxa" w:w="60"/>
              <w:left w:type="dxa" w:w="100"/>
              <w:bottom w:type="dxa" w:w="60"/>
              <w:right w:type="dxa" w:w="100"/>
            </w:tcMar>
            <w:vAlign w:val="center"/>
          </w:tcPr>
          <w:p>
            <w:pPr>
              <w:jc w:val="center"/>
            </w:pPr>
            <w:r>
              <w:rPr>
                <w:sz w:val="20"/>
                <w:szCs w:val="20"/>
              </w:rPr>
              <w:t xml:space="preserve">349</w:t>
            </w:r>
          </w:p>
        </w:tc>
        <w:tc>
          <w:tcPr>
            <w:tcW w:type="dxa" w:w="700"/>
            <w:tcMar>
              <w:top w:type="dxa" w:w="60"/>
              <w:left w:type="dxa" w:w="100"/>
              <w:bottom w:type="dxa" w:w="60"/>
              <w:right w:type="dxa" w:w="100"/>
            </w:tcMar>
            <w:vAlign w:val="center"/>
          </w:tcPr>
          <w:p>
            <w:pPr>
              <w:jc w:val="center"/>
            </w:pPr>
            <w:r>
              <w:rPr>
                <w:sz w:val="20"/>
                <w:szCs w:val="20"/>
              </w:rPr>
              <w:t xml:space="preserve">15.51%</w:t>
            </w:r>
          </w:p>
        </w:tc>
        <w:tc>
          <w:tcPr>
            <w:tcW w:type="dxa" w:w="1100"/>
            <w:tcMar>
              <w:top w:type="dxa" w:w="60"/>
              <w:left w:type="dxa" w:w="100"/>
              <w:bottom w:type="dxa" w:w="60"/>
              <w:right w:type="dxa" w:w="100"/>
            </w:tcMar>
            <w:vAlign w:val="center"/>
          </w:tcPr>
          <w:p>
            <w:pPr>
              <w:jc w:val="center"/>
            </w:pPr>
            <w:r>
              <w:rPr>
                <w:sz w:val="20"/>
                <w:szCs w:val="20"/>
              </w:rPr>
              <w:t xml:space="preserve">77.91 [32.72]</w:t>
            </w:r>
          </w:p>
        </w:tc>
        <w:tc>
          <w:tcPr>
            <w:tcW w:type="dxa" w:w="900"/>
            <w:tcMar>
              <w:top w:type="dxa" w:w="60"/>
              <w:left w:type="dxa" w:w="100"/>
              <w:bottom w:type="dxa" w:w="60"/>
              <w:right w:type="dxa" w:w="100"/>
            </w:tcMar>
            <w:vAlign w:val="center"/>
          </w:tcPr>
          <w:p>
            <w:pPr>
              <w:jc w:val="center"/>
            </w:pPr>
            <w:r>
              <w:rPr>
                <w:sz w:val="20"/>
                <w:szCs w:val="20"/>
              </w:rPr>
              <w:t xml:space="preserve">4,779</w:t>
            </w:r>
          </w:p>
        </w:tc>
        <w:tc>
          <w:tcPr>
            <w:tcW w:type="dxa" w:w="700"/>
            <w:tcMar>
              <w:top w:type="dxa" w:w="60"/>
              <w:left w:type="dxa" w:w="100"/>
              <w:bottom w:type="dxa" w:w="60"/>
              <w:right w:type="dxa" w:w="100"/>
            </w:tcMar>
            <w:vAlign w:val="center"/>
          </w:tcPr>
          <w:p>
            <w:pPr>
              <w:jc w:val="center"/>
            </w:pPr>
            <w:r>
              <w:rPr>
                <w:sz w:val="20"/>
                <w:szCs w:val="20"/>
              </w:rPr>
              <w:t xml:space="preserve">2.99%</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inputs clipped ±5 SD (ours)</w:t>
            </w:r>
          </w:p>
        </w:tc>
        <w:tc>
          <w:tcPr>
            <w:tcW w:type="dxa" w:w="1100"/>
            <w:tcMar>
              <w:top w:type="dxa" w:w="60"/>
              <w:left w:type="dxa" w:w="100"/>
              <w:bottom w:type="dxa" w:w="60"/>
              <w:right w:type="dxa" w:w="100"/>
            </w:tcMar>
            <w:vAlign w:val="center"/>
          </w:tcPr>
          <w:p>
            <w:pPr>
              <w:jc w:val="center"/>
            </w:pPr>
            <w:r>
              <w:rPr>
                <w:sz w:val="20"/>
                <w:szCs w:val="20"/>
              </w:rPr>
              <w:t xml:space="preserve">84.38 [83.02]</w:t>
            </w:r>
          </w:p>
        </w:tc>
        <w:tc>
          <w:tcPr>
            <w:tcW w:type="dxa" w:w="900"/>
            <w:tcMar>
              <w:top w:type="dxa" w:w="60"/>
              <w:left w:type="dxa" w:w="100"/>
              <w:bottom w:type="dxa" w:w="60"/>
              <w:right w:type="dxa" w:w="100"/>
            </w:tcMar>
            <w:vAlign w:val="center"/>
          </w:tcPr>
          <w:p>
            <w:pPr>
              <w:jc w:val="center"/>
            </w:pPr>
            <w:r>
              <w:rPr>
                <w:sz w:val="20"/>
                <w:szCs w:val="20"/>
              </w:rPr>
              <w:t xml:space="preserve">68</w:t>
            </w:r>
          </w:p>
        </w:tc>
        <w:tc>
          <w:tcPr>
            <w:tcW w:type="dxa" w:w="700"/>
            <w:tcMar>
              <w:top w:type="dxa" w:w="60"/>
              <w:left w:type="dxa" w:w="100"/>
              <w:bottom w:type="dxa" w:w="60"/>
              <w:right w:type="dxa" w:w="100"/>
            </w:tcMar>
            <w:vAlign w:val="center"/>
          </w:tcPr>
          <w:p>
            <w:pPr>
              <w:jc w:val="center"/>
            </w:pPr>
            <w:r>
              <w:rPr>
                <w:sz w:val="20"/>
                <w:szCs w:val="20"/>
              </w:rPr>
              <w:t xml:space="preserve">7.58%</w:t>
            </w:r>
          </w:p>
        </w:tc>
        <w:tc>
          <w:tcPr>
            <w:tcW w:type="dxa" w:w="1100"/>
            <w:tcMar>
              <w:top w:type="dxa" w:w="60"/>
              <w:left w:type="dxa" w:w="100"/>
              <w:bottom w:type="dxa" w:w="60"/>
              <w:right w:type="dxa" w:w="100"/>
            </w:tcMar>
            <w:vAlign w:val="center"/>
          </w:tcPr>
          <w:p>
            <w:pPr>
              <w:jc w:val="center"/>
            </w:pPr>
            <w:r>
              <w:rPr>
                <w:sz w:val="20"/>
                <w:szCs w:val="20"/>
              </w:rPr>
              <w:t xml:space="preserve">99.19 [99.19]</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min/max</w:t>
            </w:r>
          </w:p>
        </w:tc>
        <w:tc>
          <w:tcPr>
            <w:tcW w:type="dxa" w:w="1100"/>
            <w:tcMar>
              <w:top w:type="dxa" w:w="60"/>
              <w:left w:type="dxa" w:w="100"/>
              <w:bottom w:type="dxa" w:w="60"/>
              <w:right w:type="dxa" w:w="100"/>
            </w:tcMar>
            <w:vAlign w:val="center"/>
          </w:tcPr>
          <w:p>
            <w:pPr>
              <w:jc w:val="center"/>
            </w:pPr>
            <w:r>
              <w:rPr>
                <w:sz w:val="20"/>
                <w:szCs w:val="20"/>
              </w:rPr>
              <w:t xml:space="preserve">76.64 [29.20]</w:t>
            </w:r>
          </w:p>
        </w:tc>
        <w:tc>
          <w:tcPr>
            <w:tcW w:type="dxa" w:w="900"/>
            <w:tcMar>
              <w:top w:type="dxa" w:w="60"/>
              <w:left w:type="dxa" w:w="100"/>
              <w:bottom w:type="dxa" w:w="60"/>
              <w:right w:type="dxa" w:w="100"/>
            </w:tcMar>
            <w:vAlign w:val="center"/>
          </w:tcPr>
          <w:p>
            <w:pPr>
              <w:jc w:val="center"/>
            </w:pPr>
            <w:r>
              <w:rPr>
                <w:sz w:val="20"/>
                <w:szCs w:val="20"/>
              </w:rPr>
              <w:t xml:space="preserve">397</w:t>
            </w:r>
          </w:p>
        </w:tc>
        <w:tc>
          <w:tcPr>
            <w:tcW w:type="dxa" w:w="700"/>
            <w:tcMar>
              <w:top w:type="dxa" w:w="60"/>
              <w:left w:type="dxa" w:w="100"/>
              <w:bottom w:type="dxa" w:w="60"/>
              <w:right w:type="dxa" w:w="100"/>
            </w:tcMar>
            <w:vAlign w:val="center"/>
          </w:tcPr>
          <w:p>
            <w:pPr>
              <w:jc w:val="center"/>
            </w:pPr>
            <w:r>
              <w:rPr>
                <w:sz w:val="20"/>
                <w:szCs w:val="20"/>
              </w:rPr>
              <w:t xml:space="preserve">16.14%</w:t>
            </w:r>
          </w:p>
        </w:tc>
        <w:tc>
          <w:tcPr>
            <w:tcW w:type="dxa" w:w="1100"/>
            <w:tcMar>
              <w:top w:type="dxa" w:w="60"/>
              <w:left w:type="dxa" w:w="100"/>
              <w:bottom w:type="dxa" w:w="60"/>
              <w:right w:type="dxa" w:w="100"/>
            </w:tcMar>
            <w:vAlign w:val="center"/>
          </w:tcPr>
          <w:p>
            <w:pPr>
              <w:jc w:val="center"/>
            </w:pPr>
            <w:r>
              <w:rPr>
                <w:sz w:val="20"/>
                <w:szCs w:val="20"/>
              </w:rPr>
              <w:t xml:space="preserve">81.00 [36.06]</w:t>
            </w:r>
          </w:p>
        </w:tc>
        <w:tc>
          <w:tcPr>
            <w:tcW w:type="dxa" w:w="900"/>
            <w:tcMar>
              <w:top w:type="dxa" w:w="60"/>
              <w:left w:type="dxa" w:w="100"/>
              <w:bottom w:type="dxa" w:w="60"/>
              <w:right w:type="dxa" w:w="100"/>
            </w:tcMar>
            <w:vAlign w:val="center"/>
          </w:tcPr>
          <w:p>
            <w:pPr>
              <w:jc w:val="center"/>
            </w:pPr>
            <w:r>
              <w:rPr>
                <w:sz w:val="20"/>
                <w:szCs w:val="20"/>
              </w:rPr>
              <w:t xml:space="preserve">4,156</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 [25]</w:t>
            </w:r>
          </w:p>
        </w:tc>
        <w:tc>
          <w:tcPr>
            <w:tcW w:type="dxa" w:w="1100"/>
            <w:tcMar>
              <w:top w:type="dxa" w:w="60"/>
              <w:left w:type="dxa" w:w="100"/>
              <w:bottom w:type="dxa" w:w="60"/>
              <w:right w:type="dxa" w:w="100"/>
            </w:tcMar>
            <w:vAlign w:val="center"/>
          </w:tcPr>
          <w:p>
            <w:pPr>
              <w:jc w:val="center"/>
            </w:pPr>
            <w:r>
              <w:rPr>
                <w:sz w:val="20"/>
                <w:szCs w:val="20"/>
              </w:rPr>
              <w:t xml:space="preserve">83.16 [82.11]</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8.30%</w:t>
            </w:r>
          </w:p>
        </w:tc>
        <w:tc>
          <w:tcPr>
            <w:tcW w:type="dxa" w:w="1100"/>
            <w:tcMar>
              <w:top w:type="dxa" w:w="60"/>
              <w:left w:type="dxa" w:w="100"/>
              <w:bottom w:type="dxa" w:w="60"/>
              <w:right w:type="dxa" w:w="100"/>
            </w:tcMar>
            <w:vAlign w:val="center"/>
          </w:tcPr>
          <w:p>
            <w:pPr>
              <w:jc w:val="center"/>
            </w:pPr>
            <w:r>
              <w:rPr>
                <w:sz w:val="20"/>
                <w:szCs w:val="20"/>
              </w:rPr>
              <w:t xml:space="preserve">99.39 [99.38]</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3.55%</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99.99</w:t>
            </w:r>
          </w:p>
        </w:tc>
        <w:tc>
          <w:tcPr>
            <w:tcW w:type="dxa" w:w="1100"/>
            <w:tcMar>
              <w:top w:type="dxa" w:w="60"/>
              <w:left w:type="dxa" w:w="100"/>
              <w:bottom w:type="dxa" w:w="60"/>
              <w:right w:type="dxa" w:w="100"/>
            </w:tcMar>
            <w:vAlign w:val="center"/>
          </w:tcPr>
          <w:p>
            <w:pPr>
              <w:jc w:val="center"/>
            </w:pPr>
            <w:r>
              <w:rPr>
                <w:sz w:val="20"/>
                <w:szCs w:val="20"/>
              </w:rPr>
              <w:t xml:space="preserve">79.27 [31.51]</w:t>
            </w:r>
          </w:p>
        </w:tc>
        <w:tc>
          <w:tcPr>
            <w:tcW w:type="dxa" w:w="900"/>
            <w:tcMar>
              <w:top w:type="dxa" w:w="60"/>
              <w:left w:type="dxa" w:w="100"/>
              <w:bottom w:type="dxa" w:w="60"/>
              <w:right w:type="dxa" w:w="100"/>
            </w:tcMar>
            <w:vAlign w:val="center"/>
          </w:tcPr>
          <w:p>
            <w:pPr>
              <w:jc w:val="center"/>
            </w:pPr>
            <w:r>
              <w:rPr>
                <w:sz w:val="20"/>
                <w:szCs w:val="20"/>
              </w:rPr>
              <w:t xml:space="preserve">543</w:t>
            </w:r>
          </w:p>
        </w:tc>
        <w:tc>
          <w:tcPr>
            <w:tcW w:type="dxa" w:w="700"/>
            <w:tcMar>
              <w:top w:type="dxa" w:w="60"/>
              <w:left w:type="dxa" w:w="100"/>
              <w:bottom w:type="dxa" w:w="60"/>
              <w:right w:type="dxa" w:w="100"/>
            </w:tcMar>
            <w:vAlign w:val="center"/>
          </w:tcPr>
          <w:p>
            <w:pPr>
              <w:jc w:val="center"/>
            </w:pPr>
            <w:r>
              <w:rPr>
                <w:sz w:val="20"/>
                <w:szCs w:val="20"/>
              </w:rPr>
              <w:t xml:space="preserve">13.34%</w:t>
            </w:r>
          </w:p>
        </w:tc>
        <w:tc>
          <w:tcPr>
            <w:tcW w:type="dxa" w:w="1100"/>
            <w:tcMar>
              <w:top w:type="dxa" w:w="60"/>
              <w:left w:type="dxa" w:w="100"/>
              <w:bottom w:type="dxa" w:w="60"/>
              <w:right w:type="dxa" w:w="100"/>
            </w:tcMar>
            <w:vAlign w:val="center"/>
          </w:tcPr>
          <w:p>
            <w:pPr>
              <w:jc w:val="center"/>
            </w:pPr>
            <w:r>
              <w:rPr>
                <w:sz w:val="20"/>
                <w:szCs w:val="20"/>
              </w:rPr>
              <w:t xml:space="preserve">99.31 [98.81]</w:t>
            </w:r>
          </w:p>
        </w:tc>
        <w:tc>
          <w:tcPr>
            <w:tcW w:type="dxa" w:w="900"/>
            <w:tcMar>
              <w:top w:type="dxa" w:w="60"/>
              <w:left w:type="dxa" w:w="100"/>
              <w:bottom w:type="dxa" w:w="60"/>
              <w:right w:type="dxa" w:w="100"/>
            </w:tcMar>
            <w:vAlign w:val="center"/>
          </w:tcPr>
          <w:p>
            <w:pPr>
              <w:jc w:val="center"/>
            </w:pPr>
            <w:r>
              <w:rPr>
                <w:sz w:val="20"/>
                <w:szCs w:val="20"/>
              </w:rPr>
              <w:t xml:space="preserve">50</w:t>
            </w:r>
          </w:p>
        </w:tc>
        <w:tc>
          <w:tcPr>
            <w:tcW w:type="dxa" w:w="700"/>
            <w:tcMar>
              <w:top w:type="dxa" w:w="60"/>
              <w:left w:type="dxa" w:w="100"/>
              <w:bottom w:type="dxa" w:w="60"/>
              <w:right w:type="dxa" w:w="100"/>
            </w:tcMar>
            <w:vAlign w:val="center"/>
          </w:tcPr>
          <w:p>
            <w:pPr>
              <w:jc w:val="center"/>
            </w:pPr>
            <w:r>
              <w:rPr>
                <w:sz w:val="20"/>
                <w:szCs w:val="20"/>
              </w:rPr>
              <w:t xml:space="preserve">3.62%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MSE-optimal clip (ACIQ objective [26])</w:t>
            </w:r>
          </w:p>
        </w:tc>
        <w:tc>
          <w:tcPr>
            <w:tcW w:type="dxa" w:w="1100"/>
            <w:tcMar>
              <w:top w:type="dxa" w:w="60"/>
              <w:left w:type="dxa" w:w="100"/>
              <w:bottom w:type="dxa" w:w="60"/>
              <w:right w:type="dxa" w:w="100"/>
            </w:tcMar>
            <w:vAlign w:val="center"/>
          </w:tcPr>
          <w:p>
            <w:pPr>
              <w:jc w:val="center"/>
            </w:pPr>
            <w:r>
              <w:rPr>
                <w:sz w:val="20"/>
                <w:szCs w:val="20"/>
              </w:rPr>
              <w:t xml:space="preserve">77.28 [29.28]</w:t>
            </w:r>
          </w:p>
        </w:tc>
        <w:tc>
          <w:tcPr>
            <w:tcW w:type="dxa" w:w="900"/>
            <w:tcMar>
              <w:top w:type="dxa" w:w="60"/>
              <w:left w:type="dxa" w:w="100"/>
              <w:bottom w:type="dxa" w:w="60"/>
              <w:right w:type="dxa" w:w="100"/>
            </w:tcMar>
            <w:vAlign w:val="center"/>
          </w:tcPr>
          <w:p>
            <w:pPr>
              <w:jc w:val="center"/>
            </w:pPr>
            <w:r>
              <w:rPr>
                <w:sz w:val="20"/>
                <w:szCs w:val="20"/>
              </w:rPr>
              <w:t xml:space="preserve">630</w:t>
            </w:r>
          </w:p>
        </w:tc>
        <w:tc>
          <w:tcPr>
            <w:tcW w:type="dxa" w:w="700"/>
            <w:tcMar>
              <w:top w:type="dxa" w:w="60"/>
              <w:left w:type="dxa" w:w="100"/>
              <w:bottom w:type="dxa" w:w="60"/>
              <w:right w:type="dxa" w:w="100"/>
            </w:tcMar>
            <w:vAlign w:val="center"/>
          </w:tcPr>
          <w:p>
            <w:pPr>
              <w:jc w:val="center"/>
            </w:pPr>
            <w:r>
              <w:rPr>
                <w:sz w:val="20"/>
                <w:szCs w:val="20"/>
              </w:rPr>
              <w:t xml:space="preserve">15.50%</w:t>
            </w:r>
          </w:p>
        </w:tc>
        <w:tc>
          <w:tcPr>
            <w:tcW w:type="dxa" w:w="1100"/>
            <w:tcMar>
              <w:top w:type="dxa" w:w="60"/>
              <w:left w:type="dxa" w:w="100"/>
              <w:bottom w:type="dxa" w:w="60"/>
              <w:right w:type="dxa" w:w="100"/>
            </w:tcMar>
            <w:vAlign w:val="center"/>
          </w:tcPr>
          <w:p>
            <w:pPr>
              <w:jc w:val="center"/>
            </w:pPr>
            <w:r>
              <w:rPr>
                <w:sz w:val="20"/>
                <w:szCs w:val="20"/>
              </w:rPr>
              <w:t xml:space="preserve">88.68 [34.62]</w:t>
            </w:r>
          </w:p>
        </w:tc>
        <w:tc>
          <w:tcPr>
            <w:tcW w:type="dxa" w:w="900"/>
            <w:tcMar>
              <w:top w:type="dxa" w:w="60"/>
              <w:left w:type="dxa" w:w="100"/>
              <w:bottom w:type="dxa" w:w="60"/>
              <w:right w:type="dxa" w:w="100"/>
            </w:tcMar>
            <w:vAlign w:val="center"/>
          </w:tcPr>
          <w:p>
            <w:pPr>
              <w:jc w:val="center"/>
            </w:pPr>
            <w:r>
              <w:rPr>
                <w:sz w:val="20"/>
                <w:szCs w:val="20"/>
              </w:rPr>
              <w:t xml:space="preserve">2,395</w:t>
            </w:r>
          </w:p>
        </w:tc>
        <w:tc>
          <w:tcPr>
            <w:tcW w:type="dxa" w:w="700"/>
            <w:tcMar>
              <w:top w:type="dxa" w:w="60"/>
              <w:left w:type="dxa" w:w="100"/>
              <w:bottom w:type="dxa" w:w="60"/>
              <w:right w:type="dxa" w:w="100"/>
            </w:tcMar>
            <w:vAlign w:val="center"/>
          </w:tcPr>
          <w:p>
            <w:pPr>
              <w:jc w:val="center"/>
            </w:pPr>
            <w:r>
              <w:rPr>
                <w:sz w:val="20"/>
                <w:szCs w:val="20"/>
              </w:rPr>
              <w:t xml:space="preserve">4.72%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KL / entropy [25]</w:t>
            </w:r>
          </w:p>
        </w:tc>
        <w:tc>
          <w:tcPr>
            <w:tcW w:type="dxa" w:w="1100"/>
            <w:tcMar>
              <w:top w:type="dxa" w:w="60"/>
              <w:left w:type="dxa" w:w="100"/>
              <w:bottom w:type="dxa" w:w="60"/>
              <w:right w:type="dxa" w:w="100"/>
            </w:tcMar>
            <w:vAlign w:val="center"/>
          </w:tcPr>
          <w:p>
            <w:pPr>
              <w:jc w:val="center"/>
            </w:pPr>
            <w:r>
              <w:rPr>
                <w:sz w:val="20"/>
                <w:szCs w:val="20"/>
              </w:rPr>
              <w:t xml:space="preserve">80.93 [44.16]</w:t>
            </w:r>
          </w:p>
        </w:tc>
        <w:tc>
          <w:tcPr>
            <w:tcW w:type="dxa" w:w="900"/>
            <w:tcMar>
              <w:top w:type="dxa" w:w="60"/>
              <w:left w:type="dxa" w:w="100"/>
              <w:bottom w:type="dxa" w:w="60"/>
              <w:right w:type="dxa" w:w="100"/>
            </w:tcMar>
            <w:vAlign w:val="center"/>
          </w:tcPr>
          <w:p>
            <w:pPr>
              <w:jc w:val="center"/>
            </w:pPr>
            <w:r>
              <w:rPr>
                <w:sz w:val="20"/>
                <w:szCs w:val="20"/>
              </w:rPr>
              <w:t xml:space="preserve">565</w:t>
            </w:r>
          </w:p>
        </w:tc>
        <w:tc>
          <w:tcPr>
            <w:tcW w:type="dxa" w:w="700"/>
            <w:tcMar>
              <w:top w:type="dxa" w:w="60"/>
              <w:left w:type="dxa" w:w="100"/>
              <w:bottom w:type="dxa" w:w="60"/>
              <w:right w:type="dxa" w:w="100"/>
            </w:tcMar>
            <w:vAlign w:val="center"/>
          </w:tcPr>
          <w:p>
            <w:pPr>
              <w:jc w:val="center"/>
            </w:pPr>
            <w:r>
              <w:rPr>
                <w:sz w:val="20"/>
                <w:szCs w:val="20"/>
              </w:rPr>
              <w:t xml:space="preserve">10.68%</w:t>
            </w:r>
          </w:p>
        </w:tc>
        <w:tc>
          <w:tcPr>
            <w:tcW w:type="dxa" w:w="1100"/>
            <w:tcMar>
              <w:top w:type="dxa" w:w="60"/>
              <w:left w:type="dxa" w:w="100"/>
              <w:bottom w:type="dxa" w:w="60"/>
              <w:right w:type="dxa" w:w="100"/>
            </w:tcMar>
            <w:vAlign w:val="center"/>
          </w:tcPr>
          <w:p>
            <w:pPr>
              <w:jc w:val="center"/>
            </w:pPr>
            <w:r>
              <w:rPr>
                <w:sz w:val="20"/>
                <w:szCs w:val="20"/>
              </w:rPr>
              <w:t xml:space="preserve">98.97 [96.69]</w:t>
            </w:r>
          </w:p>
        </w:tc>
        <w:tc>
          <w:tcPr>
            <w:tcW w:type="dxa" w:w="900"/>
            <w:tcMar>
              <w:top w:type="dxa" w:w="60"/>
              <w:left w:type="dxa" w:w="100"/>
              <w:bottom w:type="dxa" w:w="60"/>
              <w:right w:type="dxa" w:w="100"/>
            </w:tcMar>
            <w:vAlign w:val="center"/>
          </w:tcPr>
          <w:p>
            <w:pPr>
              <w:jc w:val="center"/>
            </w:pPr>
            <w:r>
              <w:rPr>
                <w:sz w:val="20"/>
                <w:szCs w:val="20"/>
              </w:rPr>
              <w:t xml:space="preserve">131</w:t>
            </w:r>
          </w:p>
        </w:tc>
        <w:tc>
          <w:tcPr>
            <w:tcW w:type="dxa" w:w="700"/>
            <w:tcMar>
              <w:top w:type="dxa" w:w="60"/>
              <w:left w:type="dxa" w:w="100"/>
              <w:bottom w:type="dxa" w:w="60"/>
              <w:right w:type="dxa" w:w="100"/>
            </w:tcMar>
            <w:vAlign w:val="center"/>
          </w:tcPr>
          <w:p>
            <w:pPr>
              <w:jc w:val="center"/>
            </w:pPr>
            <w:r>
              <w:rPr>
                <w:sz w:val="20"/>
                <w:szCs w:val="20"/>
              </w:rPr>
              <w:t xml:space="preserve">4.20%</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inputs clipped ±5 SD</w:t>
            </w:r>
          </w:p>
        </w:tc>
        <w:tc>
          <w:tcPr>
            <w:tcW w:type="dxa" w:w="1100"/>
            <w:tcMar>
              <w:top w:type="dxa" w:w="60"/>
              <w:left w:type="dxa" w:w="100"/>
              <w:bottom w:type="dxa" w:w="60"/>
              <w:right w:type="dxa" w:w="100"/>
            </w:tcMar>
            <w:vAlign w:val="center"/>
          </w:tcPr>
          <w:p>
            <w:pPr>
              <w:jc w:val="center"/>
            </w:pPr>
            <w:r>
              <w:rPr>
                <w:sz w:val="20"/>
                <w:szCs w:val="20"/>
              </w:rPr>
              <w:t xml:space="preserve">82.93 [82.09]</w:t>
            </w:r>
          </w:p>
        </w:tc>
        <w:tc>
          <w:tcPr>
            <w:tcW w:type="dxa" w:w="900"/>
            <w:tcMar>
              <w:top w:type="dxa" w:w="60"/>
              <w:left w:type="dxa" w:w="100"/>
              <w:bottom w:type="dxa" w:w="60"/>
              <w:right w:type="dxa" w:w="100"/>
            </w:tcMar>
            <w:vAlign w:val="center"/>
          </w:tcPr>
          <w:p>
            <w:pPr>
              <w:jc w:val="center"/>
            </w:pPr>
            <w:r>
              <w:rPr>
                <w:sz w:val="20"/>
                <w:szCs w:val="20"/>
              </w:rPr>
              <w:t xml:space="preserve">239</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99.19 [99.18]</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CLE + inputs clipped ±5 SD (3 sets)</w:t>
            </w:r>
          </w:p>
        </w:tc>
        <w:tc>
          <w:tcPr>
            <w:tcW w:type="dxa" w:w="1100"/>
            <w:tcMar>
              <w:top w:type="dxa" w:w="60"/>
              <w:left w:type="dxa" w:w="100"/>
              <w:bottom w:type="dxa" w:w="60"/>
              <w:right w:type="dxa" w:w="100"/>
            </w:tcMar>
            <w:vAlign w:val="center"/>
          </w:tcPr>
          <w:p>
            <w:pPr>
              <w:jc w:val="center"/>
            </w:pPr>
            <w:r>
              <w:rPr>
                <w:sz w:val="20"/>
                <w:szCs w:val="20"/>
              </w:rPr>
              <w:t xml:space="preserve">84.46 [84.04]</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7.54%</w:t>
            </w:r>
          </w:p>
        </w:tc>
        <w:tc>
          <w:tcPr>
            <w:tcW w:type="dxa" w:w="1100"/>
            <w:tcMar>
              <w:top w:type="dxa" w:w="60"/>
              <w:left w:type="dxa" w:w="100"/>
              <w:bottom w:type="dxa" w:w="60"/>
              <w:right w:type="dxa" w:w="100"/>
            </w:tcMar>
            <w:vAlign w:val="center"/>
          </w:tcPr>
          <w:p>
            <w:pPr>
              <w:jc w:val="center"/>
            </w:pPr>
            <w:r>
              <w:rPr>
                <w:sz w:val="20"/>
                <w:szCs w:val="20"/>
              </w:rPr>
              <w:t xml:space="preserve">99.18 [99.18]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4.93%</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data-free: synthetic N(0, I) inputs</w:t>
            </w:r>
          </w:p>
        </w:tc>
        <w:tc>
          <w:tcPr>
            <w:tcW w:type="dxa" w:w="1100"/>
            <w:tcMar>
              <w:top w:type="dxa" w:w="60"/>
              <w:left w:type="dxa" w:w="100"/>
              <w:bottom w:type="dxa" w:w="60"/>
              <w:right w:type="dxa" w:w="100"/>
            </w:tcMar>
            <w:vAlign w:val="center"/>
          </w:tcPr>
          <w:p>
            <w:pPr>
              <w:jc w:val="center"/>
            </w:pPr>
            <w:r>
              <w:rPr>
                <w:sz w:val="20"/>
                <w:szCs w:val="20"/>
              </w:rPr>
              <w:t xml:space="preserve">82.22 [80.58]</w:t>
            </w:r>
          </w:p>
        </w:tc>
        <w:tc>
          <w:tcPr>
            <w:tcW w:type="dxa" w:w="900"/>
            <w:tcMar>
              <w:top w:type="dxa" w:w="60"/>
              <w:left w:type="dxa" w:w="100"/>
              <w:bottom w:type="dxa" w:w="60"/>
              <w:right w:type="dxa" w:w="100"/>
            </w:tcMar>
            <w:vAlign w:val="center"/>
          </w:tcPr>
          <w:p>
            <w:pPr>
              <w:jc w:val="center"/>
            </w:pPr>
            <w:r>
              <w:rPr>
                <w:sz w:val="20"/>
                <w:szCs w:val="20"/>
              </w:rPr>
              <w:t xml:space="preserve">54</w:t>
            </w:r>
          </w:p>
        </w:tc>
        <w:tc>
          <w:tcPr>
            <w:tcW w:type="dxa" w:w="700"/>
            <w:tcMar>
              <w:top w:type="dxa" w:w="60"/>
              <w:left w:type="dxa" w:w="100"/>
              <w:bottom w:type="dxa" w:w="60"/>
              <w:right w:type="dxa" w:w="100"/>
            </w:tcMar>
            <w:vAlign w:val="center"/>
          </w:tcPr>
          <w:p>
            <w:pPr>
              <w:jc w:val="center"/>
            </w:pPr>
            <w:r>
              <w:rPr>
                <w:sz w:val="20"/>
                <w:szCs w:val="20"/>
              </w:rPr>
              <w:t xml:space="preserve">8.87%</w:t>
            </w:r>
          </w:p>
        </w:tc>
        <w:tc>
          <w:tcPr>
            <w:tcW w:type="dxa" w:w="1100"/>
            <w:tcMar>
              <w:top w:type="dxa" w:w="60"/>
              <w:left w:type="dxa" w:w="100"/>
              <w:bottom w:type="dxa" w:w="60"/>
              <w:right w:type="dxa" w:w="100"/>
            </w:tcMar>
            <w:vAlign w:val="center"/>
          </w:tcPr>
          <w:p>
            <w:pPr>
              <w:jc w:val="center"/>
            </w:pPr>
            <w:r>
              <w:rPr>
                <w:sz w:val="20"/>
                <w:szCs w:val="20"/>
              </w:rPr>
              <w:t xml:space="preserve">99.16 [99.08]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4</w:t>
            </w:r>
          </w:p>
        </w:tc>
        <w:tc>
          <w:tcPr>
            <w:tcW w:type="dxa" w:w="1100"/>
            <w:tcMar>
              <w:top w:type="dxa" w:w="60"/>
              <w:left w:type="dxa" w:w="100"/>
              <w:bottom w:type="dxa" w:w="60"/>
              <w:right w:type="dxa" w:w="100"/>
            </w:tcMar>
            <w:vAlign w:val="center"/>
          </w:tcPr>
          <w:p>
            <w:pPr>
              <w:jc w:val="center"/>
            </w:pPr>
            <w:r>
              <w:rPr>
                <w:sz w:val="20"/>
                <w:szCs w:val="20"/>
              </w:rPr>
              <w:t xml:space="preserve">83.03</w:t>
            </w:r>
          </w:p>
        </w:tc>
        <w:tc>
          <w:tcPr>
            <w:tcW w:type="dxa" w:w="900"/>
            <w:tcMar>
              <w:top w:type="dxa" w:w="60"/>
              <w:left w:type="dxa" w:w="100"/>
              <w:bottom w:type="dxa" w:w="60"/>
              <w:right w:type="dxa" w:w="100"/>
            </w:tcMar>
            <w:vAlign w:val="center"/>
          </w:tcPr>
          <w:p>
            <w:pPr>
              <w:jc w:val="center"/>
            </w:pPr>
            <w:r>
              <w:rPr>
                <w:sz w:val="20"/>
                <w:szCs w:val="20"/>
              </w:rPr>
              <w:t xml:space="preserve">72</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99.17</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6</w:t>
            </w:r>
          </w:p>
        </w:tc>
        <w:tc>
          <w:tcPr>
            <w:tcW w:type="dxa" w:w="1100"/>
            <w:tcMar>
              <w:top w:type="dxa" w:w="60"/>
              <w:left w:type="dxa" w:w="100"/>
              <w:bottom w:type="dxa" w:w="60"/>
              <w:right w:type="dxa" w:w="100"/>
            </w:tcMar>
            <w:vAlign w:val="center"/>
          </w:tcPr>
          <w:p>
            <w:pPr>
              <w:jc w:val="center"/>
            </w:pPr>
            <w:r>
              <w:rPr>
                <w:sz w:val="20"/>
                <w:szCs w:val="20"/>
              </w:rPr>
              <w:t xml:space="preserve">82.51</w:t>
            </w:r>
          </w:p>
        </w:tc>
        <w:tc>
          <w:tcPr>
            <w:tcW w:type="dxa" w:w="900"/>
            <w:tcMar>
              <w:top w:type="dxa" w:w="60"/>
              <w:left w:type="dxa" w:w="100"/>
              <w:bottom w:type="dxa" w:w="60"/>
              <w:right w:type="dxa" w:w="100"/>
            </w:tcMar>
            <w:vAlign w:val="center"/>
          </w:tcPr>
          <w:p>
            <w:pPr>
              <w:jc w:val="center"/>
            </w:pPr>
            <w:r>
              <w:rPr>
                <w:sz w:val="20"/>
                <w:szCs w:val="20"/>
              </w:rPr>
              <w:t xml:space="preserve">66</w:t>
            </w:r>
          </w:p>
        </w:tc>
        <w:tc>
          <w:tcPr>
            <w:tcW w:type="dxa" w:w="700"/>
            <w:tcMar>
              <w:top w:type="dxa" w:w="60"/>
              <w:left w:type="dxa" w:w="100"/>
              <w:bottom w:type="dxa" w:w="60"/>
              <w:right w:type="dxa" w:w="100"/>
            </w:tcMar>
            <w:vAlign w:val="center"/>
          </w:tcPr>
          <w:p>
            <w:pPr>
              <w:jc w:val="center"/>
            </w:pPr>
            <w:r>
              <w:rPr>
                <w:sz w:val="20"/>
                <w:szCs w:val="20"/>
              </w:rPr>
              <w:t xml:space="preserve">8.69%</w:t>
            </w:r>
          </w:p>
        </w:tc>
        <w:tc>
          <w:tcPr>
            <w:tcW w:type="dxa" w:w="1100"/>
            <w:tcMar>
              <w:top w:type="dxa" w:w="60"/>
              <w:left w:type="dxa" w:w="100"/>
              <w:bottom w:type="dxa" w:w="60"/>
              <w:right w:type="dxa" w:w="100"/>
            </w:tcMar>
            <w:vAlign w:val="center"/>
          </w:tcPr>
          <w:p>
            <w:pPr>
              <w:jc w:val="center"/>
            </w:pPr>
            <w:r>
              <w:rPr>
                <w:sz w:val="20"/>
                <w:szCs w:val="20"/>
              </w:rPr>
              <w:t xml:space="preserve">99.26</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4.44%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CLE + BN statistics, k = 6</w:t>
            </w:r>
          </w:p>
        </w:tc>
        <w:tc>
          <w:tcPr>
            <w:tcW w:type="dxa" w:w="1100"/>
            <w:tcMar>
              <w:top w:type="dxa" w:w="60"/>
              <w:left w:type="dxa" w:w="100"/>
              <w:bottom w:type="dxa" w:w="60"/>
              <w:right w:type="dxa" w:w="100"/>
            </w:tcMar>
            <w:vAlign w:val="center"/>
          </w:tcPr>
          <w:p>
            <w:pPr>
              <w:jc w:val="center"/>
            </w:pPr>
            <w:r>
              <w:rPr>
                <w:sz w:val="20"/>
                <w:szCs w:val="20"/>
              </w:rPr>
              <w:t xml:space="preserve">84.64</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700"/>
            <w:tcMar>
              <w:top w:type="dxa" w:w="60"/>
              <w:left w:type="dxa" w:w="100"/>
              <w:bottom w:type="dxa" w:w="60"/>
              <w:right w:type="dxa" w:w="100"/>
            </w:tcMar>
            <w:vAlign w:val="center"/>
          </w:tcPr>
          <w:p>
            <w:pPr>
              <w:jc w:val="center"/>
            </w:pPr>
            <w:r>
              <w:rPr>
                <w:sz w:val="20"/>
                <w:szCs w:val="20"/>
              </w:rPr>
              <w:t xml:space="preserve">7.44%</w:t>
            </w:r>
          </w:p>
        </w:tc>
        <w:tc>
          <w:tcPr>
            <w:tcW w:type="dxa" w:w="1100"/>
            <w:tcMar>
              <w:top w:type="dxa" w:w="60"/>
              <w:left w:type="dxa" w:w="100"/>
              <w:bottom w:type="dxa" w:w="60"/>
              <w:right w:type="dxa" w:w="100"/>
            </w:tcMar>
            <w:vAlign w:val="center"/>
          </w:tcPr>
          <w:p>
            <w:pPr>
              <w:jc w:val="center"/>
            </w:pPr>
            <w:r>
              <w:rPr>
                <w:sz w:val="20"/>
                <w:szCs w:val="20"/>
              </w:rPr>
              <w:t xml:space="preserve">99.25</w:t>
            </w:r>
          </w:p>
        </w:tc>
        <w:tc>
          <w:tcPr>
            <w:tcW w:type="dxa" w:w="900"/>
            <w:tcMar>
              <w:top w:type="dxa" w:w="60"/>
              <w:left w:type="dxa" w:w="100"/>
              <w:bottom w:type="dxa" w:w="60"/>
              <w:right w:type="dxa" w:w="100"/>
            </w:tcMar>
            <w:vAlign w:val="center"/>
          </w:tcPr>
          <w:p>
            <w:pPr>
              <w:jc w:val="center"/>
            </w:pPr>
            <w:r>
              <w:rPr>
                <w:sz w:val="20"/>
                <w:szCs w:val="20"/>
              </w:rPr>
              <w:t xml:space="preserve">30</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w:t>
            </w:r>
          </w:p>
        </w:tc>
        <w:tc>
          <w:tcPr>
            <w:tcW w:type="dxa" w:w="2500"/>
            <w:tcMar>
              <w:top w:type="dxa" w:w="60"/>
              <w:left w:type="dxa" w:w="100"/>
              <w:bottom w:type="dxa" w:w="60"/>
              <w:right w:type="dxa" w:w="100"/>
            </w:tcMar>
            <w:vAlign w:val="center"/>
          </w:tcPr>
          <w:p>
            <w:pPr>
              <w:jc w:val="center"/>
            </w:pPr>
            <w:r>
              <w:rPr>
                <w:sz w:val="20"/>
                <w:szCs w:val="20"/>
              </w:rPr>
              <w:t xml:space="preserve">FP32 federated model</w:t>
            </w:r>
          </w:p>
        </w:tc>
        <w:tc>
          <w:tcPr>
            <w:tcW w:type="dxa" w:w="1100"/>
            <w:tcMar>
              <w:top w:type="dxa" w:w="60"/>
              <w:left w:type="dxa" w:w="100"/>
              <w:bottom w:type="dxa" w:w="60"/>
              <w:right w:type="dxa" w:w="100"/>
            </w:tcMar>
            <w:vAlign w:val="center"/>
          </w:tcPr>
          <w:p>
            <w:pPr>
              <w:jc w:val="center"/>
            </w:pPr>
            <w:r>
              <w:rPr>
                <w:sz w:val="20"/>
                <w:szCs w:val="20"/>
              </w:rPr>
              <w:t xml:space="preserve">85.70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700"/>
            <w:tcMar>
              <w:top w:type="dxa" w:w="60"/>
              <w:left w:type="dxa" w:w="100"/>
              <w:bottom w:type="dxa" w:w="60"/>
              <w:right w:type="dxa" w:w="100"/>
            </w:tcMar>
            <w:vAlign w:val="center"/>
          </w:tcPr>
          <w:p>
            <w:pPr>
              <w:jc w:val="center"/>
            </w:pPr>
            <w:r>
              <w:rPr>
                <w:sz w:val="20"/>
                <w:szCs w:val="20"/>
              </w:rPr>
              <w:t xml:space="preserve">6.84%</w:t>
            </w:r>
          </w:p>
        </w:tc>
        <w:tc>
          <w:tcPr>
            <w:tcW w:type="dxa" w:w="1100"/>
            <w:tcMar>
              <w:top w:type="dxa" w:w="60"/>
              <w:left w:type="dxa" w:w="100"/>
              <w:bottom w:type="dxa" w:w="60"/>
              <w:right w:type="dxa" w:w="100"/>
            </w:tcMar>
            <w:vAlign w:val="center"/>
          </w:tcPr>
          <w:p>
            <w:pPr>
              <w:jc w:val="center"/>
            </w:pPr>
            <w:r>
              <w:rPr>
                <w:sz w:val="20"/>
                <w:szCs w:val="20"/>
              </w:rPr>
              <w:t xml:space="preserve">99.41</w:t>
            </w:r>
          </w:p>
        </w:tc>
        <w:tc>
          <w:tcPr>
            <w:tcW w:type="dxa" w:w="900"/>
            <w:tcMar>
              <w:top w:type="dxa" w:w="60"/>
              <w:left w:type="dxa" w:w="100"/>
              <w:bottom w:type="dxa" w:w="60"/>
              <w:right w:type="dxa" w:w="100"/>
            </w:tcMar>
            <w:vAlign w:val="center"/>
          </w:tcPr>
          <w:p>
            <w:pPr>
              <w:jc w:val="center"/>
            </w:pPr>
            <w:r>
              <w:rPr>
                <w:sz w:val="20"/>
                <w:szCs w:val="20"/>
              </w:rPr>
              <w:t xml:space="preserve">19</w:t>
            </w:r>
          </w:p>
        </w:tc>
        <w:tc>
          <w:tcPr>
            <w:tcW w:type="dxa" w:w="700"/>
            <w:tcMar>
              <w:top w:type="dxa" w:w="60"/>
              <w:left w:type="dxa" w:w="100"/>
              <w:bottom w:type="dxa" w:w="60"/>
              <w:right w:type="dxa" w:w="100"/>
            </w:tcMar>
            <w:vAlign w:val="center"/>
          </w:tcPr>
          <w:p>
            <w:pPr>
              <w:jc w:val="center"/>
            </w:pPr>
            <w:r>
              <w:rPr>
                <w:sz w:val="20"/>
                <w:szCs w:val="20"/>
              </w:rPr>
              <w:t xml:space="preserve">3.61%</w:t>
            </w:r>
          </w:p>
        </w:tc>
      </w:tr>
    </w:tbl>
    <w:p>
      <w:pPr>
        <w:spacing w:after="240" w:before="80"/>
      </w:pPr>
      <w:r>
        <w:rPr>
          <w:i/>
          <w:iCs/>
          <w:sz w:val="20"/>
          <w:szCs w:val="20"/>
        </w:rPr>
        <w:t xml:space="preserve">Table 15. Full-integer PTQ of the unpruned near-IID federated models with different range estimators: mean F1 [minimum], mean missed attacks, mean FAR. Real-data rows use the 15 calibration sets of Table 7 (2,000 samples). Data-free rows use no client data: synthetic inputs are 3 draws of 2,000 standard-normal vectors; BN rows set each hidden range to max over channels of (mean + k·SD) from the federated BatchNorm statistics. CLE = cross-layer equalization [29]. Source: runs 2026-10-05_x1_calib_methods and _x3_data_free_calib.</w:t>
      </w:r>
    </w:p>
    <w:p>
      <w:pPr>
        <w:spacing w:after="160"/>
      </w:pPr>
      <w:r>
        <w:t xml:space="preserve">Only estimators that clip hard remove the collapses: the 99.9th percentile and our ±5 SD input clip. The 99.99th percentile, the MSE-optimal clip and KL calibration still fail on some calibration sets (minimum F1 29–44 on CIC-IDS2017, 35–97 on TON_IoT): the rare extreme records that stretch the ranges are too rare to move a per-tensor MSE or KL objective. With the same per-tensor weights, the 99.9th percentile is at least as good as our clip (TON_IoT FAR 3.55% vs. 4.94%; CIC-IDS2017 misses 58 vs. 239). Per-channel weights barely change min/max calibration, but with clipped inputs they cut CIC-IDS2017 misses from 239 to 68, and CLE recovers the same effect for per-tensor weights (58).</w:t>
      </w:r>
    </w:p>
    <w:p>
      <w:pPr>
        <w:spacing w:after="160"/>
      </w:pPr>
      <w:r>
        <w:t xml:space="preserve">The server can also calibrate without any client data. Because the inputs are standardized, synthetic standard-normal inputs are a usable calibration set, and the federated BatchNorm statistics, which FedAvg averages like any other weight, give each post-ReLU activation's mean and standard deviation. Both match clipped real-data calibration on both datasets, and CLE with BatchNorm-derived ranges (k = 6) gives the best CIC-IDS2017 PTQ result (F1 84.64, 55 missed). k = 3 is too tight (532 and 282 missed).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11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Variant (base recipe, 5 fine-tuning draws)</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missed / 16,215</w:t>
            </w:r>
          </w:p>
        </w:tc>
      </w:tr>
      <w:tr>
        <w:tc>
          <w:tcPr>
            <w:tcW w:type="dxa" w:w="3300"/>
            <w:tcMar>
              <w:top w:type="dxa" w:w="60"/>
              <w:left w:type="dxa" w:w="100"/>
              <w:bottom w:type="dxa" w:w="60"/>
              <w:right w:type="dxa" w:w="100"/>
            </w:tcMar>
            <w:vAlign w:val="center"/>
          </w:tcPr>
          <w:p>
            <w:pPr>
              <w:jc w:val="left"/>
            </w:pPr>
            <w:r>
              <w:rPr>
                <w:sz w:val="20"/>
                <w:szCs w:val="20"/>
              </w:rPr>
              <w:t xml:space="preserve">PTQ, min/max (TFLite)</w:t>
            </w:r>
          </w:p>
        </w:tc>
        <w:tc>
          <w:tcPr>
            <w:tcW w:type="dxa" w:w="1600"/>
            <w:tcMar>
              <w:top w:type="dxa" w:w="60"/>
              <w:left w:type="dxa" w:w="100"/>
              <w:bottom w:type="dxa" w:w="60"/>
              <w:right w:type="dxa" w:w="100"/>
            </w:tcMar>
            <w:vAlign w:val="center"/>
          </w:tcPr>
          <w:p>
            <w:pPr>
              <w:jc w:val="center"/>
            </w:pPr>
            <w:r>
              <w:rPr>
                <w:sz w:val="20"/>
                <w:szCs w:val="20"/>
              </w:rPr>
              <w:t xml:space="preserve">85.81 [79.37–89.05]</w:t>
            </w:r>
          </w:p>
        </w:tc>
        <w:tc>
          <w:tcPr>
            <w:tcW w:type="dxa" w:w="1100"/>
            <w:tcMar>
              <w:top w:type="dxa" w:w="60"/>
              <w:left w:type="dxa" w:w="100"/>
              <w:bottom w:type="dxa" w:w="60"/>
              <w:right w:type="dxa" w:w="100"/>
            </w:tcMar>
            <w:vAlign w:val="center"/>
          </w:tcPr>
          <w:p>
            <w:pPr>
              <w:jc w:val="center"/>
            </w:pPr>
            <w:r>
              <w:rPr>
                <w:sz w:val="20"/>
                <w:szCs w:val="20"/>
              </w:rPr>
              <w:t xml:space="preserve">562</w:t>
            </w:r>
          </w:p>
        </w:tc>
        <w:tc>
          <w:tcPr>
            <w:tcW w:type="dxa" w:w="1600"/>
            <w:tcMar>
              <w:top w:type="dxa" w:w="60"/>
              <w:left w:type="dxa" w:w="100"/>
              <w:bottom w:type="dxa" w:w="60"/>
              <w:right w:type="dxa" w:w="100"/>
            </w:tcMar>
            <w:vAlign w:val="center"/>
          </w:tcPr>
          <w:p>
            <w:pPr>
              <w:jc w:val="center"/>
            </w:pPr>
            <w:r>
              <w:rPr>
                <w:sz w:val="20"/>
                <w:szCs w:val="20"/>
              </w:rPr>
              <w:t xml:space="preserve">98.62 [96.89–99.19]</w:t>
            </w:r>
          </w:p>
        </w:tc>
        <w:tc>
          <w:tcPr>
            <w:tcW w:type="dxa" w:w="1100"/>
            <w:tcMar>
              <w:top w:type="dxa" w:w="60"/>
              <w:left w:type="dxa" w:w="100"/>
              <w:bottom w:type="dxa" w:w="60"/>
              <w:right w:type="dxa" w:w="100"/>
            </w:tcMar>
            <w:vAlign w:val="center"/>
          </w:tcPr>
          <w:p>
            <w:pPr>
              <w:jc w:val="center"/>
            </w:pPr>
            <w:r>
              <w:rPr>
                <w:sz w:val="20"/>
                <w:szCs w:val="20"/>
              </w:rPr>
              <w:t xml:space="preserve">351</w:t>
            </w:r>
          </w:p>
        </w:tc>
      </w:tr>
      <w:tr>
        <w:tc>
          <w:tcPr>
            <w:tcW w:type="dxa" w:w="3300"/>
            <w:tcMar>
              <w:top w:type="dxa" w:w="60"/>
              <w:left w:type="dxa" w:w="100"/>
              <w:bottom w:type="dxa" w:w="60"/>
              <w:right w:type="dxa" w:w="100"/>
            </w:tcMar>
            <w:vAlign w:val="center"/>
          </w:tcPr>
          <w:p>
            <w:pPr>
              <w:jc w:val="left"/>
            </w:pPr>
            <w:r>
              <w:rPr>
                <w:sz w:val="20"/>
                <w:szCs w:val="20"/>
              </w:rPr>
              <w:t xml:space="preserve">QAT, tfmot default</w:t>
            </w:r>
          </w:p>
        </w:tc>
        <w:tc>
          <w:tcPr>
            <w:tcW w:type="dxa" w:w="1600"/>
            <w:tcMar>
              <w:top w:type="dxa" w:w="60"/>
              <w:left w:type="dxa" w:w="100"/>
              <w:bottom w:type="dxa" w:w="60"/>
              <w:right w:type="dxa" w:w="100"/>
            </w:tcMar>
            <w:vAlign w:val="center"/>
          </w:tcPr>
          <w:p>
            <w:pPr>
              <w:jc w:val="center"/>
            </w:pPr>
            <w:r>
              <w:rPr>
                <w:sz w:val="20"/>
                <w:szCs w:val="20"/>
              </w:rPr>
              <w:t xml:space="preserve">88.02 [86.77–89.28]</w:t>
            </w:r>
          </w:p>
        </w:tc>
        <w:tc>
          <w:tcPr>
            <w:tcW w:type="dxa" w:w="1100"/>
            <w:tcMar>
              <w:top w:type="dxa" w:w="60"/>
              <w:left w:type="dxa" w:w="100"/>
              <w:bottom w:type="dxa" w:w="60"/>
              <w:right w:type="dxa" w:w="100"/>
            </w:tcMar>
            <w:vAlign w:val="center"/>
          </w:tcPr>
          <w:p>
            <w:pPr>
              <w:jc w:val="center"/>
            </w:pPr>
            <w:r>
              <w:rPr>
                <w:sz w:val="20"/>
                <w:szCs w:val="20"/>
              </w:rPr>
              <w:t xml:space="preserve">513</w:t>
            </w:r>
          </w:p>
        </w:tc>
        <w:tc>
          <w:tcPr>
            <w:tcW w:type="dxa" w:w="1600"/>
            <w:tcMar>
              <w:top w:type="dxa" w:w="60"/>
              <w:left w:type="dxa" w:w="100"/>
              <w:bottom w:type="dxa" w:w="60"/>
              <w:right w:type="dxa" w:w="100"/>
            </w:tcMar>
            <w:vAlign w:val="center"/>
          </w:tcPr>
          <w:p>
            <w:pPr>
              <w:jc w:val="center"/>
            </w:pPr>
            <w:r>
              <w:rPr>
                <w:sz w:val="20"/>
                <w:szCs w:val="20"/>
              </w:rPr>
              <w:t xml:space="preserve">99.00 [98.79–99.51]</w:t>
            </w:r>
          </w:p>
        </w:tc>
        <w:tc>
          <w:tcPr>
            <w:tcW w:type="dxa" w:w="1100"/>
            <w:tcMar>
              <w:top w:type="dxa" w:w="60"/>
              <w:left w:type="dxa" w:w="100"/>
              <w:bottom w:type="dxa" w:w="60"/>
              <w:right w:type="dxa" w:w="100"/>
            </w:tcMar>
            <w:vAlign w:val="center"/>
          </w:tcPr>
          <w:p>
            <w:pPr>
              <w:jc w:val="center"/>
            </w:pPr>
            <w:r>
              <w:rPr>
                <w:sz w:val="20"/>
                <w:szCs w:val="20"/>
              </w:rPr>
              <w:t xml:space="preserve">204</w:t>
            </w:r>
          </w:p>
        </w:tc>
      </w:tr>
      <w:tr>
        <w:tc>
          <w:tcPr>
            <w:tcW w:type="dxa" w:w="3300"/>
            <w:tcMar>
              <w:top w:type="dxa" w:w="60"/>
              <w:left w:type="dxa" w:w="100"/>
              <w:bottom w:type="dxa" w:w="60"/>
              <w:right w:type="dxa" w:w="100"/>
            </w:tcMar>
            <w:vAlign w:val="center"/>
          </w:tcPr>
          <w:p>
            <w:pPr>
              <w:jc w:val="left"/>
            </w:pPr>
            <w:r>
              <w:rPr>
                <w:sz w:val="20"/>
                <w:szCs w:val="20"/>
              </w:rPr>
              <w:t xml:space="preserve">QAT, calibrated start (5 estimators)</w:t>
            </w:r>
          </w:p>
        </w:tc>
        <w:tc>
          <w:tcPr>
            <w:tcW w:type="dxa" w:w="1600"/>
            <w:tcMar>
              <w:top w:type="dxa" w:w="60"/>
              <w:left w:type="dxa" w:w="100"/>
              <w:bottom w:type="dxa" w:w="60"/>
              <w:right w:type="dxa" w:w="100"/>
            </w:tcMar>
            <w:vAlign w:val="center"/>
          </w:tcPr>
          <w:p>
            <w:pPr>
              <w:jc w:val="center"/>
            </w:pPr>
            <w:r>
              <w:rPr>
                <w:sz w:val="20"/>
                <w:szCs w:val="20"/>
              </w:rPr>
              <w:t xml:space="preserve">87.79–88.18</w:t>
            </w:r>
          </w:p>
        </w:tc>
        <w:tc>
          <w:tcPr>
            <w:tcW w:type="dxa" w:w="1100"/>
            <w:tcMar>
              <w:top w:type="dxa" w:w="60"/>
              <w:left w:type="dxa" w:w="100"/>
              <w:bottom w:type="dxa" w:w="60"/>
              <w:right w:type="dxa" w:w="100"/>
            </w:tcMar>
            <w:vAlign w:val="center"/>
          </w:tcPr>
          <w:p>
            <w:pPr>
              <w:jc w:val="center"/>
            </w:pPr>
            <w:r>
              <w:rPr>
                <w:sz w:val="20"/>
                <w:szCs w:val="20"/>
              </w:rPr>
              <w:t xml:space="preserve">447–664</w:t>
            </w:r>
          </w:p>
        </w:tc>
        <w:tc>
          <w:tcPr>
            <w:tcW w:type="dxa" w:w="1600"/>
            <w:tcMar>
              <w:top w:type="dxa" w:w="60"/>
              <w:left w:type="dxa" w:w="100"/>
              <w:bottom w:type="dxa" w:w="60"/>
              <w:right w:type="dxa" w:w="100"/>
            </w:tcMar>
            <w:vAlign w:val="center"/>
          </w:tcPr>
          <w:p>
            <w:pPr>
              <w:jc w:val="center"/>
            </w:pPr>
            <w:r>
              <w:rPr>
                <w:sz w:val="20"/>
                <w:szCs w:val="20"/>
              </w:rPr>
              <w:t xml:space="preserve">98.99–99.03</w:t>
            </w:r>
          </w:p>
        </w:tc>
        <w:tc>
          <w:tcPr>
            <w:tcW w:type="dxa" w:w="1100"/>
            <w:tcMar>
              <w:top w:type="dxa" w:w="60"/>
              <w:left w:type="dxa" w:w="100"/>
              <w:bottom w:type="dxa" w:w="60"/>
              <w:right w:type="dxa" w:w="100"/>
            </w:tcMar>
            <w:vAlign w:val="center"/>
          </w:tcPr>
          <w:p>
            <w:pPr>
              <w:jc w:val="center"/>
            </w:pPr>
            <w:r>
              <w:rPr>
                <w:sz w:val="20"/>
                <w:szCs w:val="20"/>
              </w:rPr>
              <w:t xml:space="preserve">194–208</w:t>
            </w:r>
          </w:p>
        </w:tc>
      </w:tr>
      <w:tr>
        <w:tc>
          <w:tcPr>
            <w:tcW w:type="dxa" w:w="3300"/>
            <w:tcMar>
              <w:top w:type="dxa" w:w="60"/>
              <w:left w:type="dxa" w:w="100"/>
              <w:bottom w:type="dxa" w:w="60"/>
              <w:right w:type="dxa" w:w="100"/>
            </w:tcMar>
            <w:vAlign w:val="center"/>
          </w:tcPr>
          <w:p>
            <w:pPr>
              <w:jc w:val="left"/>
            </w:pPr>
            <w:r>
              <w:rPr>
                <w:sz w:val="20"/>
                <w:szCs w:val="20"/>
              </w:rPr>
              <w:t xml:space="preserve">QAT, ranges fixed at min/max</w:t>
            </w:r>
          </w:p>
        </w:tc>
        <w:tc>
          <w:tcPr>
            <w:tcW w:type="dxa" w:w="1600"/>
            <w:tcMar>
              <w:top w:type="dxa" w:w="60"/>
              <w:left w:type="dxa" w:w="100"/>
              <w:bottom w:type="dxa" w:w="60"/>
              <w:right w:type="dxa" w:w="100"/>
            </w:tcMar>
            <w:vAlign w:val="center"/>
          </w:tcPr>
          <w:p>
            <w:pPr>
              <w:jc w:val="center"/>
            </w:pPr>
            <w:r>
              <w:rPr>
                <w:sz w:val="20"/>
                <w:szCs w:val="20"/>
              </w:rPr>
              <w:t xml:space="preserve">89.49 [87.41–91.43]</w:t>
            </w:r>
          </w:p>
        </w:tc>
        <w:tc>
          <w:tcPr>
            <w:tcW w:type="dxa" w:w="1100"/>
            <w:tcMar>
              <w:top w:type="dxa" w:w="60"/>
              <w:left w:type="dxa" w:w="100"/>
              <w:bottom w:type="dxa" w:w="60"/>
              <w:right w:type="dxa" w:w="100"/>
            </w:tcMar>
            <w:vAlign w:val="center"/>
          </w:tcPr>
          <w:p>
            <w:pPr>
              <w:jc w:val="center"/>
            </w:pPr>
            <w:r>
              <w:rPr>
                <w:sz w:val="20"/>
                <w:szCs w:val="20"/>
              </w:rPr>
              <w:t xml:space="preserve">757</w:t>
            </w:r>
          </w:p>
        </w:tc>
        <w:tc>
          <w:tcPr>
            <w:tcW w:type="dxa" w:w="1600"/>
            <w:tcMar>
              <w:top w:type="dxa" w:w="60"/>
              <w:left w:type="dxa" w:w="100"/>
              <w:bottom w:type="dxa" w:w="60"/>
              <w:right w:type="dxa" w:w="100"/>
            </w:tcMar>
            <w:vAlign w:val="center"/>
          </w:tcPr>
          <w:p>
            <w:pPr>
              <w:jc w:val="center"/>
            </w:pPr>
            <w:r>
              <w:rPr>
                <w:sz w:val="20"/>
                <w:szCs w:val="20"/>
              </w:rPr>
              <w:t xml:space="preserve">99.46 [99.40–99.53]</w:t>
            </w:r>
          </w:p>
        </w:tc>
        <w:tc>
          <w:tcPr>
            <w:tcW w:type="dxa" w:w="1100"/>
            <w:tcMar>
              <w:top w:type="dxa" w:w="60"/>
              <w:left w:type="dxa" w:w="100"/>
              <w:bottom w:type="dxa" w:w="60"/>
              <w:right w:type="dxa" w:w="100"/>
            </w:tcMar>
            <w:vAlign w:val="center"/>
          </w:tcPr>
          <w:p>
            <w:pPr>
              <w:jc w:val="center"/>
            </w:pPr>
            <w:r>
              <w:rPr>
                <w:sz w:val="20"/>
                <w:szCs w:val="20"/>
              </w:rPr>
              <w:t xml:space="preserve">74</w:t>
            </w:r>
          </w:p>
        </w:tc>
      </w:tr>
      <w:tr>
        <w:tc>
          <w:tcPr>
            <w:tcW w:type="dxa" w:w="3300"/>
            <w:tcMar>
              <w:top w:type="dxa" w:w="60"/>
              <w:left w:type="dxa" w:w="100"/>
              <w:bottom w:type="dxa" w:w="60"/>
              <w:right w:type="dxa" w:w="100"/>
            </w:tcMar>
            <w:vAlign w:val="center"/>
          </w:tcPr>
          <w:p>
            <w:pPr>
              <w:jc w:val="left"/>
            </w:pPr>
            <w:r>
              <w:rPr>
                <w:sz w:val="20"/>
                <w:szCs w:val="20"/>
              </w:rPr>
              <w:t xml:space="preserve">QAT, ranges fixed at percentile 99.99</w:t>
            </w:r>
          </w:p>
        </w:tc>
        <w:tc>
          <w:tcPr>
            <w:tcW w:type="dxa" w:w="1600"/>
            <w:tcMar>
              <w:top w:type="dxa" w:w="60"/>
              <w:left w:type="dxa" w:w="100"/>
              <w:bottom w:type="dxa" w:w="60"/>
              <w:right w:type="dxa" w:w="100"/>
            </w:tcMar>
            <w:vAlign w:val="center"/>
          </w:tcPr>
          <w:p>
            <w:pPr>
              <w:jc w:val="center"/>
            </w:pPr>
            <w:r>
              <w:rPr>
                <w:sz w:val="20"/>
                <w:szCs w:val="20"/>
              </w:rPr>
              <w:t xml:space="preserve">88.58 [87.42–89.95]</w:t>
            </w:r>
          </w:p>
        </w:tc>
        <w:tc>
          <w:tcPr>
            <w:tcW w:type="dxa" w:w="1100"/>
            <w:tcMar>
              <w:top w:type="dxa" w:w="60"/>
              <w:left w:type="dxa" w:w="100"/>
              <w:bottom w:type="dxa" w:w="60"/>
              <w:right w:type="dxa" w:w="100"/>
            </w:tcMar>
            <w:vAlign w:val="center"/>
          </w:tcPr>
          <w:p>
            <w:pPr>
              <w:jc w:val="center"/>
            </w:pPr>
            <w:r>
              <w:rPr>
                <w:sz w:val="20"/>
                <w:szCs w:val="20"/>
              </w:rPr>
              <w:t xml:space="preserve">392</w:t>
            </w:r>
          </w:p>
        </w:tc>
        <w:tc>
          <w:tcPr>
            <w:tcW w:type="dxa" w:w="1600"/>
            <w:tcMar>
              <w:top w:type="dxa" w:w="60"/>
              <w:left w:type="dxa" w:w="100"/>
              <w:bottom w:type="dxa" w:w="60"/>
              <w:right w:type="dxa" w:w="100"/>
            </w:tcMar>
            <w:vAlign w:val="center"/>
          </w:tcPr>
          <w:p>
            <w:pPr>
              <w:jc w:val="center"/>
            </w:pPr>
            <w:r>
              <w:rPr>
                <w:sz w:val="20"/>
                <w:szCs w:val="20"/>
              </w:rPr>
              <w:t xml:space="preserve">99.47 [99.44–99.51]</w:t>
            </w:r>
          </w:p>
        </w:tc>
        <w:tc>
          <w:tcPr>
            <w:tcW w:type="dxa" w:w="1100"/>
            <w:tcMar>
              <w:top w:type="dxa" w:w="60"/>
              <w:left w:type="dxa" w:w="100"/>
              <w:bottom w:type="dxa" w:w="60"/>
              <w:right w:type="dxa" w:w="100"/>
            </w:tcMar>
            <w:vAlign w:val="center"/>
          </w:tcPr>
          <w:p>
            <w:pPr>
              <w:jc w:val="center"/>
            </w:pPr>
            <w:r>
              <w:rPr>
                <w:sz w:val="20"/>
                <w:szCs w:val="20"/>
              </w:rPr>
              <w:t xml:space="preserve">70</w:t>
            </w:r>
          </w:p>
        </w:tc>
      </w:tr>
      <w:tr>
        <w:tc>
          <w:tcPr>
            <w:tcW w:type="dxa" w:w="3300"/>
            <w:tcMar>
              <w:top w:type="dxa" w:w="60"/>
              <w:left w:type="dxa" w:w="100"/>
              <w:bottom w:type="dxa" w:w="60"/>
              <w:right w:type="dxa" w:w="100"/>
            </w:tcMar>
            <w:vAlign w:val="center"/>
          </w:tcPr>
          <w:p>
            <w:pPr>
              <w:jc w:val="left"/>
            </w:pPr>
            <w:r>
              <w:rPr>
                <w:sz w:val="20"/>
                <w:szCs w:val="20"/>
              </w:rPr>
              <w:t xml:space="preserve">QAT, ranges fixed at MSE clip</w:t>
            </w:r>
          </w:p>
        </w:tc>
        <w:tc>
          <w:tcPr>
            <w:tcW w:type="dxa" w:w="1600"/>
            <w:tcMar>
              <w:top w:type="dxa" w:w="60"/>
              <w:left w:type="dxa" w:w="100"/>
              <w:bottom w:type="dxa" w:w="60"/>
              <w:right w:type="dxa" w:w="100"/>
            </w:tcMar>
            <w:vAlign w:val="center"/>
          </w:tcPr>
          <w:p>
            <w:pPr>
              <w:jc w:val="center"/>
            </w:pPr>
            <w:r>
              <w:rPr>
                <w:sz w:val="20"/>
                <w:szCs w:val="20"/>
              </w:rPr>
              <w:t xml:space="preserve">88.62 [87.25–90.08]</w:t>
            </w:r>
          </w:p>
        </w:tc>
        <w:tc>
          <w:tcPr>
            <w:tcW w:type="dxa" w:w="1100"/>
            <w:tcMar>
              <w:top w:type="dxa" w:w="60"/>
              <w:left w:type="dxa" w:w="100"/>
              <w:bottom w:type="dxa" w:w="60"/>
              <w:right w:type="dxa" w:w="100"/>
            </w:tcMar>
            <w:vAlign w:val="center"/>
          </w:tcPr>
          <w:p>
            <w:pPr>
              <w:jc w:val="center"/>
            </w:pPr>
            <w:r>
              <w:rPr>
                <w:sz w:val="20"/>
                <w:szCs w:val="20"/>
              </w:rPr>
              <w:t xml:space="preserve">839</w:t>
            </w:r>
          </w:p>
        </w:tc>
        <w:tc>
          <w:tcPr>
            <w:tcW w:type="dxa" w:w="1600"/>
            <w:tcMar>
              <w:top w:type="dxa" w:w="60"/>
              <w:left w:type="dxa" w:w="100"/>
              <w:bottom w:type="dxa" w:w="60"/>
              <w:right w:type="dxa" w:w="100"/>
            </w:tcMar>
            <w:vAlign w:val="center"/>
          </w:tcPr>
          <w:p>
            <w:pPr>
              <w:jc w:val="center"/>
            </w:pPr>
            <w:r>
              <w:rPr>
                <w:sz w:val="20"/>
                <w:szCs w:val="20"/>
              </w:rPr>
              <w:t xml:space="preserve">99.47 [99.43–99.56]</w:t>
            </w:r>
          </w:p>
        </w:tc>
        <w:tc>
          <w:tcPr>
            <w:tcW w:type="dxa" w:w="1100"/>
            <w:tcMar>
              <w:top w:type="dxa" w:w="60"/>
              <w:left w:type="dxa" w:w="100"/>
              <w:bottom w:type="dxa" w:w="60"/>
              <w:right w:type="dxa" w:w="100"/>
            </w:tcMar>
            <w:vAlign w:val="center"/>
          </w:tcPr>
          <w:p>
            <w:pPr>
              <w:jc w:val="center"/>
            </w:pPr>
            <w:r>
              <w:rPr>
                <w:sz w:val="20"/>
                <w:szCs w:val="20"/>
              </w:rPr>
              <w:t xml:space="preserve">76</w:t>
            </w:r>
          </w:p>
        </w:tc>
      </w:tr>
      <w:tr>
        <w:tc>
          <w:tcPr>
            <w:tcW w:type="dxa" w:w="3300"/>
            <w:tcMar>
              <w:top w:type="dxa" w:w="60"/>
              <w:left w:type="dxa" w:w="100"/>
              <w:bottom w:type="dxa" w:w="60"/>
              <w:right w:type="dxa" w:w="100"/>
            </w:tcMar>
            <w:vAlign w:val="center"/>
          </w:tcPr>
          <w:p>
            <w:pPr>
              <w:jc w:val="left"/>
            </w:pPr>
            <w:r>
              <w:rPr>
                <w:sz w:val="20"/>
                <w:szCs w:val="20"/>
              </w:rPr>
              <w:t xml:space="preserve">QAT, ranges fixed at ±5 SD</w:t>
            </w:r>
          </w:p>
        </w:tc>
        <w:tc>
          <w:tcPr>
            <w:tcW w:type="dxa" w:w="1600"/>
            <w:tcMar>
              <w:top w:type="dxa" w:w="60"/>
              <w:left w:type="dxa" w:w="100"/>
              <w:bottom w:type="dxa" w:w="60"/>
              <w:right w:type="dxa" w:w="100"/>
            </w:tcMar>
            <w:vAlign w:val="center"/>
          </w:tcPr>
          <w:p>
            <w:pPr>
              <w:jc w:val="center"/>
            </w:pPr>
            <w:r>
              <w:rPr>
                <w:sz w:val="20"/>
                <w:szCs w:val="20"/>
              </w:rPr>
              <w:t xml:space="preserve">88.10 [87.43–89.01]</w:t>
            </w:r>
          </w:p>
        </w:tc>
        <w:tc>
          <w:tcPr>
            <w:tcW w:type="dxa" w:w="1100"/>
            <w:tcMar>
              <w:top w:type="dxa" w:w="60"/>
              <w:left w:type="dxa" w:w="100"/>
              <w:bottom w:type="dxa" w:w="60"/>
              <w:right w:type="dxa" w:w="100"/>
            </w:tcMar>
            <w:vAlign w:val="center"/>
          </w:tcPr>
          <w:p>
            <w:pPr>
              <w:jc w:val="center"/>
            </w:pPr>
            <w:r>
              <w:rPr>
                <w:sz w:val="20"/>
                <w:szCs w:val="20"/>
              </w:rPr>
              <w:t xml:space="preserve">598</w:t>
            </w:r>
          </w:p>
        </w:tc>
        <w:tc>
          <w:tcPr>
            <w:tcW w:type="dxa" w:w="1600"/>
            <w:tcMar>
              <w:top w:type="dxa" w:w="60"/>
              <w:left w:type="dxa" w:w="100"/>
              <w:bottom w:type="dxa" w:w="60"/>
              <w:right w:type="dxa" w:w="100"/>
            </w:tcMar>
            <w:vAlign w:val="center"/>
          </w:tcPr>
          <w:p>
            <w:pPr>
              <w:jc w:val="center"/>
            </w:pPr>
            <w:r>
              <w:rPr>
                <w:sz w:val="20"/>
                <w:szCs w:val="20"/>
              </w:rPr>
              <w:t xml:space="preserve">99.34 [99.16–99.43]</w:t>
            </w:r>
          </w:p>
        </w:tc>
        <w:tc>
          <w:tcPr>
            <w:tcW w:type="dxa" w:w="1100"/>
            <w:tcMar>
              <w:top w:type="dxa" w:w="60"/>
              <w:left w:type="dxa" w:w="100"/>
              <w:bottom w:type="dxa" w:w="60"/>
              <w:right w:type="dxa" w:w="100"/>
            </w:tcMar>
            <w:vAlign w:val="center"/>
          </w:tcPr>
          <w:p>
            <w:pPr>
              <w:jc w:val="center"/>
            </w:pPr>
            <w:r>
              <w:rPr>
                <w:sz w:val="20"/>
                <w:szCs w:val="20"/>
              </w:rPr>
              <w:t xml:space="preserve">79</w:t>
            </w:r>
          </w:p>
        </w:tc>
      </w:tr>
      <w:tr>
        <w:tc>
          <w:tcPr>
            <w:tcW w:type="dxa" w:w="3300"/>
            <w:tcMar>
              <w:top w:type="dxa" w:w="60"/>
              <w:left w:type="dxa" w:w="100"/>
              <w:bottom w:type="dxa" w:w="60"/>
              <w:right w:type="dxa" w:w="100"/>
            </w:tcMar>
            <w:vAlign w:val="center"/>
          </w:tcPr>
          <w:p>
            <w:pPr>
              <w:jc w:val="left"/>
            </w:pPr>
            <w:r>
              <w:rPr>
                <w:sz w:val="20"/>
                <w:szCs w:val="20"/>
              </w:rPr>
              <w:t xml:space="preserve">QAT, learned clip (PACT-style, 3 starts)</w:t>
            </w:r>
          </w:p>
        </w:tc>
        <w:tc>
          <w:tcPr>
            <w:tcW w:type="dxa" w:w="1600"/>
            <w:tcMar>
              <w:top w:type="dxa" w:w="60"/>
              <w:left w:type="dxa" w:w="100"/>
              <w:bottom w:type="dxa" w:w="60"/>
              <w:right w:type="dxa" w:w="100"/>
            </w:tcMar>
            <w:vAlign w:val="center"/>
          </w:tcPr>
          <w:p>
            <w:pPr>
              <w:jc w:val="center"/>
            </w:pPr>
            <w:r>
              <w:rPr>
                <w:sz w:val="20"/>
                <w:szCs w:val="20"/>
              </w:rPr>
              <w:t xml:space="preserve">87.67–88.73</w:t>
            </w:r>
          </w:p>
        </w:tc>
        <w:tc>
          <w:tcPr>
            <w:tcW w:type="dxa" w:w="1100"/>
            <w:tcMar>
              <w:top w:type="dxa" w:w="60"/>
              <w:left w:type="dxa" w:w="100"/>
              <w:bottom w:type="dxa" w:w="60"/>
              <w:right w:type="dxa" w:w="100"/>
            </w:tcMar>
            <w:vAlign w:val="center"/>
          </w:tcPr>
          <w:p>
            <w:pPr>
              <w:jc w:val="center"/>
            </w:pPr>
            <w:r>
              <w:rPr>
                <w:sz w:val="20"/>
                <w:szCs w:val="20"/>
              </w:rPr>
              <w:t xml:space="preserve">652–718</w:t>
            </w:r>
          </w:p>
        </w:tc>
        <w:tc>
          <w:tcPr>
            <w:tcW w:type="dxa" w:w="1600"/>
            <w:tcMar>
              <w:top w:type="dxa" w:w="60"/>
              <w:left w:type="dxa" w:w="100"/>
              <w:bottom w:type="dxa" w:w="60"/>
              <w:right w:type="dxa" w:w="100"/>
            </w:tcMar>
            <w:vAlign w:val="center"/>
          </w:tcPr>
          <w:p>
            <w:pPr>
              <w:jc w:val="center"/>
            </w:pPr>
            <w:r>
              <w:rPr>
                <w:sz w:val="20"/>
                <w:szCs w:val="20"/>
              </w:rPr>
              <w:t xml:space="preserve">98.99–99.00</w:t>
            </w:r>
          </w:p>
        </w:tc>
        <w:tc>
          <w:tcPr>
            <w:tcW w:type="dxa" w:w="1100"/>
            <w:tcMar>
              <w:top w:type="dxa" w:w="60"/>
              <w:left w:type="dxa" w:w="100"/>
              <w:bottom w:type="dxa" w:w="60"/>
              <w:right w:type="dxa" w:w="100"/>
            </w:tcMar>
            <w:vAlign w:val="center"/>
          </w:tcPr>
          <w:p>
            <w:pPr>
              <w:jc w:val="center"/>
            </w:pPr>
            <w:r>
              <w:rPr>
                <w:sz w:val="20"/>
                <w:szCs w:val="20"/>
              </w:rPr>
              <w:t xml:space="preserve">199–208</w:t>
            </w:r>
          </w:p>
        </w:tc>
      </w:tr>
    </w:tbl>
    <w:p>
      <w:pPr>
        <w:spacing w:after="240" w:before="80"/>
      </w:pPr>
      <w:r>
        <w:rPr>
          <w:i/>
          <w:iCs/>
          <w:sz w:val="20"/>
          <w:szCs w:val="20"/>
        </w:rPr>
        <w:t xml:space="preserve">Table 16. QAT ranges on the base recipe (prune 50% → client fine-tuning → 2 QAT epochs), five fine-tuning draws of client 0. "Calibrated start": ranges initialized from 2,000 calibration samples of the fine-tuning set and then updated by tfmot (range of the means over 5 estimators); "fixed": held at the calibrated values throughout QAT. Source: runs 2026-10-05_x2_ptq_init_qat and _x4_learned_clip_qat.</w:t>
      </w:r>
    </w:p>
    <w:p>
      <w:pPr>
        <w:spacing w:after="160"/>
      </w:pPr>
      <w:r>
        <w:t xml:space="preserve">Table 16 shows why QAT behaves differently from PTQ. tfmot's default QAT does not learn its ranges in a fine-tuning run this short: activation ranges start at ±6 and follow an exponential moving average with decay 0.999, so after our roughly 140 steps about 87% of the start remains, and the hidden ranges end near [−5.2, 10] although ReLU outputs are non-negative. The input quantizer instead tracks the minimum and maximum of every fine-tuning input (up to 61 standard deviations on CIC-IDS2017 and 85 on TON_IoT, against 12 and 27 at the 99.99th percentile). Starting QAT from calibrated ranges, the PTQ-then-QAT order recommended by Wu et al. [25], changes the hidden ranges but keeps this input range and gives the default's results. Holding all ranges at the calibrated values also keeps the input range, and it is the only variant that helps: TON_IoT misses drop from 204 to 70 (FAR 2.49% → 2.14%) and CIC-IDS2017 misses from 513 to 392. Learning the hidden clips (PACT-style [27], parameterized in log space) does not help. The bottleneck is the input quantization range, not the hidden activations. This also explains why QAT on clipped inputs was the best TON_IoT pipeline in Table 10 and why training-time QAT collapses on CIC-IDS2017 (Section 5.6).</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57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w:t>
      </w:r>
      <w:r>
        <w:t xml:space="preserve">We measured on two microcontrollers with different cores: an ESP32 (ESP32-D0WD-V3, two Xtensa LX6 cores) and an ESP32-S3 (two Xtensa LX7 cores), both at 240 MHz with ESP-IDF v4.4.7; inference runs on one core. On both boards every model reproduces the host interpreter: exactly for the FP32 models and the TON_IoT deployment model, and within one INT8 output step (0.0039) for the CIC-IDS2017 deployment model, with 8/8 decisions in agreement at each model's threshold. Table 17 gives the on-device latency over 100 inferences. The deployment models are 4.4× (CIC-IDS2017) and 7.9× (TON_IoT) faster than their FP32 federated models on the ESP32 and 2.9× and 5.4× on the ESP32-S3, which is 2.3–2.4× faster than the ESP32 for the INT8 models and 3.5× for FP32. Latency is nearly constant (95th percentile within 0.05 ms of the mean), and the tensor arena needs at most 3.9 KB on both boards. One core therefore classifies about 38 (ESP32) to 88 (ESP32-S3) CIC-IDS2017 flows, or 75 to 180 TON_IoT flows, per second. These numbers use the kernels of the TensorFlowLite_ESP32 1.0.0 library; optimized kernels and other microcontrollers would change the absolute values.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1500"/>
        <w:gridCol w:w="1500"/>
        <w:gridCol w:w="1000"/>
        <w:gridCol w:w="1100"/>
        <w:gridCol w:w="10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Flash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ESP32 mean (p95)</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ESP32-S3 mean (p95)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Tensor arena</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Max |Δ| vs. host</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Decisions agree</w:t>
            </w:r>
          </w:p>
        </w:tc>
      </w:tr>
      <w:tr>
        <w:tc>
          <w:tcPr>
            <w:tcW w:type="dxa" w:w="2700"/>
            <w:tcMar>
              <w:top w:type="dxa" w:w="60"/>
              <w:left w:type="dxa" w:w="100"/>
              <w:bottom w:type="dxa" w:w="60"/>
              <w:right w:type="dxa" w:w="100"/>
            </w:tcMar>
            <w:vAlign w:val="center"/>
          </w:tcPr>
          <w:p>
            <w:pPr>
              <w:jc w:val="left"/>
            </w:pPr>
            <w:r>
              <w:rPr>
                <w:sz w:val="20"/>
                <w:szCs w:val="20"/>
              </w:rPr>
              <w:t xml:space="preserve">CIC-IDS2017 deployment (INT8, prune 30%)</w:t>
            </w:r>
          </w:p>
        </w:tc>
        <w:tc>
          <w:tcPr>
            <w:tcW w:type="dxa" w:w="900"/>
            <w:tcMar>
              <w:top w:type="dxa" w:w="60"/>
              <w:left w:type="dxa" w:w="100"/>
              <w:bottom w:type="dxa" w:w="60"/>
              <w:right w:type="dxa" w:w="100"/>
            </w:tcMar>
            <w:vAlign w:val="center"/>
          </w:tcPr>
          <w:p>
            <w:pPr>
              <w:jc w:val="center"/>
            </w:pPr>
            <w:r>
              <w:rPr>
                <w:sz w:val="20"/>
                <w:szCs w:val="20"/>
              </w:rPr>
              <w:t xml:space="preserve">112 KB</w:t>
            </w:r>
          </w:p>
        </w:tc>
        <w:tc>
          <w:tcPr>
            <w:tcW w:type="dxa" w:w="1500"/>
            <w:tcMar>
              <w:top w:type="dxa" w:w="60"/>
              <w:left w:type="dxa" w:w="100"/>
              <w:bottom w:type="dxa" w:w="60"/>
              <w:right w:type="dxa" w:w="100"/>
            </w:tcMar>
            <w:vAlign w:val="center"/>
          </w:tcPr>
          <w:p>
            <w:pPr>
              <w:jc w:val="center"/>
            </w:pPr>
            <w:r>
              <w:rPr>
                <w:sz w:val="20"/>
                <w:szCs w:val="20"/>
              </w:rPr>
              <w:t xml:space="preserve">26.35 ms (26.38)</w:t>
            </w:r>
          </w:p>
        </w:tc>
        <w:tc>
          <w:tcPr>
            <w:tcW w:type="dxa" w:w="1500"/>
            <w:tcMar>
              <w:top w:type="dxa" w:w="60"/>
              <w:left w:type="dxa" w:w="100"/>
              <w:bottom w:type="dxa" w:w="60"/>
              <w:right w:type="dxa" w:w="100"/>
            </w:tcMar>
            <w:vAlign w:val="center"/>
          </w:tcPr>
          <w:p>
            <w:pPr>
              <w:jc w:val="center"/>
            </w:pPr>
            <w:r>
              <w:rPr>
                <w:sz w:val="20"/>
                <w:szCs w:val="20"/>
              </w:rPr>
              <w:t xml:space="preserve">11.31 ms (11.31)</w:t>
            </w:r>
          </w:p>
        </w:tc>
        <w:tc>
          <w:tcPr>
            <w:tcW w:type="dxa" w:w="1000"/>
            <w:tcMar>
              <w:top w:type="dxa" w:w="60"/>
              <w:left w:type="dxa" w:w="100"/>
              <w:bottom w:type="dxa" w:w="60"/>
              <w:right w:type="dxa" w:w="100"/>
            </w:tcMar>
            <w:vAlign w:val="center"/>
          </w:tcPr>
          <w:p>
            <w:pPr>
              <w:jc w:val="center"/>
            </w:pPr>
            <w:r>
              <w:rPr>
                <w:sz w:val="20"/>
                <w:szCs w:val="20"/>
              </w:rPr>
              <w:t xml:space="preserve">1,616 B</w:t>
            </w:r>
          </w:p>
        </w:tc>
        <w:tc>
          <w:tcPr>
            <w:tcW w:type="dxa" w:w="1100"/>
            <w:tcMar>
              <w:top w:type="dxa" w:w="60"/>
              <w:left w:type="dxa" w:w="100"/>
              <w:bottom w:type="dxa" w:w="60"/>
              <w:right w:type="dxa" w:w="100"/>
            </w:tcMar>
            <w:vAlign w:val="center"/>
          </w:tcPr>
          <w:p>
            <w:pPr>
              <w:jc w:val="center"/>
            </w:pPr>
            <w:r>
              <w:rPr>
                <w:sz w:val="20"/>
                <w:szCs w:val="20"/>
              </w:rPr>
              <w:t xml:space="preserve">0.0039</w:t>
            </w:r>
          </w:p>
        </w:tc>
        <w:tc>
          <w:tcPr>
            <w:tcW w:type="dxa" w:w="1000"/>
            <w:tcMar>
              <w:top w:type="dxa" w:w="60"/>
              <w:left w:type="dxa" w:w="100"/>
              <w:bottom w:type="dxa" w:w="60"/>
              <w:right w:type="dxa" w:w="100"/>
            </w:tcMar>
            <w:vAlign w:val="center"/>
          </w:tcPr>
          <w:p>
            <w:pPr>
              <w:jc w:val="center"/>
            </w:pPr>
            <w:r>
              <w:rPr>
                <w:sz w:val="20"/>
                <w:szCs w:val="20"/>
              </w:rPr>
              <w:t xml:space="preserve">8 / 8</w:t>
            </w:r>
          </w:p>
        </w:tc>
      </w:tr>
      <w:tr>
        <w:tc>
          <w:tcPr>
            <w:tcW w:type="dxa" w:w="2700"/>
            <w:tcMar>
              <w:top w:type="dxa" w:w="60"/>
              <w:left w:type="dxa" w:w="100"/>
              <w:bottom w:type="dxa" w:w="60"/>
              <w:right w:type="dxa" w:w="100"/>
            </w:tcMar>
            <w:vAlign w:val="center"/>
          </w:tcPr>
          <w:p>
            <w:pPr>
              <w:jc w:val="left"/>
            </w:pPr>
            <w:r>
              <w:rPr>
                <w:sz w:val="20"/>
                <w:szCs w:val="20"/>
              </w:rPr>
              <w:t xml:space="preserve">CIC-IDS2017 FP32 federated</w:t>
            </w:r>
          </w:p>
        </w:tc>
        <w:tc>
          <w:tcPr>
            <w:tcW w:type="dxa" w:w="900"/>
            <w:tcMar>
              <w:top w:type="dxa" w:w="60"/>
              <w:left w:type="dxa" w:w="100"/>
              <w:bottom w:type="dxa" w:w="60"/>
              <w:right w:type="dxa" w:w="100"/>
            </w:tcMar>
            <w:vAlign w:val="center"/>
          </w:tcPr>
          <w:p>
            <w:pPr>
              <w:jc w:val="center"/>
            </w:pPr>
            <w:r>
              <w:rPr>
                <w:sz w:val="20"/>
                <w:szCs w:val="20"/>
              </w:rPr>
              <w:t xml:space="preserve">802 KB</w:t>
            </w:r>
          </w:p>
        </w:tc>
        <w:tc>
          <w:tcPr>
            <w:tcW w:type="dxa" w:w="1500"/>
            <w:tcMar>
              <w:top w:type="dxa" w:w="60"/>
              <w:left w:type="dxa" w:w="100"/>
              <w:bottom w:type="dxa" w:w="60"/>
              <w:right w:type="dxa" w:w="100"/>
            </w:tcMar>
            <w:vAlign w:val="center"/>
          </w:tcPr>
          <w:p>
            <w:pPr>
              <w:jc w:val="center"/>
            </w:pPr>
            <w:r>
              <w:rPr>
                <w:sz w:val="20"/>
                <w:szCs w:val="20"/>
              </w:rPr>
              <w:t xml:space="preserve">114.62 ms (114.64)</w:t>
            </w:r>
          </w:p>
        </w:tc>
        <w:tc>
          <w:tcPr>
            <w:tcW w:type="dxa" w:w="1500"/>
            <w:tcMar>
              <w:top w:type="dxa" w:w="60"/>
              <w:left w:type="dxa" w:w="100"/>
              <w:bottom w:type="dxa" w:w="60"/>
              <w:right w:type="dxa" w:w="100"/>
            </w:tcMar>
            <w:vAlign w:val="center"/>
          </w:tcPr>
          <w:p>
            <w:pPr>
              <w:jc w:val="center"/>
            </w:pPr>
            <w:r>
              <w:rPr>
                <w:sz w:val="20"/>
                <w:szCs w:val="20"/>
              </w:rPr>
              <w:t xml:space="preserve">32.99 ms (32.99)</w:t>
            </w:r>
          </w:p>
        </w:tc>
        <w:tc>
          <w:tcPr>
            <w:tcW w:type="dxa" w:w="1000"/>
            <w:tcMar>
              <w:top w:type="dxa" w:w="60"/>
              <w:left w:type="dxa" w:w="100"/>
              <w:bottom w:type="dxa" w:w="60"/>
              <w:right w:type="dxa" w:w="100"/>
            </w:tcMar>
            <w:vAlign w:val="center"/>
          </w:tcPr>
          <w:p>
            <w:pPr>
              <w:jc w:val="center"/>
            </w:pPr>
            <w:r>
              <w:rPr>
                <w:sz w:val="20"/>
                <w:szCs w:val="20"/>
              </w:rPr>
              <w:t xml:space="preserve">3,952 B</w:t>
            </w:r>
          </w:p>
        </w:tc>
        <w:tc>
          <w:tcPr>
            <w:tcW w:type="dxa" w:w="1100"/>
            <w:tcMar>
              <w:top w:type="dxa" w:w="60"/>
              <w:left w:type="dxa" w:w="100"/>
              <w:bottom w:type="dxa" w:w="60"/>
              <w:right w:type="dxa" w:w="100"/>
            </w:tcMar>
            <w:vAlign w:val="center"/>
          </w:tcPr>
          <w:p>
            <w:pPr>
              <w:jc w:val="center"/>
            </w:pPr>
            <w:r>
              <w:rPr>
                <w:sz w:val="20"/>
                <w:szCs w:val="20"/>
              </w:rPr>
              <w:t xml:space="preserve">0</w:t>
            </w:r>
          </w:p>
        </w:tc>
        <w:tc>
          <w:tcPr>
            <w:tcW w:type="dxa" w:w="1000"/>
            <w:tcMar>
              <w:top w:type="dxa" w:w="60"/>
              <w:left w:type="dxa" w:w="100"/>
              <w:bottom w:type="dxa" w:w="60"/>
              <w:right w:type="dxa" w:w="100"/>
            </w:tcMar>
            <w:vAlign w:val="center"/>
          </w:tcPr>
          <w:p>
            <w:pPr>
              <w:jc w:val="center"/>
            </w:pPr>
            <w:r>
              <w:rPr>
                <w:sz w:val="20"/>
                <w:szCs w:val="20"/>
              </w:rPr>
              <w:t xml:space="preserve">8 / 8</w:t>
            </w:r>
          </w:p>
        </w:tc>
      </w:tr>
      <w:tr>
        <w:tc>
          <w:tcPr>
            <w:tcW w:type="dxa" w:w="2700"/>
            <w:tcMar>
              <w:top w:type="dxa" w:w="60"/>
              <w:left w:type="dxa" w:w="100"/>
              <w:bottom w:type="dxa" w:w="60"/>
              <w:right w:type="dxa" w:w="100"/>
            </w:tcMar>
            <w:vAlign w:val="center"/>
          </w:tcPr>
          <w:p>
            <w:pPr>
              <w:jc w:val="left"/>
            </w:pPr>
            <w:r>
              <w:rPr>
                <w:sz w:val="20"/>
                <w:szCs w:val="20"/>
              </w:rPr>
              <w:t xml:space="preserve">TON_IoT deployment (INT8, prune 50%)</w:t>
            </w:r>
          </w:p>
        </w:tc>
        <w:tc>
          <w:tcPr>
            <w:tcW w:type="dxa" w:w="900"/>
            <w:tcMar>
              <w:top w:type="dxa" w:w="60"/>
              <w:left w:type="dxa" w:w="100"/>
              <w:bottom w:type="dxa" w:w="60"/>
              <w:right w:type="dxa" w:w="100"/>
            </w:tcMar>
            <w:vAlign w:val="center"/>
          </w:tcPr>
          <w:p>
            <w:pPr>
              <w:jc w:val="center"/>
            </w:pPr>
            <w:r>
              <w:rPr>
                <w:sz w:val="20"/>
                <w:szCs w:val="20"/>
              </w:rPr>
              <w:t xml:space="preserve">57 KB</w:t>
            </w:r>
          </w:p>
        </w:tc>
        <w:tc>
          <w:tcPr>
            <w:tcW w:type="dxa" w:w="1500"/>
            <w:tcMar>
              <w:top w:type="dxa" w:w="60"/>
              <w:left w:type="dxa" w:w="100"/>
              <w:bottom w:type="dxa" w:w="60"/>
              <w:right w:type="dxa" w:w="100"/>
            </w:tcMar>
            <w:vAlign w:val="center"/>
          </w:tcPr>
          <w:p>
            <w:pPr>
              <w:jc w:val="center"/>
            </w:pPr>
            <w:r>
              <w:rPr>
                <w:sz w:val="20"/>
                <w:szCs w:val="20"/>
              </w:rPr>
              <w:t xml:space="preserve">13.33 ms (13.35)</w:t>
            </w:r>
          </w:p>
        </w:tc>
        <w:tc>
          <w:tcPr>
            <w:tcW w:type="dxa" w:w="1500"/>
            <w:tcMar>
              <w:top w:type="dxa" w:w="60"/>
              <w:left w:type="dxa" w:w="100"/>
              <w:bottom w:type="dxa" w:w="60"/>
              <w:right w:type="dxa" w:w="100"/>
            </w:tcMar>
            <w:vAlign w:val="center"/>
          </w:tcPr>
          <w:p>
            <w:pPr>
              <w:jc w:val="center"/>
            </w:pPr>
            <w:r>
              <w:rPr>
                <w:sz w:val="20"/>
                <w:szCs w:val="20"/>
              </w:rPr>
              <w:t xml:space="preserve">5.57 ms (5.57)</w:t>
            </w:r>
          </w:p>
        </w:tc>
        <w:tc>
          <w:tcPr>
            <w:tcW w:type="dxa" w:w="1000"/>
            <w:tcMar>
              <w:top w:type="dxa" w:w="60"/>
              <w:left w:type="dxa" w:w="100"/>
              <w:bottom w:type="dxa" w:w="60"/>
              <w:right w:type="dxa" w:w="100"/>
            </w:tcMar>
            <w:vAlign w:val="center"/>
          </w:tcPr>
          <w:p>
            <w:pPr>
              <w:jc w:val="center"/>
            </w:pPr>
            <w:r>
              <w:rPr>
                <w:sz w:val="20"/>
                <w:szCs w:val="20"/>
              </w:rPr>
              <w:t xml:space="preserve">1,440 B</w:t>
            </w:r>
          </w:p>
        </w:tc>
        <w:tc>
          <w:tcPr>
            <w:tcW w:type="dxa" w:w="1100"/>
            <w:tcMar>
              <w:top w:type="dxa" w:w="60"/>
              <w:left w:type="dxa" w:w="100"/>
              <w:bottom w:type="dxa" w:w="60"/>
              <w:right w:type="dxa" w:w="100"/>
            </w:tcMar>
            <w:vAlign w:val="center"/>
          </w:tcPr>
          <w:p>
            <w:pPr>
              <w:jc w:val="center"/>
            </w:pPr>
            <w:r>
              <w:rPr>
                <w:sz w:val="20"/>
                <w:szCs w:val="20"/>
              </w:rPr>
              <w:t xml:space="preserve">0</w:t>
            </w:r>
          </w:p>
        </w:tc>
        <w:tc>
          <w:tcPr>
            <w:tcW w:type="dxa" w:w="1000"/>
            <w:tcMar>
              <w:top w:type="dxa" w:w="60"/>
              <w:left w:type="dxa" w:w="100"/>
              <w:bottom w:type="dxa" w:w="60"/>
              <w:right w:type="dxa" w:w="100"/>
            </w:tcMar>
            <w:vAlign w:val="center"/>
          </w:tcPr>
          <w:p>
            <w:pPr>
              <w:jc w:val="center"/>
            </w:pPr>
            <w:r>
              <w:rPr>
                <w:sz w:val="20"/>
                <w:szCs w:val="20"/>
              </w:rPr>
              <w:t xml:space="preserve">8 / 8</w:t>
            </w:r>
          </w:p>
        </w:tc>
      </w:tr>
      <w:tr>
        <w:tc>
          <w:tcPr>
            <w:tcW w:type="dxa" w:w="2700"/>
            <w:tcMar>
              <w:top w:type="dxa" w:w="60"/>
              <w:left w:type="dxa" w:w="100"/>
              <w:bottom w:type="dxa" w:w="60"/>
              <w:right w:type="dxa" w:w="100"/>
            </w:tcMar>
            <w:vAlign w:val="center"/>
          </w:tcPr>
          <w:p>
            <w:pPr>
              <w:jc w:val="left"/>
            </w:pPr>
            <w:r>
              <w:rPr>
                <w:sz w:val="20"/>
                <w:szCs w:val="20"/>
              </w:rPr>
              <w:t xml:space="preserve">TON_IoT FP32 federated</w:t>
            </w:r>
          </w:p>
        </w:tc>
        <w:tc>
          <w:tcPr>
            <w:tcW w:type="dxa" w:w="900"/>
            <w:tcMar>
              <w:top w:type="dxa" w:w="60"/>
              <w:left w:type="dxa" w:w="100"/>
              <w:bottom w:type="dxa" w:w="60"/>
              <w:right w:type="dxa" w:w="100"/>
            </w:tcMar>
            <w:vAlign w:val="center"/>
          </w:tcPr>
          <w:p>
            <w:pPr>
              <w:jc w:val="center"/>
            </w:pPr>
            <w:r>
              <w:rPr>
                <w:sz w:val="20"/>
                <w:szCs w:val="20"/>
              </w:rPr>
              <w:t xml:space="preserve">732 KB</w:t>
            </w:r>
          </w:p>
        </w:tc>
        <w:tc>
          <w:tcPr>
            <w:tcW w:type="dxa" w:w="1500"/>
            <w:tcMar>
              <w:top w:type="dxa" w:w="60"/>
              <w:left w:type="dxa" w:w="100"/>
              <w:bottom w:type="dxa" w:w="60"/>
              <w:right w:type="dxa" w:w="100"/>
            </w:tcMar>
            <w:vAlign w:val="center"/>
          </w:tcPr>
          <w:p>
            <w:pPr>
              <w:jc w:val="center"/>
            </w:pPr>
            <w:r>
              <w:rPr>
                <w:sz w:val="20"/>
                <w:szCs w:val="20"/>
              </w:rPr>
              <w:t xml:space="preserve">104.73 ms (104.78)</w:t>
            </w:r>
          </w:p>
        </w:tc>
        <w:tc>
          <w:tcPr>
            <w:tcW w:type="dxa" w:w="1500"/>
            <w:tcMar>
              <w:top w:type="dxa" w:w="60"/>
              <w:left w:type="dxa" w:w="100"/>
              <w:bottom w:type="dxa" w:w="60"/>
              <w:right w:type="dxa" w:w="100"/>
            </w:tcMar>
            <w:vAlign w:val="center"/>
          </w:tcPr>
          <w:p>
            <w:pPr>
              <w:jc w:val="center"/>
            </w:pPr>
            <w:r>
              <w:rPr>
                <w:sz w:val="20"/>
                <w:szCs w:val="20"/>
              </w:rPr>
              <w:t xml:space="preserve">30.11 ms (30.11)</w:t>
            </w:r>
          </w:p>
        </w:tc>
        <w:tc>
          <w:tcPr>
            <w:tcW w:type="dxa" w:w="1000"/>
            <w:tcMar>
              <w:top w:type="dxa" w:w="60"/>
              <w:left w:type="dxa" w:w="100"/>
              <w:bottom w:type="dxa" w:w="60"/>
              <w:right w:type="dxa" w:w="100"/>
            </w:tcMar>
            <w:vAlign w:val="center"/>
          </w:tcPr>
          <w:p>
            <w:pPr>
              <w:jc w:val="center"/>
            </w:pPr>
            <w:r>
              <w:rPr>
                <w:sz w:val="20"/>
                <w:szCs w:val="20"/>
              </w:rPr>
              <w:t xml:space="preserve">3,952 B</w:t>
            </w:r>
          </w:p>
        </w:tc>
        <w:tc>
          <w:tcPr>
            <w:tcW w:type="dxa" w:w="1100"/>
            <w:tcMar>
              <w:top w:type="dxa" w:w="60"/>
              <w:left w:type="dxa" w:w="100"/>
              <w:bottom w:type="dxa" w:w="60"/>
              <w:right w:type="dxa" w:w="100"/>
            </w:tcMar>
            <w:vAlign w:val="center"/>
          </w:tcPr>
          <w:p>
            <w:pPr>
              <w:jc w:val="center"/>
            </w:pPr>
            <w:r>
              <w:rPr>
                <w:sz w:val="20"/>
                <w:szCs w:val="20"/>
              </w:rPr>
              <w:t xml:space="preserve">0</w:t>
            </w:r>
          </w:p>
        </w:tc>
        <w:tc>
          <w:tcPr>
            <w:tcW w:type="dxa" w:w="1000"/>
            <w:tcMar>
              <w:top w:type="dxa" w:w="60"/>
              <w:left w:type="dxa" w:w="100"/>
              <w:bottom w:type="dxa" w:w="60"/>
              <w:right w:type="dxa" w:w="100"/>
            </w:tcMar>
            <w:vAlign w:val="center"/>
          </w:tcPr>
          <w:p>
            <w:pPr>
              <w:jc w:val="center"/>
            </w:pPr>
            <w:r>
              <w:rPr>
                <w:sz w:val="20"/>
                <w:szCs w:val="20"/>
              </w:rPr>
              <w:t xml:space="preserve">8 / 8</w:t>
            </w:r>
          </w:p>
        </w:tc>
      </w:tr>
    </w:tbl>
    <w:p>
      <w:pPr>
        <w:spacing w:after="240" w:before="80"/>
      </w:pPr>
      <w:r>
        <w:rPr>
          <w:i/>
          <w:iCs/>
          <w:sz w:val="20"/>
          <w:szCs w:val="20"/>
        </w:rPr>
        <w:t xml:space="preserve">Table 17. On-device measurement on an ESP32 (ESP32-D0WD-V3) and an ESP32-S3, both at 240 MHz with ESP-IDF v4.4.7 and TensorFlowLite_ESP32 1.0.0; 100 timed inferences per model after 5 warm-up runs. Tensor arena and parity (against the host TFLite interpreter on 8 fixed inputs per dataset) are identical on both boards. Source: data/processed/ablation/esp32_benchmark.json and esp32s3_benchmark.json.</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Empirical studies report that deployment and model-conversion faults often produce wrong models without errors [48, 49].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Threat model. </w:t>
      </w:r>
      <w:r>
        <w:t xml:space="preserve">Attacks are feature-space perturbations, not realized as traffic. Training-time poisoning and backdoors [36] are out of scope, and the supervised detector does not target unseen attack classes as unsupervised detectors do [38, 39].</w:t>
      </w:r>
    </w:p>
    <w:p>
      <w:pPr>
        <w:spacing w:after="140"/>
      </w:pPr>
      <w:r>
        <w:rPr>
          <w:b/>
          <w:bCs/>
        </w:rPr>
        <w:t xml:space="preserve">Synthetic partitions. </w:t>
      </w:r>
      <w:r>
        <w:t xml:space="preserve">Near-IID and Dirichlet splits are synthetic; per-host splits [37] are more realistic.</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R. Banbury, Vijay Janapa Reddi, Max Lam, William Fu, Amin Fazel, Jeremy Holleman, Xinyuan Huang, Robert Hurtado, David Kanter, Anton Lokhmotov, David Patterson, Danilo Pau, Jae-sun Seo, Jeff Sieracki, Urmish Thakker, Marian Verhelst, and Poonam Yadav. 2020. Benchmarking TinyML Systems: Challenges and Direction. arXiv preprint arXiv:2003.04821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pPr>
        <w:spacing w:after="100"/>
      </w:pPr>
      <w:r>
        <w:rPr>
          <w:sz w:val="20"/>
          <w:szCs w:val="20"/>
        </w:rPr>
        <w:t xml:space="preserve">[25] Hao Wu, Patrick Judd, Xiaojie Zhang, Mikhail Isaev, and Paulius Micikevicius. 2020. Integer Quantization for Deep Learning Inference: Principles and Empirical Evaluation. arXiv preprint arXiv:2004.09602 (2020).</w:t>
      </w:r>
    </w:p>
    <w:p>
      <w:pPr>
        <w:spacing w:after="100"/>
      </w:pPr>
      <w:r>
        <w:rPr>
          <w:sz w:val="20"/>
          <w:szCs w:val="20"/>
        </w:rPr>
        <w:t xml:space="preserve">[26] Ron Banner, Yury Nahshan, and Daniel Soudry. 2019. Post Training 4-bit Quantization of Convolutional Networks for Rapid-Deployment. In Advances in Neural Information Processing Systems (NeurIPS).</w:t>
      </w:r>
    </w:p>
    <w:p>
      <w:pPr>
        <w:spacing w:after="100"/>
      </w:pPr>
      <w:r>
        <w:rPr>
          <w:sz w:val="20"/>
          <w:szCs w:val="20"/>
        </w:rPr>
        <w:t xml:space="preserve">[27] Jungwook Choi, Zhuo Wang, Swagath Venkataramani, Pierce I-Jen Chuang, Vijayalakshmi Srinivasan, and Kailash Gopalakrishnan. 2018. PACT: Parameterized Clipping Activation for Quantized Neural Networks. arXiv preprint arXiv:1805.06085 (2018).</w:t>
      </w:r>
    </w:p>
    <w:p>
      <w:pPr>
        <w:spacing w:after="100"/>
      </w:pPr>
      <w:r>
        <w:rPr>
          <w:sz w:val="20"/>
          <w:szCs w:val="20"/>
        </w:rPr>
        <w:t xml:space="preserve">[28] Steven K. Esser, Jeffrey L. McKinstry, Deepika Bablani, Rathinakumar Appuswamy, and Dharmendra S. Modha. 2020. Learned Step Size Quantization. In International Conference on Learning Representations (ICLR).</w:t>
      </w:r>
    </w:p>
    <w:p>
      <w:pPr>
        <w:spacing w:after="100"/>
      </w:pPr>
      <w:r>
        <w:rPr>
          <w:sz w:val="20"/>
          <w:szCs w:val="20"/>
        </w:rPr>
        <w:t xml:space="preserve">[29] Markus Nagel, Mart van Baalen, Tijmen Blankevoort, and Max Welling. 2019. Data-Free Quantization Through Weight Equalization and Bias Correction. In Proceedings of the IEEE/CVF International Conference on Computer Vision (ICCV), 1325–1334.</w:t>
      </w:r>
    </w:p>
    <w:p>
      <w:pPr>
        <w:spacing w:after="100"/>
      </w:pPr>
      <w:r>
        <w:rPr>
          <w:sz w:val="20"/>
          <w:szCs w:val="20"/>
        </w:rPr>
        <w:t xml:space="preserve">[30] Antonio Polino, Razvan Pascanu, and Dan Alistarh. 2018. Model Compression via Distillation and Quantization. In International Conference on Learning Representations (ICLR).</w:t>
      </w:r>
    </w:p>
    <w:p>
      <w:pPr>
        <w:spacing w:after="100"/>
      </w:pPr>
      <w:r>
        <w:rPr>
          <w:sz w:val="20"/>
          <w:szCs w:val="20"/>
        </w:rPr>
        <w:t xml:space="preserve">[31] Amirhossein Reisizadeh, Aryan Mokhtari, Hamed Hassani, Ali Jadbabaie, and Ramtin Pedarsani. 2020. FedPAQ: A Communication-Efficient Federated Learning Method with Periodic Averaging and Quantization. In Proceedings of the 23rd International Conference on Artificial Intelligence and Statistics (AISTATS), PMLR 108, 2021–2031.</w:t>
      </w:r>
    </w:p>
    <w:p>
      <w:pPr>
        <w:spacing w:after="100"/>
      </w:pPr>
      <w:r>
        <w:rPr>
          <w:sz w:val="20"/>
          <w:szCs w:val="20"/>
        </w:rPr>
        <w:t xml:space="preserve">[32] Kartik Gupta, Marios Fournarakis, Matthias Reisser, Christos Louizos, and Markus Nagel. 2023. Quantization Robust Federated Learning for Efficient Inference on Heterogeneous Devices. Transactions on Machine Learning Research (TMLR). arXiv:2206.10844.</w:t>
      </w:r>
    </w:p>
    <w:p>
      <w:pPr>
        <w:spacing w:after="100"/>
      </w:pPr>
      <w:r>
        <w:rPr>
          <w:sz w:val="20"/>
          <w:szCs w:val="20"/>
        </w:rPr>
        <w:t xml:space="preserve">[33] TensorFlow Model Optimization. 2021. Collaborative Optimization: Pruning-Preserving Quantization Aware Training. https://www.tensorflow.org/model_optimization/guide/combine/collaborative_optimization.</w:t>
      </w:r>
    </w:p>
    <w:p>
      <w:pPr>
        <w:spacing w:after="100"/>
      </w:pPr>
      <w:r>
        <w:rPr>
          <w:sz w:val="20"/>
          <w:szCs w:val="20"/>
        </w:rPr>
        <w:t xml:space="preserve">[34] Mingyan Li et al. 2025. Cognitive IoT and Edge Computing for Intrusion Detection with Federated TinyML. In IEEE World AI IoT Congress (AIIoT), 677–684.</w:t>
      </w:r>
    </w:p>
    <w:p>
      <w:pPr>
        <w:spacing w:after="100"/>
      </w:pPr>
      <w:r>
        <w:rPr>
          <w:sz w:val="20"/>
          <w:szCs w:val="20"/>
        </w:rPr>
        <w:t xml:space="preserve">[35] Thien Duc Nguyen, Samuel Marchal, Markus Miettinen, Hossein Fereidooni, N. Asokan, and Ahmad-Reza Sadeghi. 2019. DÏoT: A Federated Self-learning Anomaly Detection System for IoT. In IEEE 39th International Conference on Distributed Computing Systems (ICDCS), 756–767.</w:t>
      </w:r>
    </w:p>
    <w:p>
      <w:pPr>
        <w:spacing w:after="100"/>
      </w:pPr>
      <w:r>
        <w:rPr>
          <w:sz w:val="20"/>
          <w:szCs w:val="20"/>
        </w:rPr>
        <w:t xml:space="preserve">[36] Thien Duc Nguyen, Phillip Rieger, Huili Chen, Hossein Yalame, Helen Möllering, Hossein Fereidooni, Samuel Marchal, Markus Miettinen, Azalia Mirhoseini, Shaza Zeitouni, Farinaz Koushanfar, Ahmad-Reza Sadeghi, and Thomas Schneider. 2022. FLAME: Taming Backdoors in Federated Learning. In 31st USENIX Security Symposium.</w:t>
      </w:r>
    </w:p>
    <w:p>
      <w:pPr>
        <w:spacing w:after="100"/>
      </w:pPr>
      <w:r>
        <w:rPr>
          <w:sz w:val="20"/>
          <w:szCs w:val="20"/>
        </w:rPr>
        <w:t xml:space="preserve">[37] Othmane Belarbi, Theodoros Spyridopoulos, Eirini Anthi, Ioannis Mavromatis, Pietro Carnelli, and Aftab Khan. 2023. Federated Deep Learning for Intrusion Detection in IoT Networks. In IEEE Global Communications Conference (GLOBECOM), 237–242. doi:10.1109/GLOBECOM54140.2023.10437860.</w:t>
      </w:r>
    </w:p>
    <w:p>
      <w:pPr>
        <w:spacing w:after="100"/>
      </w:pPr>
      <w:r>
        <w:rPr>
          <w:sz w:val="20"/>
          <w:szCs w:val="20"/>
        </w:rPr>
        <w:t xml:space="preserve">[38] Yisroel Mirsky, Tomer Doitshman, Yuval Elovici, and Asaf Shabtai. 2018. Kitsune: An Ensemble of Autoencoders for Online Network Intrusion Detection. In Network and Distributed System Security Symposium (NDSS).</w:t>
      </w:r>
    </w:p>
    <w:p>
      <w:pPr>
        <w:spacing w:after="100"/>
      </w:pPr>
      <w:r>
        <w:rPr>
          <w:sz w:val="20"/>
          <w:szCs w:val="20"/>
        </w:rPr>
        <w:t xml:space="preserve">[39] Yutao Dong, Qing Li, Kaidong Wu, et al. 2023. HorusEye: A Realtime IoT Malicious Traffic Detection Framework using Programmable Switches. In 32nd USENIX Security Symposium.</w:t>
      </w:r>
    </w:p>
    <w:p>
      <w:pPr>
        <w:spacing w:after="100"/>
      </w:pPr>
      <w:r>
        <w:rPr>
          <w:sz w:val="20"/>
          <w:szCs w:val="20"/>
        </w:rPr>
        <w:t xml:space="preserve">[40] Guangmeng Zhou, Zhuotao Liu, Chuanpu Fu, Qi Li, and Ke Xu. 2023. An Efficient Design of Intelligent Network Data Plane. In 32nd USENIX Security Symposium.</w:t>
      </w:r>
    </w:p>
    <w:p>
      <w:pPr>
        <w:spacing w:after="100"/>
      </w:pPr>
      <w:r>
        <w:rPr>
          <w:sz w:val="20"/>
          <w:szCs w:val="20"/>
        </w:rPr>
        <w:t xml:space="preserve">[41] Ji Lin, Wei-Ming Chen, Yujun Lin, John Cohn, Chuang Gan, and Song Han. 2020. MCUNet: Tiny Deep Learning on IoT Devices. In Advances in Neural Information Processing Systems (NeurIPS).</w:t>
      </w:r>
    </w:p>
    <w:p>
      <w:pPr>
        <w:spacing w:after="100"/>
      </w:pPr>
      <w:r>
        <w:rPr>
          <w:sz w:val="20"/>
          <w:szCs w:val="20"/>
        </w:rPr>
        <w:t xml:space="preserve">[42] Ji Lin, Ligeng Zhu, Wei-Ming Chen, Wei-Chen Wang, Chuang Gan, and Song Han. 2022. On-Device Training Under 256KB Memory. In Advances in Neural Information Processing Systems (NeurIPS).</w:t>
      </w:r>
    </w:p>
    <w:p>
      <w:pPr>
        <w:spacing w:after="100"/>
      </w:pPr>
      <w:r>
        <w:rPr>
          <w:sz w:val="20"/>
          <w:szCs w:val="20"/>
        </w:rPr>
        <w:t xml:space="preserve">[43] Enmao Diao, Jie Ding, and Vahid Tarokh. 2021. HeteroFL: Computation and Communication Efficient Federated Learning for Heterogeneous Clients. In International Conference on Learning Representations (ICLR).</w:t>
      </w:r>
    </w:p>
    <w:p>
      <w:pPr>
        <w:spacing w:after="100"/>
      </w:pPr>
      <w:r>
        <w:rPr>
          <w:sz w:val="20"/>
          <w:szCs w:val="20"/>
        </w:rPr>
        <w:t xml:space="preserve">[44] Hong Huang, Lan Zhang, Chaoyue Sun, Ruogu Fang, Xiaoyong Yuan, and Dapeng Wu. 2023. Distributed Pruning Towards Tiny Neural Networks in Federated Learning. In IEEE 43rd International Conference on Distributed Computing Systems (ICDCS), 190–201.</w:t>
      </w:r>
    </w:p>
    <w:p>
      <w:pPr>
        <w:spacing w:after="100"/>
      </w:pPr>
      <w:r>
        <w:rPr>
          <w:sz w:val="20"/>
          <w:szCs w:val="20"/>
        </w:rPr>
        <w:t xml:space="preserve">[45] Shikhar Jaiswal, Rahul Kranti Kiran Goli, Aayan Kumar, Vivek Seshadri, and Rahul Sharma. 2023. MinUn: Accurate ML Inference on Microcontrollers. In Proceedings of the 24th ACM SIGPLAN/SIGBED International Conference on Languages, Compilers, and Tools for Embedded Systems (LCTES), 26–39.</w:t>
      </w:r>
    </w:p>
    <w:p>
      <w:pPr>
        <w:spacing w:after="100"/>
      </w:pPr>
      <w:r>
        <w:rPr>
          <w:sz w:val="20"/>
          <w:szCs w:val="20"/>
        </w:rPr>
        <w:t xml:space="preserve">[46] Sridhar Gopinath, Nikhil Ghanathe, Vivek Seshadri, and Rahul Sharma. 2019. Compiling KB-Sized Machine Learning Models to Tiny IoT Devices. In Proceedings of the 40th ACM SIGPLAN Conference on Programming Language Design and Implementation (PLDI).</w:t>
      </w:r>
    </w:p>
    <w:p>
      <w:pPr>
        <w:spacing w:after="100"/>
      </w:pPr>
      <w:r>
        <w:rPr>
          <w:sz w:val="20"/>
          <w:szCs w:val="20"/>
        </w:rPr>
        <w:t xml:space="preserve">[47] Ji Lin, Chuang Gan, and Song Han. 2019. Defensive Quantization: When Efficiency Meets Robustness. In International Conference on Learning Representations (ICLR).</w:t>
      </w:r>
    </w:p>
    <w:p>
      <w:pPr>
        <w:spacing w:after="100"/>
      </w:pPr>
      <w:r>
        <w:rPr>
          <w:sz w:val="20"/>
          <w:szCs w:val="20"/>
        </w:rPr>
        <w:t xml:space="preserve">[48] Zhenpeng Chen, Huihan Yao, Yiling Lou, Yanbin Cao, Yuanqiang Liu, Haoyu Wang, and Xuanzhe Liu. 2021. An Empirical Study on Deployment Faults of Deep Learning Based Mobile Applications. In IEEE/ACM 43rd International Conference on Software Engineering (ICSE).</w:t>
      </w:r>
    </w:p>
    <w:p>
      <w:pPr>
        <w:spacing w:after="100"/>
      </w:pPr>
      <w:r>
        <w:rPr>
          <w:sz w:val="20"/>
          <w:szCs w:val="20"/>
        </w:rPr>
        <w:t xml:space="preserve">[49] Purvish Jajal, Wenxin Jiang, Arav Tewari, Erik Kocinare, Joseph Woo, Anusha Sarraf, Yung-Hsiang Lu, George K. Thiruvathukal, and James C. Davis. 2024. Interoperability in Deep Learning: A User Survey and Failure Analysis of ONNX Model Converters. In Proceedings of the 33rd ACM SIGSOFT International Symposium on Software Testing and Analysis (ISSTA). doi:10.1145/3650212.3680374.</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was verified on a host build and then run on an ESP32 board (ELEGOO ESP-WROOM-32, CP2102 USB bridge) and an ESP32-S3 N16R8 board (FT232R USB bridge); results are in Section 6.1 (Table 17).</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1.4–4.0 KB on both boards (16 KB allocated). On the ESP32-S3 the env esp32-s3-devkitc-1 reports over the board's COM (UART) port; esp32-s3-native-usb reports over its native USB port instead.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2026-10-26T16:48:54.433Z</dcterms:created>
  <dcterms:modified xsi:type="dcterms:W3CDTF">2026-10-26T16:48:54.433Z</dcterms:modified>
</cp:coreProperties>
</file>

<file path=docProps/custom.xml><?xml version="1.0" encoding="utf-8"?>
<Properties xmlns="http://schemas.openxmlformats.org/officeDocument/2006/custom-properties" xmlns:vt="http://schemas.openxmlformats.org/officeDocument/2006/docPropsVTypes"/>
</file>