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and we test against clients training alone to show where federation helps (Sections 5.9–5.11).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95.01%</w:t>
            </w:r>
          </w:p>
        </w:tc>
        <w:tc>
          <w:tcPr>
            <w:tcW w:type="dxa" w:w="1150"/>
            <w:tcMar>
              <w:top w:type="dxa" w:w="60"/>
              <w:left w:type="dxa" w:w="100"/>
              <w:bottom w:type="dxa" w:w="60"/>
              <w:right w:type="dxa" w:w="100"/>
            </w:tcMar>
            <w:vAlign w:val="center"/>
          </w:tcPr>
          <w:p>
            <w:pPr>
              <w:jc w:val="center"/>
            </w:pPr>
            <w:r>
              <w:rPr>
                <w:sz w:val="20"/>
                <w:szCs w:val="20"/>
              </w:rPr>
              <w:t xml:space="preserve">77.40%</w:t>
            </w:r>
          </w:p>
        </w:tc>
        <w:tc>
          <w:tcPr>
            <w:tcW w:type="dxa" w:w="1150"/>
            <w:tcMar>
              <w:top w:type="dxa" w:w="60"/>
              <w:left w:type="dxa" w:w="100"/>
              <w:bottom w:type="dxa" w:w="60"/>
              <w:right w:type="dxa" w:w="100"/>
            </w:tcMar>
            <w:vAlign w:val="center"/>
          </w:tcPr>
          <w:p>
            <w:pPr>
              <w:jc w:val="center"/>
            </w:pPr>
            <w:r>
              <w:rPr>
                <w:sz w:val="20"/>
                <w:szCs w:val="20"/>
              </w:rPr>
              <w:t xml:space="preserve">99.84%</w:t>
            </w:r>
          </w:p>
        </w:tc>
        <w:tc>
          <w:tcPr>
            <w:tcW w:type="dxa" w:w="1150"/>
            <w:tcMar>
              <w:top w:type="dxa" w:w="60"/>
              <w:left w:type="dxa" w:w="100"/>
              <w:bottom w:type="dxa" w:w="60"/>
              <w:right w:type="dxa" w:w="100"/>
            </w:tcMar>
            <w:vAlign w:val="center"/>
          </w:tcPr>
          <w:p>
            <w:pPr>
              <w:jc w:val="center"/>
            </w:pPr>
            <w:r>
              <w:rPr>
                <w:sz w:val="20"/>
                <w:szCs w:val="20"/>
              </w:rPr>
              <w:t xml:space="preserve">87.20%</w:t>
            </w:r>
          </w:p>
        </w:tc>
        <w:tc>
          <w:tcPr>
            <w:tcW w:type="dxa" w:w="1100"/>
            <w:tcMar>
              <w:top w:type="dxa" w:w="60"/>
              <w:left w:type="dxa" w:w="100"/>
              <w:bottom w:type="dxa" w:w="60"/>
              <w:right w:type="dxa" w:w="100"/>
            </w:tcMar>
            <w:vAlign w:val="center"/>
          </w:tcPr>
          <w:p>
            <w:pPr>
              <w:jc w:val="center"/>
            </w:pPr>
            <w:r>
              <w:rPr>
                <w:sz w:val="20"/>
                <w:szCs w:val="20"/>
              </w:rPr>
              <w:t xml:space="preserve">5.99%</w:t>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99.02%</w:t>
            </w:r>
          </w:p>
        </w:tc>
        <w:tc>
          <w:tcPr>
            <w:tcW w:type="dxa" w:w="1150"/>
            <w:tcMar>
              <w:top w:type="dxa" w:w="60"/>
              <w:left w:type="dxa" w:w="100"/>
              <w:bottom w:type="dxa" w:w="60"/>
              <w:right w:type="dxa" w:w="100"/>
            </w:tcMar>
            <w:vAlign w:val="center"/>
          </w:tcPr>
          <w:p>
            <w:pPr>
              <w:jc w:val="center"/>
            </w:pPr>
            <w:r>
              <w:rPr>
                <w:sz w:val="20"/>
                <w:szCs w:val="20"/>
              </w:rPr>
              <w:t xml:space="preserve">99.00%</w:t>
            </w:r>
          </w:p>
        </w:tc>
        <w:tc>
          <w:tcPr>
            <w:tcW w:type="dxa" w:w="1150"/>
            <w:tcMar>
              <w:top w:type="dxa" w:w="60"/>
              <w:left w:type="dxa" w:w="100"/>
              <w:bottom w:type="dxa" w:w="60"/>
              <w:right w:type="dxa" w:w="100"/>
            </w:tcMar>
            <w:vAlign w:val="center"/>
          </w:tcPr>
          <w:p>
            <w:pPr>
              <w:jc w:val="center"/>
            </w:pPr>
            <w:r>
              <w:rPr>
                <w:sz w:val="20"/>
                <w:szCs w:val="20"/>
              </w:rPr>
              <w:t xml:space="preserve">99.73%</w:t>
            </w:r>
          </w:p>
        </w:tc>
        <w:tc>
          <w:tcPr>
            <w:tcW w:type="dxa" w:w="1150"/>
            <w:tcMar>
              <w:top w:type="dxa" w:w="60"/>
              <w:left w:type="dxa" w:w="100"/>
              <w:bottom w:type="dxa" w:w="60"/>
              <w:right w:type="dxa" w:w="100"/>
            </w:tcMar>
            <w:vAlign w:val="center"/>
          </w:tcPr>
          <w:p>
            <w:pPr>
              <w:jc w:val="center"/>
            </w:pPr>
            <w:r>
              <w:rPr>
                <w:sz w:val="20"/>
                <w:szCs w:val="20"/>
              </w:rPr>
              <w:t xml:space="preserve">99.36%</w:t>
            </w:r>
          </w:p>
        </w:tc>
        <w:tc>
          <w:tcPr>
            <w:tcW w:type="dxa" w:w="1100"/>
            <w:tcMar>
              <w:top w:type="dxa" w:w="60"/>
              <w:left w:type="dxa" w:w="100"/>
              <w:bottom w:type="dxa" w:w="60"/>
              <w:right w:type="dxa" w:w="100"/>
            </w:tcMar>
            <w:vAlign w:val="center"/>
          </w:tcPr>
          <w:p>
            <w:pPr>
              <w:jc w:val="center"/>
            </w:pPr>
            <w:r>
              <w:rPr>
                <w:sz w:val="20"/>
                <w:szCs w:val="20"/>
              </w:rPr>
              <w:t xml:space="preserve">3.38%</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deployed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(deployed)</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(deployed,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deployed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deployed model).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300"/>
        <w:gridCol w:w="900"/>
        <w:gridCol w:w="1900"/>
        <w:gridCol w:w="9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attacks</w:t>
            </w:r>
          </w:p>
        </w:tc>
      </w:tr>
      <w:tr>
        <w:tc>
          <w:tcPr>
            <w:tcW w:type="dxa" w:w="2100"/>
            <w:tcMar>
              <w:top w:type="dxa" w:w="60"/>
              <w:left w:type="dxa" w:w="100"/>
              <w:bottom w:type="dxa" w:w="60"/>
              <w:right w:type="dxa" w:w="100"/>
            </w:tcMar>
            <w:vAlign w:val="center"/>
          </w:tcPr>
          <w:p>
            <w:pPr>
              <w:jc w:val="left"/>
            </w:pPr>
            <w:r>
              <w:rPr>
                <w:sz w:val="20"/>
                <w:szCs w:val="20"/>
              </w:rPr>
              <w:t xml:space="preserve">CIC near-IID, clients 0–3</w:t>
            </w:r>
          </w:p>
        </w:tc>
        <w:tc>
          <w:tcPr>
            <w:tcW w:type="dxa" w:w="1500"/>
            <w:tcMar>
              <w:top w:type="dxa" w:w="60"/>
              <w:left w:type="dxa" w:w="100"/>
              <w:bottom w:type="dxa" w:w="60"/>
              <w:right w:type="dxa" w:w="100"/>
            </w:tcMar>
            <w:vAlign w:val="center"/>
          </w:tcPr>
          <w:p>
            <w:pPr>
              <w:jc w:val="center"/>
            </w:pPr>
            <w:r>
              <w:rPr>
                <w:sz w:val="20"/>
                <w:szCs w:val="20"/>
              </w:rPr>
              <w:t xml:space="preserve">681k each (50%)</w:t>
            </w:r>
          </w:p>
        </w:tc>
        <w:tc>
          <w:tcPr>
            <w:tcW w:type="dxa" w:w="2300"/>
            <w:tcMar>
              <w:top w:type="dxa" w:w="60"/>
              <w:left w:type="dxa" w:w="100"/>
              <w:bottom w:type="dxa" w:w="60"/>
              <w:right w:type="dxa" w:w="100"/>
            </w:tcMar>
            <w:vAlign w:val="center"/>
          </w:tcPr>
          <w:p>
            <w:pPr>
              <w:jc w:val="center"/>
            </w:pPr>
            <w:r>
              <w:rPr>
                <w:sz w:val="20"/>
                <w:szCs w:val="20"/>
              </w:rPr>
              <w:t xml:space="preserve">88.3–90.0 / 98.85–99.78% / 4.5–5.2%</w:t>
            </w:r>
          </w:p>
        </w:tc>
        <w:tc>
          <w:tcPr>
            <w:tcW w:type="dxa" w:w="900"/>
            <w:tcMar>
              <w:top w:type="dxa" w:w="60"/>
              <w:left w:type="dxa" w:w="100"/>
              <w:bottom w:type="dxa" w:w="60"/>
              <w:right w:type="dxa" w:w="100"/>
            </w:tcMar>
            <w:vAlign w:val="center"/>
          </w:tcPr>
          <w:p>
            <w:pPr>
              <w:jc w:val="center"/>
            </w:pPr>
            <w:r>
              <w:rPr>
                <w:sz w:val="20"/>
                <w:szCs w:val="20"/>
              </w:rPr>
              <w:t xml:space="preserve">185–982</w:t>
            </w:r>
          </w:p>
        </w:tc>
        <w:tc>
          <w:tcPr>
            <w:tcW w:type="dxa" w:w="1900"/>
            <w:tcMar>
              <w:top w:type="dxa" w:w="60"/>
              <w:left w:type="dxa" w:w="100"/>
              <w:bottom w:type="dxa" w:w="60"/>
              <w:right w:type="dxa" w:w="100"/>
            </w:tcMar>
            <w:vAlign w:val="center"/>
          </w:tcPr>
          <w:p>
            <w:pPr>
              <w:jc w:val="center"/>
            </w:pPr>
            <w:r>
              <w:rPr>
                <w:sz w:val="20"/>
                <w:szCs w:val="20"/>
              </w:rPr>
              <w:t xml:space="preserve">85.70 / 99.94% / 6.84%</w:t>
            </w:r>
          </w:p>
        </w:tc>
        <w:tc>
          <w:tcPr>
            <w:tcW w:type="dxa" w:w="900"/>
            <w:tcMar>
              <w:top w:type="dxa" w:w="60"/>
              <w:left w:type="dxa" w:w="100"/>
              <w:bottom w:type="dxa" w:w="60"/>
              <w:right w:type="dxa" w:w="100"/>
            </w:tcMar>
            <w:vAlign w:val="center"/>
          </w:tcPr>
          <w:p>
            <w:pPr>
              <w:jc w:val="center"/>
            </w:pPr>
            <w:r>
              <w:rPr>
                <w:sz w:val="20"/>
                <w:szCs w:val="20"/>
              </w:rPr>
              <w:t xml:space="preserve">52</w:t>
            </w:r>
          </w:p>
        </w:tc>
      </w:tr>
      <w:tr>
        <w:tc>
          <w:tcPr>
            <w:tcW w:type="dxa" w:w="2100"/>
            <w:tcMar>
              <w:top w:type="dxa" w:w="60"/>
              <w:left w:type="dxa" w:w="100"/>
              <w:bottom w:type="dxa" w:w="60"/>
              <w:right w:type="dxa" w:w="100"/>
            </w:tcMar>
            <w:vAlign w:val="center"/>
          </w:tcPr>
          <w:p>
            <w:pPr>
              <w:jc w:val="left"/>
            </w:pPr>
            <w:r>
              <w:rPr>
                <w:sz w:val="20"/>
                <w:szCs w:val="20"/>
              </w:rPr>
              <w:t xml:space="preserve">CIC Dirichlet, client 0</w:t>
            </w:r>
          </w:p>
        </w:tc>
        <w:tc>
          <w:tcPr>
            <w:tcW w:type="dxa" w:w="1500"/>
            <w:tcMar>
              <w:top w:type="dxa" w:w="60"/>
              <w:left w:type="dxa" w:w="100"/>
              <w:bottom w:type="dxa" w:w="60"/>
              <w:right w:type="dxa" w:w="100"/>
            </w:tcMar>
            <w:vAlign w:val="center"/>
          </w:tcPr>
          <w:p>
            <w:pPr>
              <w:jc w:val="center"/>
            </w:pPr>
            <w:r>
              <w:rPr>
                <w:sz w:val="20"/>
                <w:szCs w:val="20"/>
              </w:rPr>
              <w:t xml:space="preserve">9.4k (0.1%)</w:t>
            </w:r>
          </w:p>
        </w:tc>
        <w:tc>
          <w:tcPr>
            <w:tcW w:type="dxa" w:w="2300"/>
            <w:tcMar>
              <w:top w:type="dxa" w:w="60"/>
              <w:left w:type="dxa" w:w="100"/>
              <w:bottom w:type="dxa" w:w="60"/>
              <w:right w:type="dxa" w:w="100"/>
            </w:tcMar>
            <w:vAlign w:val="center"/>
          </w:tcPr>
          <w:p>
            <w:pPr>
              <w:jc w:val="center"/>
            </w:pPr>
            <w:r>
              <w:rPr>
                <w:sz w:val="20"/>
                <w:szCs w:val="20"/>
              </w:rPr>
              <w:t xml:space="preserve">62.04 / 44.97% / 0.00%</w:t>
            </w:r>
          </w:p>
        </w:tc>
        <w:tc>
          <w:tcPr>
            <w:tcW w:type="dxa" w:w="900"/>
            <w:tcMar>
              <w:top w:type="dxa" w:w="60"/>
              <w:left w:type="dxa" w:w="100"/>
              <w:bottom w:type="dxa" w:w="60"/>
              <w:right w:type="dxa" w:w="100"/>
            </w:tcMar>
            <w:vAlign w:val="center"/>
          </w:tcPr>
          <w:p>
            <w:pPr>
              <w:jc w:val="center"/>
            </w:pPr>
            <w:r>
              <w:rPr>
                <w:sz w:val="20"/>
                <w:szCs w:val="20"/>
              </w:rPr>
              <w:t xml:space="preserve">46,872</w:t>
            </w:r>
          </w:p>
        </w:tc>
        <w:tc>
          <w:tcPr>
            <w:tcW w:type="dxa" w:w="1900"/>
            <w:tcMar>
              <w:top w:type="dxa" w:w="60"/>
              <w:left w:type="dxa" w:w="100"/>
              <w:bottom w:type="dxa" w:w="60"/>
              <w:right w:type="dxa" w:w="100"/>
            </w:tcMar>
            <w:vAlign w:val="center"/>
          </w:tcPr>
          <w:p>
            <w:pPr>
              <w:jc w:val="center"/>
            </w:pPr>
            <w:r>
              <w:rPr>
                <w:sz w:val="20"/>
                <w:szCs w:val="20"/>
              </w:rPr>
              <w:t xml:space="preserve">85.59 / 99.83% / 6.87%</w:t>
            </w:r>
          </w:p>
        </w:tc>
        <w:tc>
          <w:tcPr>
            <w:tcW w:type="dxa" w:w="900"/>
            <w:tcMar>
              <w:top w:type="dxa" w:w="60"/>
              <w:left w:type="dxa" w:w="100"/>
              <w:bottom w:type="dxa" w:w="60"/>
              <w:right w:type="dxa" w:w="100"/>
            </w:tcMar>
            <w:vAlign w:val="center"/>
          </w:tcPr>
          <w:p>
            <w:pPr>
              <w:jc w:val="center"/>
            </w:pPr>
            <w:r>
              <w:rPr>
                <w:sz w:val="20"/>
                <w:szCs w:val="20"/>
              </w:rPr>
              <w:t xml:space="preserve">144</w:t>
            </w:r>
          </w:p>
        </w:tc>
      </w:tr>
      <w:tr>
        <w:tc>
          <w:tcPr>
            <w:tcW w:type="dxa" w:w="2100"/>
            <w:tcMar>
              <w:top w:type="dxa" w:w="60"/>
              <w:left w:type="dxa" w:w="100"/>
              <w:bottom w:type="dxa" w:w="60"/>
              <w:right w:type="dxa" w:w="100"/>
            </w:tcMar>
            <w:vAlign w:val="center"/>
          </w:tcPr>
          <w:p>
            <w:pPr>
              <w:jc w:val="left"/>
            </w:pPr>
            <w:r>
              <w:rPr>
                <w:sz w:val="20"/>
                <w:szCs w:val="20"/>
              </w:rPr>
              <w:t xml:space="preserve">CIC Dirichlet, client 1</w:t>
            </w:r>
          </w:p>
        </w:tc>
        <w:tc>
          <w:tcPr>
            <w:tcW w:type="dxa" w:w="1500"/>
            <w:tcMar>
              <w:top w:type="dxa" w:w="60"/>
              <w:left w:type="dxa" w:w="100"/>
              <w:bottom w:type="dxa" w:w="60"/>
              <w:right w:type="dxa" w:w="100"/>
            </w:tcMar>
            <w:vAlign w:val="center"/>
          </w:tcPr>
          <w:p>
            <w:pPr>
              <w:jc w:val="center"/>
            </w:pPr>
            <w:r>
              <w:rPr>
                <w:sz w:val="20"/>
                <w:szCs w:val="20"/>
              </w:rPr>
              <w:t xml:space="preserve">1.98M (59.5%)</w:t>
            </w:r>
          </w:p>
        </w:tc>
        <w:tc>
          <w:tcPr>
            <w:tcW w:type="dxa" w:w="2300"/>
            <w:tcMar>
              <w:top w:type="dxa" w:w="60"/>
              <w:left w:type="dxa" w:w="100"/>
              <w:bottom w:type="dxa" w:w="60"/>
              <w:right w:type="dxa" w:w="100"/>
            </w:tcMar>
            <w:vAlign w:val="center"/>
          </w:tcPr>
          <w:p>
            <w:pPr>
              <w:jc w:val="center"/>
            </w:pPr>
            <w:r>
              <w:rPr>
                <w:sz w:val="20"/>
                <w:szCs w:val="20"/>
              </w:rPr>
              <w:t xml:space="preserve">90.70 / 99.75% / 4.15%</w:t>
            </w:r>
          </w:p>
        </w:tc>
        <w:tc>
          <w:tcPr>
            <w:tcW w:type="dxa" w:w="900"/>
            <w:tcMar>
              <w:top w:type="dxa" w:w="60"/>
              <w:left w:type="dxa" w:w="100"/>
              <w:bottom w:type="dxa" w:w="60"/>
              <w:right w:type="dxa" w:w="100"/>
            </w:tcMar>
            <w:vAlign w:val="center"/>
          </w:tcPr>
          <w:p>
            <w:pPr>
              <w:jc w:val="center"/>
            </w:pPr>
            <w:r>
              <w:rPr>
                <w:sz w:val="20"/>
                <w:szCs w:val="20"/>
              </w:rPr>
              <w:t xml:space="preserve">214</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2</w:t>
            </w:r>
          </w:p>
        </w:tc>
        <w:tc>
          <w:tcPr>
            <w:tcW w:type="dxa" w:w="1500"/>
            <w:tcMar>
              <w:top w:type="dxa" w:w="60"/>
              <w:left w:type="dxa" w:w="100"/>
              <w:bottom w:type="dxa" w:w="60"/>
              <w:right w:type="dxa" w:w="100"/>
            </w:tcMar>
            <w:vAlign w:val="center"/>
          </w:tcPr>
          <w:p>
            <w:pPr>
              <w:jc w:val="center"/>
            </w:pPr>
            <w:r>
              <w:rPr>
                <w:sz w:val="20"/>
                <w:szCs w:val="20"/>
              </w:rPr>
              <w:t xml:space="preserve">6.7k (2.6%)</w:t>
            </w:r>
          </w:p>
        </w:tc>
        <w:tc>
          <w:tcPr>
            <w:tcW w:type="dxa" w:w="2300"/>
            <w:tcMar>
              <w:top w:type="dxa" w:w="60"/>
              <w:left w:type="dxa" w:w="100"/>
              <w:bottom w:type="dxa" w:w="60"/>
              <w:right w:type="dxa" w:w="100"/>
            </w:tcMar>
            <w:vAlign w:val="center"/>
          </w:tcPr>
          <w:p>
            <w:pPr>
              <w:jc w:val="center"/>
            </w:pPr>
            <w:r>
              <w:rPr>
                <w:sz w:val="20"/>
                <w:szCs w:val="20"/>
              </w:rPr>
              <w:t xml:space="preserve">88.74 / 91.11% / 2.92%</w:t>
            </w:r>
          </w:p>
        </w:tc>
        <w:tc>
          <w:tcPr>
            <w:tcW w:type="dxa" w:w="900"/>
            <w:tcMar>
              <w:top w:type="dxa" w:w="60"/>
              <w:left w:type="dxa" w:w="100"/>
              <w:bottom w:type="dxa" w:w="60"/>
              <w:right w:type="dxa" w:w="100"/>
            </w:tcMar>
            <w:vAlign w:val="center"/>
          </w:tcPr>
          <w:p>
            <w:pPr>
              <w:jc w:val="center"/>
            </w:pPr>
            <w:r>
              <w:rPr>
                <w:sz w:val="20"/>
                <w:szCs w:val="20"/>
              </w:rPr>
              <w:t xml:space="preserve">7,572</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CIC Dirichlet, client 3</w:t>
            </w:r>
          </w:p>
        </w:tc>
        <w:tc>
          <w:tcPr>
            <w:tcW w:type="dxa" w:w="1500"/>
            <w:tcMar>
              <w:top w:type="dxa" w:w="60"/>
              <w:left w:type="dxa" w:w="100"/>
              <w:bottom w:type="dxa" w:w="60"/>
              <w:right w:type="dxa" w:w="100"/>
            </w:tcMar>
            <w:vAlign w:val="center"/>
          </w:tcPr>
          <w:p>
            <w:pPr>
              <w:jc w:val="center"/>
            </w:pPr>
            <w:r>
              <w:rPr>
                <w:sz w:val="20"/>
                <w:szCs w:val="20"/>
              </w:rPr>
              <w:t xml:space="preserve">728k (25.1%)</w:t>
            </w:r>
          </w:p>
        </w:tc>
        <w:tc>
          <w:tcPr>
            <w:tcW w:type="dxa" w:w="2300"/>
            <w:tcMar>
              <w:top w:type="dxa" w:w="60"/>
              <w:left w:type="dxa" w:w="100"/>
              <w:bottom w:type="dxa" w:w="60"/>
              <w:right w:type="dxa" w:w="100"/>
            </w:tcMar>
            <w:vAlign w:val="center"/>
          </w:tcPr>
          <w:p>
            <w:pPr>
              <w:jc w:val="center"/>
            </w:pPr>
            <w:r>
              <w:rPr>
                <w:sz w:val="20"/>
                <w:szCs w:val="20"/>
              </w:rPr>
              <w:t xml:space="preserve">89.80 / 99.60% / 4.56%</w:t>
            </w:r>
          </w:p>
        </w:tc>
        <w:tc>
          <w:tcPr>
            <w:tcW w:type="dxa" w:w="900"/>
            <w:tcMar>
              <w:top w:type="dxa" w:w="60"/>
              <w:left w:type="dxa" w:w="100"/>
              <w:bottom w:type="dxa" w:w="60"/>
              <w:right w:type="dxa" w:w="100"/>
            </w:tcMar>
            <w:vAlign w:val="center"/>
          </w:tcPr>
          <w:p>
            <w:pPr>
              <w:jc w:val="center"/>
            </w:pPr>
            <w:r>
              <w:rPr>
                <w:sz w:val="20"/>
                <w:szCs w:val="20"/>
              </w:rPr>
              <w:t xml:space="preserve">339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near-IID, clients 0–3</w:t>
            </w:r>
          </w:p>
        </w:tc>
        <w:tc>
          <w:tcPr>
            <w:tcW w:type="dxa" w:w="1500"/>
            <w:tcMar>
              <w:top w:type="dxa" w:w="60"/>
              <w:left w:type="dxa" w:w="100"/>
              <w:bottom w:type="dxa" w:w="60"/>
              <w:right w:type="dxa" w:w="100"/>
            </w:tcMar>
            <w:vAlign w:val="center"/>
          </w:tcPr>
          <w:p>
            <w:pPr>
              <w:jc w:val="center"/>
            </w:pPr>
            <w:r>
              <w:rPr>
                <w:sz w:val="20"/>
                <w:szCs w:val="20"/>
              </w:rPr>
              <w:t xml:space="preserve">32k each (50%)</w:t>
            </w:r>
          </w:p>
        </w:tc>
        <w:tc>
          <w:tcPr>
            <w:tcW w:type="dxa" w:w="2300"/>
            <w:tcMar>
              <w:top w:type="dxa" w:w="60"/>
              <w:left w:type="dxa" w:w="100"/>
              <w:bottom w:type="dxa" w:w="60"/>
              <w:right w:type="dxa" w:w="100"/>
            </w:tcMar>
            <w:vAlign w:val="center"/>
          </w:tcPr>
          <w:p>
            <w:pPr>
              <w:jc w:val="center"/>
            </w:pPr>
            <w:r>
              <w:rPr>
                <w:sz w:val="20"/>
                <w:szCs w:val="20"/>
              </w:rPr>
              <w:t xml:space="preserve">99.16–99.31 / 99.65–99.79% / 3.5–4.8%</w:t>
            </w:r>
          </w:p>
        </w:tc>
        <w:tc>
          <w:tcPr>
            <w:tcW w:type="dxa" w:w="900"/>
            <w:tcMar>
              <w:top w:type="dxa" w:w="60"/>
              <w:left w:type="dxa" w:w="100"/>
              <w:bottom w:type="dxa" w:w="60"/>
              <w:right w:type="dxa" w:w="100"/>
            </w:tcMar>
            <w:vAlign w:val="center"/>
          </w:tcPr>
          <w:p>
            <w:pPr>
              <w:jc w:val="center"/>
            </w:pPr>
            <w:r>
              <w:rPr>
                <w:sz w:val="20"/>
                <w:szCs w:val="20"/>
              </w:rPr>
              <w:t xml:space="preserve">34–57</w:t>
            </w:r>
          </w:p>
        </w:tc>
        <w:tc>
          <w:tcPr>
            <w:tcW w:type="dxa" w:w="1900"/>
            <w:tcMar>
              <w:top w:type="dxa" w:w="60"/>
              <w:left w:type="dxa" w:w="100"/>
              <w:bottom w:type="dxa" w:w="60"/>
              <w:right w:type="dxa" w:w="100"/>
            </w:tcMar>
            <w:vAlign w:val="center"/>
          </w:tcPr>
          <w:p>
            <w:pPr>
              <w:jc w:val="center"/>
            </w:pPr>
            <w:r>
              <w:rPr>
                <w:sz w:val="20"/>
                <w:szCs w:val="20"/>
              </w:rPr>
              <w:t xml:space="preserve">99.40 / 99.62% / 2.76%</w:t>
            </w:r>
          </w:p>
        </w:tc>
        <w:tc>
          <w:tcPr>
            <w:tcW w:type="dxa" w:w="900"/>
            <w:tcMar>
              <w:top w:type="dxa" w:w="60"/>
              <w:left w:type="dxa" w:w="100"/>
              <w:bottom w:type="dxa" w:w="60"/>
              <w:right w:type="dxa" w:w="100"/>
            </w:tcMar>
            <w:vAlign w:val="center"/>
          </w:tcPr>
          <w:p>
            <w:pPr>
              <w:jc w:val="center"/>
            </w:pPr>
            <w:r>
              <w:rPr>
                <w:sz w:val="20"/>
                <w:szCs w:val="20"/>
              </w:rPr>
              <w:t xml:space="preserve">61</w:t>
            </w:r>
          </w:p>
        </w:tc>
      </w:tr>
      <w:tr>
        <w:tc>
          <w:tcPr>
            <w:tcW w:type="dxa" w:w="2100"/>
            <w:tcMar>
              <w:top w:type="dxa" w:w="60"/>
              <w:left w:type="dxa" w:w="100"/>
              <w:bottom w:type="dxa" w:w="60"/>
              <w:right w:type="dxa" w:w="100"/>
            </w:tcMar>
            <w:vAlign w:val="center"/>
          </w:tcPr>
          <w:p>
            <w:pPr>
              <w:jc w:val="left"/>
            </w:pPr>
            <w:r>
              <w:rPr>
                <w:sz w:val="20"/>
                <w:szCs w:val="20"/>
              </w:rPr>
              <w:t xml:space="preserve">TON Dirichlet, client 0</w:t>
            </w:r>
          </w:p>
        </w:tc>
        <w:tc>
          <w:tcPr>
            <w:tcW w:type="dxa" w:w="1500"/>
            <w:tcMar>
              <w:top w:type="dxa" w:w="60"/>
              <w:left w:type="dxa" w:w="100"/>
              <w:bottom w:type="dxa" w:w="60"/>
              <w:right w:type="dxa" w:w="100"/>
            </w:tcMar>
            <w:vAlign w:val="center"/>
          </w:tcPr>
          <w:p>
            <w:pPr>
              <w:jc w:val="center"/>
            </w:pPr>
            <w:r>
              <w:rPr>
                <w:sz w:val="20"/>
                <w:szCs w:val="20"/>
              </w:rPr>
              <w:t xml:space="preserve">49.9k (0.4%)</w:t>
            </w:r>
          </w:p>
        </w:tc>
        <w:tc>
          <w:tcPr>
            <w:tcW w:type="dxa" w:w="2300"/>
            <w:tcMar>
              <w:top w:type="dxa" w:w="60"/>
              <w:left w:type="dxa" w:w="100"/>
              <w:bottom w:type="dxa" w:w="60"/>
              <w:right w:type="dxa" w:w="100"/>
            </w:tcMar>
            <w:vAlign w:val="center"/>
          </w:tcPr>
          <w:p>
            <w:pPr>
              <w:jc w:val="center"/>
            </w:pPr>
            <w:r>
              <w:rPr>
                <w:sz w:val="20"/>
                <w:szCs w:val="20"/>
              </w:rPr>
              <w:t xml:space="preserve">90.16 / 82.13% / 0.23%</w:t>
            </w:r>
          </w:p>
        </w:tc>
        <w:tc>
          <w:tcPr>
            <w:tcW w:type="dxa" w:w="900"/>
            <w:tcMar>
              <w:top w:type="dxa" w:w="60"/>
              <w:left w:type="dxa" w:w="100"/>
              <w:bottom w:type="dxa" w:w="60"/>
              <w:right w:type="dxa" w:w="100"/>
            </w:tcMar>
            <w:vAlign w:val="center"/>
          </w:tcPr>
          <w:p>
            <w:pPr>
              <w:jc w:val="center"/>
            </w:pPr>
            <w:r>
              <w:rPr>
                <w:sz w:val="20"/>
                <w:szCs w:val="20"/>
              </w:rPr>
              <w:t xml:space="preserve">2,897</w:t>
            </w:r>
          </w:p>
        </w:tc>
        <w:tc>
          <w:tcPr>
            <w:tcW w:type="dxa" w:w="1900"/>
            <w:tcMar>
              <w:top w:type="dxa" w:w="60"/>
              <w:left w:type="dxa" w:w="100"/>
              <w:bottom w:type="dxa" w:w="60"/>
              <w:right w:type="dxa" w:w="100"/>
            </w:tcMar>
            <w:vAlign w:val="center"/>
          </w:tcPr>
          <w:p>
            <w:pPr>
              <w:jc w:val="center"/>
            </w:pPr>
            <w:r>
              <w:rPr>
                <w:sz w:val="20"/>
                <w:szCs w:val="20"/>
              </w:rPr>
              <w:t xml:space="preserve">98.45 / 97.99% / 3.59%</w:t>
            </w:r>
          </w:p>
        </w:tc>
        <w:tc>
          <w:tcPr>
            <w:tcW w:type="dxa" w:w="900"/>
            <w:tcMar>
              <w:top w:type="dxa" w:w="60"/>
              <w:left w:type="dxa" w:w="100"/>
              <w:bottom w:type="dxa" w:w="60"/>
              <w:right w:type="dxa" w:w="100"/>
            </w:tcMar>
            <w:vAlign w:val="center"/>
          </w:tcPr>
          <w:p>
            <w:pPr>
              <w:jc w:val="center"/>
            </w:pPr>
            <w:r>
              <w:rPr>
                <w:sz w:val="20"/>
                <w:szCs w:val="20"/>
              </w:rPr>
              <w:t xml:space="preserve">326</w:t>
            </w:r>
          </w:p>
        </w:tc>
      </w:tr>
      <w:tr>
        <w:tc>
          <w:tcPr>
            <w:tcW w:type="dxa" w:w="2100"/>
            <w:tcMar>
              <w:top w:type="dxa" w:w="60"/>
              <w:left w:type="dxa" w:w="100"/>
              <w:bottom w:type="dxa" w:w="60"/>
              <w:right w:type="dxa" w:w="100"/>
            </w:tcMar>
            <w:vAlign w:val="center"/>
          </w:tcPr>
          <w:p>
            <w:pPr>
              <w:jc w:val="left"/>
            </w:pPr>
            <w:r>
              <w:rPr>
                <w:sz w:val="20"/>
                <w:szCs w:val="20"/>
              </w:rPr>
              <w:t xml:space="preserve">TON Dirichlet, client 1</w:t>
            </w:r>
          </w:p>
        </w:tc>
        <w:tc>
          <w:tcPr>
            <w:tcW w:type="dxa" w:w="1500"/>
            <w:tcMar>
              <w:top w:type="dxa" w:w="60"/>
              <w:left w:type="dxa" w:w="100"/>
              <w:bottom w:type="dxa" w:w="60"/>
              <w:right w:type="dxa" w:w="100"/>
            </w:tcMar>
            <w:vAlign w:val="center"/>
          </w:tcPr>
          <w:p>
            <w:pPr>
              <w:jc w:val="center"/>
            </w:pPr>
            <w:r>
              <w:rPr>
                <w:sz w:val="20"/>
                <w:szCs w:val="20"/>
              </w:rPr>
              <w:t xml:space="preserve">62.9k (92.8%)</w:t>
            </w:r>
          </w:p>
        </w:tc>
        <w:tc>
          <w:tcPr>
            <w:tcW w:type="dxa" w:w="2300"/>
            <w:tcMar>
              <w:top w:type="dxa" w:w="60"/>
              <w:left w:type="dxa" w:w="100"/>
              <w:bottom w:type="dxa" w:w="60"/>
              <w:right w:type="dxa" w:w="100"/>
            </w:tcMar>
            <w:vAlign w:val="center"/>
          </w:tcPr>
          <w:p>
            <w:pPr>
              <w:jc w:val="center"/>
            </w:pPr>
            <w:r>
              <w:rPr>
                <w:sz w:val="20"/>
                <w:szCs w:val="20"/>
              </w:rPr>
              <w:t xml:space="preserve">96.90 / 99.92% / 21.20%</w:t>
            </w:r>
          </w:p>
        </w:tc>
        <w:tc>
          <w:tcPr>
            <w:tcW w:type="dxa" w:w="900"/>
            <w:tcMar>
              <w:top w:type="dxa" w:w="60"/>
              <w:left w:type="dxa" w:w="100"/>
              <w:bottom w:type="dxa" w:w="60"/>
              <w:right w:type="dxa" w:w="100"/>
            </w:tcMar>
            <w:vAlign w:val="center"/>
          </w:tcPr>
          <w:p>
            <w:pPr>
              <w:jc w:val="center"/>
            </w:pPr>
            <w:r>
              <w:rPr>
                <w:sz w:val="20"/>
                <w:szCs w:val="20"/>
              </w:rPr>
              <w:t xml:space="preserve">13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2</w:t>
            </w:r>
          </w:p>
        </w:tc>
        <w:tc>
          <w:tcPr>
            <w:tcW w:type="dxa" w:w="1500"/>
            <w:tcMar>
              <w:top w:type="dxa" w:w="60"/>
              <w:left w:type="dxa" w:w="100"/>
              <w:bottom w:type="dxa" w:w="60"/>
              <w:right w:type="dxa" w:w="100"/>
            </w:tcMar>
            <w:vAlign w:val="center"/>
          </w:tcPr>
          <w:p>
            <w:pPr>
              <w:jc w:val="center"/>
            </w:pPr>
            <w:r>
              <w:rPr>
                <w:sz w:val="20"/>
                <w:szCs w:val="20"/>
              </w:rPr>
              <w:t xml:space="preserve">8.6k (65.5%)</w:t>
            </w:r>
          </w:p>
        </w:tc>
        <w:tc>
          <w:tcPr>
            <w:tcW w:type="dxa" w:w="2300"/>
            <w:tcMar>
              <w:top w:type="dxa" w:w="60"/>
              <w:left w:type="dxa" w:w="100"/>
              <w:bottom w:type="dxa" w:w="60"/>
              <w:right w:type="dxa" w:w="100"/>
            </w:tcMar>
            <w:vAlign w:val="center"/>
          </w:tcPr>
          <w:p>
            <w:pPr>
              <w:jc w:val="center"/>
            </w:pPr>
            <w:r>
              <w:rPr>
                <w:sz w:val="20"/>
                <w:szCs w:val="20"/>
              </w:rPr>
              <w:t xml:space="preserve">99.02 / 99.80% / 5.97%</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r>
        <w:tc>
          <w:tcPr>
            <w:tcW w:type="dxa" w:w="2100"/>
            <w:tcMar>
              <w:top w:type="dxa" w:w="60"/>
              <w:left w:type="dxa" w:w="100"/>
              <w:bottom w:type="dxa" w:w="60"/>
              <w:right w:type="dxa" w:w="100"/>
            </w:tcMar>
            <w:vAlign w:val="center"/>
          </w:tcPr>
          <w:p>
            <w:pPr>
              <w:jc w:val="left"/>
            </w:pPr>
            <w:r>
              <w:rPr>
                <w:sz w:val="20"/>
                <w:szCs w:val="20"/>
              </w:rPr>
              <w:t xml:space="preserve">TON Dirichlet, client 3</w:t>
            </w:r>
          </w:p>
        </w:tc>
        <w:tc>
          <w:tcPr>
            <w:tcW w:type="dxa" w:w="1500"/>
            <w:tcMar>
              <w:top w:type="dxa" w:w="60"/>
              <w:left w:type="dxa" w:w="100"/>
              <w:bottom w:type="dxa" w:w="60"/>
              <w:right w:type="dxa" w:w="100"/>
            </w:tcMar>
            <w:vAlign w:val="center"/>
          </w:tcPr>
          <w:p>
            <w:pPr>
              <w:jc w:val="center"/>
            </w:pPr>
            <w:r>
              <w:rPr>
                <w:sz w:val="20"/>
                <w:szCs w:val="20"/>
              </w:rPr>
              <w:t xml:space="preserve">8.4k (8.5%)</w:t>
            </w:r>
          </w:p>
        </w:tc>
        <w:tc>
          <w:tcPr>
            <w:tcW w:type="dxa" w:w="2300"/>
            <w:tcMar>
              <w:top w:type="dxa" w:w="60"/>
              <w:left w:type="dxa" w:w="100"/>
              <w:bottom w:type="dxa" w:w="60"/>
              <w:right w:type="dxa" w:w="100"/>
            </w:tcMar>
            <w:vAlign w:val="center"/>
          </w:tcPr>
          <w:p>
            <w:pPr>
              <w:jc w:val="center"/>
            </w:pPr>
            <w:r>
              <w:rPr>
                <w:sz w:val="20"/>
                <w:szCs w:val="20"/>
              </w:rPr>
              <w:t xml:space="preserve">96.34 / 93.22% / 1.00%</w:t>
            </w:r>
          </w:p>
        </w:tc>
        <w:tc>
          <w:tcPr>
            <w:tcW w:type="dxa" w:w="900"/>
            <w:tcMar>
              <w:top w:type="dxa" w:w="60"/>
              <w:left w:type="dxa" w:w="100"/>
              <w:bottom w:type="dxa" w:w="60"/>
              <w:right w:type="dxa" w:w="100"/>
            </w:tcMar>
            <w:vAlign w:val="center"/>
          </w:tcPr>
          <w:p>
            <w:pPr>
              <w:jc w:val="center"/>
            </w:pPr>
            <w:r>
              <w:rPr>
                <w:sz w:val="20"/>
                <w:szCs w:val="20"/>
              </w:rPr>
              <w:t xml:space="preserve">1,099</w:t>
            </w:r>
          </w:p>
        </w:tc>
        <w:tc>
          <w:tcPr>
            <w:tcW w:type="dxa" w:w="1900"/>
            <w:tcMar>
              <w:top w:type="dxa" w:w="60"/>
              <w:left w:type="dxa" w:w="100"/>
              <w:bottom w:type="dxa" w:w="60"/>
              <w:right w:type="dxa" w:w="100"/>
            </w:tcMar>
            <w:vAlign w:val="center"/>
          </w:tcPr>
          <w:p>
            <w:pPr>
              <w:jc w:val="center"/>
            </w:pPr>
            <w:r>
              <w:rPr>
                <w:sz w:val="20"/>
                <w:szCs w:val="20"/>
              </w:rPr>
              <w:t xml:space="preserve"/>
            </w:r>
          </w:p>
        </w:tc>
        <w:tc>
          <w:tcPr>
            <w:tcW w:type="dxa" w:w="9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16,214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2026-10-04T22:44:40.126Z</dcterms:created>
  <dcterms:modified xsi:type="dcterms:W3CDTF">2026-10-04T22:44:40.134Z</dcterms:modified>
</cp:coreProperties>
</file>

<file path=docProps/custom.xml><?xml version="1.0" encoding="utf-8"?>
<Properties xmlns="http://schemas.openxmlformats.org/officeDocument/2006/custom-properties" xmlns:vt="http://schemas.openxmlformats.org/officeDocument/2006/docPropsVTypes"/>
</file>