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and Section 5.5 sweeps the pruning ratio.</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Third, training-time quantization-aware training inside FL collapses on CIC-IDS2017 (34.7% accuracy): heavy-tailed standardized features drive the learned INT8 input range to [−1231, 405]. The same method works on TON_IoT, and post-training quantization of the float model costs only about one F1 point.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(3) A negative result: training-time QAT inside FL fails on CIC-IDS2017 because its moving-average quantizers absorb the heavy-tailed feature outliers. It works on TON_IoT, and post-training quantization of a float model is unaffected (Section 5.6).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1150"/>
        <w:gridCol w:w="1150"/>
        <w:gridCol w:w="1150"/>
        <w:gridCol w:w="1150"/>
        <w:gridCol w:w="11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000"/>
            <w:tcMar>
              <w:top w:type="dxa" w:w="60"/>
              <w:left w:type="dxa" w:w="100"/>
              <w:bottom w:type="dxa" w:w="60"/>
              <w:right w:type="dxa" w:w="100"/>
            </w:tcMar>
            <w:vAlign w:val="center"/>
          </w:tcPr>
          <w:p>
            <w:pPr>
              <w:jc w:val="left"/>
            </w:pPr>
            <w:r>
              <w:rPr>
                <w:sz w:val="20"/>
                <w:szCs w:val="20"/>
              </w:rPr>
              <w:t xml:space="preserve">CIC-IDS2017 — centralized</w:t>
            </w:r>
          </w:p>
        </w:tc>
        <w:tc>
          <w:tcPr>
            <w:tcW w:type="dxa" w:w="1150"/>
            <w:tcMar>
              <w:top w:type="dxa" w:w="60"/>
              <w:left w:type="dxa" w:w="100"/>
              <w:bottom w:type="dxa" w:w="60"/>
              <w:right w:type="dxa" w:w="100"/>
            </w:tcMar>
            <w:vAlign w:val="center"/>
          </w:tcPr>
          <w:p>
            <w:pPr>
              <w:jc w:val="center"/>
            </w:pPr>
            <w:r>
              <w:rPr>
                <w:sz w:val="20"/>
                <w:szCs w:val="20"/>
              </w:rPr>
              <w:t xml:space="preserve">95.07%</w:t>
            </w:r>
          </w:p>
        </w:tc>
        <w:tc>
          <w:tcPr>
            <w:tcW w:type="dxa" w:w="1150"/>
            <w:tcMar>
              <w:top w:type="dxa" w:w="60"/>
              <w:left w:type="dxa" w:w="100"/>
              <w:bottom w:type="dxa" w:w="60"/>
              <w:right w:type="dxa" w:w="100"/>
            </w:tcMar>
            <w:vAlign w:val="center"/>
          </w:tcPr>
          <w:p>
            <w:pPr>
              <w:jc w:val="center"/>
            </w:pPr>
            <w:r>
              <w:rPr>
                <w:sz w:val="20"/>
                <w:szCs w:val="20"/>
              </w:rPr>
              <w:t xml:space="preserve">77.60%</w:t>
            </w:r>
          </w:p>
        </w:tc>
        <w:tc>
          <w:tcPr>
            <w:tcW w:type="dxa" w:w="1150"/>
            <w:tcMar>
              <w:top w:type="dxa" w:w="60"/>
              <w:left w:type="dxa" w:w="100"/>
              <w:bottom w:type="dxa" w:w="60"/>
              <w:right w:type="dxa" w:w="100"/>
            </w:tcMar>
            <w:vAlign w:val="center"/>
          </w:tcPr>
          <w:p>
            <w:pPr>
              <w:jc w:val="center"/>
            </w:pPr>
            <w:r>
              <w:rPr>
                <w:sz w:val="20"/>
                <w:szCs w:val="20"/>
              </w:rPr>
              <w:t xml:space="preserve">99.90%</w:t>
            </w:r>
          </w:p>
        </w:tc>
        <w:tc>
          <w:tcPr>
            <w:tcW w:type="dxa" w:w="1150"/>
            <w:tcMar>
              <w:top w:type="dxa" w:w="60"/>
              <w:left w:type="dxa" w:w="100"/>
              <w:bottom w:type="dxa" w:w="60"/>
              <w:right w:type="dxa" w:w="100"/>
            </w:tcMar>
            <w:vAlign w:val="center"/>
          </w:tcPr>
          <w:p>
            <w:pPr>
              <w:jc w:val="center"/>
            </w:pPr>
            <w:r>
              <w:rPr>
                <w:sz w:val="20"/>
                <w:szCs w:val="20"/>
              </w:rPr>
              <w:t xml:space="preserve">87.35%</w:t>
            </w:r>
          </w:p>
        </w:tc>
        <w:tc>
          <w:tcPr>
            <w:tcW w:type="dxa" w:w="1100"/>
            <w:tcMar>
              <w:top w:type="dxa" w:w="60"/>
              <w:left w:type="dxa" w:w="100"/>
              <w:bottom w:type="dxa" w:w="60"/>
              <w:right w:type="dxa" w:w="100"/>
            </w:tcMar>
            <w:vAlign w:val="center"/>
          </w:tcPr>
          <w:p>
            <w:pPr>
              <w:jc w:val="center"/>
            </w:pPr>
            <w:r>
              <w:rPr>
                <w:sz w:val="20"/>
                <w:szCs w:val="20"/>
              </w:rPr>
              <w:t xml:space="preserve">5.92%</w:t>
            </w:r>
          </w:p>
        </w:tc>
      </w:tr>
      <w:tr>
        <w:tc>
          <w:tcPr>
            <w:tcW w:type="dxa" w:w="3000"/>
            <w:tcMar>
              <w:top w:type="dxa" w:w="60"/>
              <w:left w:type="dxa" w:w="100"/>
              <w:bottom w:type="dxa" w:w="60"/>
              <w:right w:type="dxa" w:w="100"/>
            </w:tcMar>
            <w:vAlign w:val="center"/>
          </w:tcPr>
          <w:p>
            <w:pPr>
              <w:jc w:val="left"/>
            </w:pPr>
            <w:r>
              <w:rPr>
                <w:sz w:val="20"/>
                <w:szCs w:val="20"/>
              </w:rPr>
              <w:t xml:space="preserve">CIC-IDS2017 — federated (near-IID)</w:t>
            </w:r>
          </w:p>
        </w:tc>
        <w:tc>
          <w:tcPr>
            <w:tcW w:type="dxa" w:w="1150"/>
            <w:tcMar>
              <w:top w:type="dxa" w:w="60"/>
              <w:left w:type="dxa" w:w="100"/>
              <w:bottom w:type="dxa" w:w="60"/>
              <w:right w:type="dxa" w:w="100"/>
            </w:tcMar>
            <w:vAlign w:val="center"/>
          </w:tcPr>
          <w:p>
            <w:pPr>
              <w:jc w:val="center"/>
            </w:pPr>
            <w:r>
              <w:rPr>
                <w:sz w:val="20"/>
                <w:szCs w:val="20"/>
              </w:rPr>
              <w:t xml:space="preserve">94.32%</w:t>
            </w:r>
          </w:p>
        </w:tc>
        <w:tc>
          <w:tcPr>
            <w:tcW w:type="dxa" w:w="1150"/>
            <w:tcMar>
              <w:top w:type="dxa" w:w="60"/>
              <w:left w:type="dxa" w:w="100"/>
              <w:bottom w:type="dxa" w:w="60"/>
              <w:right w:type="dxa" w:w="100"/>
            </w:tcMar>
            <w:vAlign w:val="center"/>
          </w:tcPr>
          <w:p>
            <w:pPr>
              <w:jc w:val="center"/>
            </w:pPr>
            <w:r>
              <w:rPr>
                <w:sz w:val="20"/>
                <w:szCs w:val="20"/>
              </w:rPr>
              <w:t xml:space="preserve">75.01%</w:t>
            </w:r>
          </w:p>
        </w:tc>
        <w:tc>
          <w:tcPr>
            <w:tcW w:type="dxa" w:w="1150"/>
            <w:tcMar>
              <w:top w:type="dxa" w:w="60"/>
              <w:left w:type="dxa" w:w="100"/>
              <w:bottom w:type="dxa" w:w="60"/>
              <w:right w:type="dxa" w:w="100"/>
            </w:tcMar>
            <w:vAlign w:val="center"/>
          </w:tcPr>
          <w:p>
            <w:pPr>
              <w:jc w:val="center"/>
            </w:pPr>
            <w:r>
              <w:rPr>
                <w:sz w:val="20"/>
                <w:szCs w:val="20"/>
              </w:rPr>
              <w:t xml:space="preserve">99.94%</w:t>
            </w:r>
          </w:p>
        </w:tc>
        <w:tc>
          <w:tcPr>
            <w:tcW w:type="dxa" w:w="115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6.84%</w:t>
            </w:r>
          </w:p>
        </w:tc>
      </w:tr>
      <w:tr>
        <w:tc>
          <w:tcPr>
            <w:tcW w:type="dxa" w:w="3000"/>
            <w:tcMar>
              <w:top w:type="dxa" w:w="60"/>
              <w:left w:type="dxa" w:w="100"/>
              <w:bottom w:type="dxa" w:w="60"/>
              <w:right w:type="dxa" w:w="100"/>
            </w:tcMar>
            <w:vAlign w:val="center"/>
          </w:tcPr>
          <w:p>
            <w:pPr>
              <w:jc w:val="left"/>
            </w:pPr>
            <w:r>
              <w:rPr>
                <w:sz w:val="20"/>
                <w:szCs w:val="20"/>
              </w:rPr>
              <w:t xml:space="preserve">CIC-IDS2017 — federated, fixed LR</w:t>
            </w:r>
          </w:p>
        </w:tc>
        <w:tc>
          <w:tcPr>
            <w:tcW w:type="dxa" w:w="1150"/>
            <w:tcMar>
              <w:top w:type="dxa" w:w="60"/>
              <w:left w:type="dxa" w:w="100"/>
              <w:bottom w:type="dxa" w:w="60"/>
              <w:right w:type="dxa" w:w="100"/>
            </w:tcMar>
            <w:vAlign w:val="center"/>
          </w:tcPr>
          <w:p>
            <w:pPr>
              <w:jc w:val="center"/>
            </w:pPr>
            <w:r>
              <w:rPr>
                <w:sz w:val="20"/>
                <w:szCs w:val="20"/>
              </w:rPr>
              <w:t xml:space="preserve">pending</w:t>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00"/>
            <w:tcMar>
              <w:top w:type="dxa" w:w="60"/>
              <w:left w:type="dxa" w:w="100"/>
              <w:bottom w:type="dxa" w:w="60"/>
              <w:right w:type="dxa" w:w="100"/>
            </w:tcMar>
            <w:vAlign w:val="center"/>
          </w:tcPr>
          <w:p>
            <w:pPr>
              <w:jc w:val="center"/>
            </w:pPr>
            <w:r>
              <w:rPr>
                <w:sz w:val="20"/>
                <w:szCs w:val="20"/>
              </w:rPr>
              <w:t xml:space="preserve"/>
            </w:r>
          </w:p>
        </w:tc>
      </w:tr>
      <w:tr>
        <w:tc>
          <w:tcPr>
            <w:tcW w:type="dxa" w:w="3000"/>
            <w:tcMar>
              <w:top w:type="dxa" w:w="60"/>
              <w:left w:type="dxa" w:w="100"/>
              <w:bottom w:type="dxa" w:w="60"/>
              <w:right w:type="dxa" w:w="100"/>
            </w:tcMar>
            <w:vAlign w:val="center"/>
          </w:tcPr>
          <w:p>
            <w:pPr>
              <w:jc w:val="left"/>
            </w:pPr>
            <w:r>
              <w:rPr>
                <w:sz w:val="20"/>
                <w:szCs w:val="20"/>
              </w:rPr>
              <w:t xml:space="preserve">TON_IoT — centralized</w:t>
            </w:r>
          </w:p>
        </w:tc>
        <w:tc>
          <w:tcPr>
            <w:tcW w:type="dxa" w:w="1150"/>
            <w:tcMar>
              <w:top w:type="dxa" w:w="60"/>
              <w:left w:type="dxa" w:w="100"/>
              <w:bottom w:type="dxa" w:w="60"/>
              <w:right w:type="dxa" w:w="100"/>
            </w:tcMar>
            <w:vAlign w:val="center"/>
          </w:tcPr>
          <w:p>
            <w:pPr>
              <w:jc w:val="center"/>
            </w:pPr>
            <w:r>
              <w:rPr>
                <w:sz w:val="20"/>
                <w:szCs w:val="20"/>
              </w:rPr>
              <w:t xml:space="preserve">99.20%</w:t>
            </w:r>
          </w:p>
        </w:tc>
        <w:tc>
          <w:tcPr>
            <w:tcW w:type="dxa" w:w="1150"/>
            <w:tcMar>
              <w:top w:type="dxa" w:w="60"/>
              <w:left w:type="dxa" w:w="100"/>
              <w:bottom w:type="dxa" w:w="60"/>
              <w:right w:type="dxa" w:w="100"/>
            </w:tcMar>
            <w:vAlign w:val="center"/>
          </w:tcPr>
          <w:p>
            <w:pPr>
              <w:jc w:val="center"/>
            </w:pPr>
            <w:r>
              <w:rPr>
                <w:sz w:val="20"/>
                <w:szCs w:val="20"/>
              </w:rPr>
              <w:t xml:space="preserve">99.32%</w:t>
            </w:r>
          </w:p>
        </w:tc>
        <w:tc>
          <w:tcPr>
            <w:tcW w:type="dxa" w:w="1150"/>
            <w:tcMar>
              <w:top w:type="dxa" w:w="60"/>
              <w:left w:type="dxa" w:w="100"/>
              <w:bottom w:type="dxa" w:w="60"/>
              <w:right w:type="dxa" w:w="100"/>
            </w:tcMar>
            <w:vAlign w:val="center"/>
          </w:tcPr>
          <w:p>
            <w:pPr>
              <w:jc w:val="center"/>
            </w:pPr>
            <w:r>
              <w:rPr>
                <w:sz w:val="20"/>
                <w:szCs w:val="20"/>
              </w:rPr>
              <w:t xml:space="preserve">99.64%</w:t>
            </w:r>
          </w:p>
        </w:tc>
        <w:tc>
          <w:tcPr>
            <w:tcW w:type="dxa" w:w="1150"/>
            <w:tcMar>
              <w:top w:type="dxa" w:w="60"/>
              <w:left w:type="dxa" w:w="100"/>
              <w:bottom w:type="dxa" w:w="60"/>
              <w:right w:type="dxa" w:w="100"/>
            </w:tcMar>
            <w:vAlign w:val="center"/>
          </w:tcPr>
          <w:p>
            <w:pPr>
              <w:jc w:val="center"/>
            </w:pPr>
            <w:r>
              <w:rPr>
                <w:sz w:val="20"/>
                <w:szCs w:val="20"/>
              </w:rPr>
              <w:t xml:space="preserve">99.48%</w:t>
            </w:r>
          </w:p>
        </w:tc>
        <w:tc>
          <w:tcPr>
            <w:tcW w:type="dxa" w:w="1100"/>
            <w:tcMar>
              <w:top w:type="dxa" w:w="60"/>
              <w:left w:type="dxa" w:w="100"/>
              <w:bottom w:type="dxa" w:w="60"/>
              <w:right w:type="dxa" w:w="100"/>
            </w:tcMar>
            <w:vAlign w:val="center"/>
          </w:tcPr>
          <w:p>
            <w:pPr>
              <w:jc w:val="center"/>
            </w:pPr>
            <w:r>
              <w:rPr>
                <w:sz w:val="20"/>
                <w:szCs w:val="20"/>
              </w:rPr>
              <w:t xml:space="preserve">2.28%</w:t>
            </w:r>
          </w:p>
        </w:tc>
      </w:tr>
      <w:tr>
        <w:tc>
          <w:tcPr>
            <w:tcW w:type="dxa" w:w="3000"/>
            <w:tcMar>
              <w:top w:type="dxa" w:w="60"/>
              <w:left w:type="dxa" w:w="100"/>
              <w:bottom w:type="dxa" w:w="60"/>
              <w:right w:type="dxa" w:w="100"/>
            </w:tcMar>
            <w:vAlign w:val="center"/>
          </w:tcPr>
          <w:p>
            <w:pPr>
              <w:jc w:val="left"/>
            </w:pPr>
            <w:r>
              <w:rPr>
                <w:sz w:val="20"/>
                <w:szCs w:val="20"/>
              </w:rPr>
              <w:t xml:space="preserve">TON_IoT — federated (near-IID)</w:t>
            </w:r>
          </w:p>
        </w:tc>
        <w:tc>
          <w:tcPr>
            <w:tcW w:type="dxa" w:w="1150"/>
            <w:tcMar>
              <w:top w:type="dxa" w:w="60"/>
              <w:left w:type="dxa" w:w="100"/>
              <w:bottom w:type="dxa" w:w="60"/>
              <w:right w:type="dxa" w:w="100"/>
            </w:tcMar>
            <w:vAlign w:val="center"/>
          </w:tcPr>
          <w:p>
            <w:pPr>
              <w:jc w:val="center"/>
            </w:pPr>
            <w:r>
              <w:rPr>
                <w:sz w:val="20"/>
                <w:szCs w:val="20"/>
              </w:rPr>
              <w:t xml:space="preserve">99.08%</w:t>
            </w:r>
          </w:p>
        </w:tc>
        <w:tc>
          <w:tcPr>
            <w:tcW w:type="dxa" w:w="1150"/>
            <w:tcMar>
              <w:top w:type="dxa" w:w="60"/>
              <w:left w:type="dxa" w:w="100"/>
              <w:bottom w:type="dxa" w:w="60"/>
              <w:right w:type="dxa" w:w="100"/>
            </w:tcMar>
            <w:vAlign w:val="center"/>
          </w:tcPr>
          <w:p>
            <w:pPr>
              <w:jc w:val="center"/>
            </w:pPr>
            <w:r>
              <w:rPr>
                <w:sz w:val="20"/>
                <w:szCs w:val="20"/>
              </w:rPr>
              <w:t xml:space="preserve">99.18%</w:t>
            </w:r>
          </w:p>
        </w:tc>
        <w:tc>
          <w:tcPr>
            <w:tcW w:type="dxa" w:w="1150"/>
            <w:tcMar>
              <w:top w:type="dxa" w:w="60"/>
              <w:left w:type="dxa" w:w="100"/>
              <w:bottom w:type="dxa" w:w="60"/>
              <w:right w:type="dxa" w:w="100"/>
            </w:tcMar>
            <w:vAlign w:val="center"/>
          </w:tcPr>
          <w:p>
            <w:pPr>
              <w:jc w:val="center"/>
            </w:pPr>
            <w:r>
              <w:rPr>
                <w:sz w:val="20"/>
                <w:szCs w:val="20"/>
              </w:rPr>
              <w:t xml:space="preserve">99.62%</w:t>
            </w:r>
          </w:p>
        </w:tc>
        <w:tc>
          <w:tcPr>
            <w:tcW w:type="dxa" w:w="1150"/>
            <w:tcMar>
              <w:top w:type="dxa" w:w="60"/>
              <w:left w:type="dxa" w:w="100"/>
              <w:bottom w:type="dxa" w:w="60"/>
              <w:right w:type="dxa" w:w="100"/>
            </w:tcMar>
            <w:vAlign w:val="center"/>
          </w:tcPr>
          <w:p>
            <w:pPr>
              <w:jc w:val="center"/>
            </w:pPr>
            <w:r>
              <w:rPr>
                <w:sz w:val="20"/>
                <w:szCs w:val="20"/>
              </w:rPr>
              <w:t xml:space="preserve">99.40%</w:t>
            </w:r>
          </w:p>
        </w:tc>
        <w:tc>
          <w:tcPr>
            <w:tcW w:type="dxa" w:w="1100"/>
            <w:tcMar>
              <w:top w:type="dxa" w:w="60"/>
              <w:left w:type="dxa" w:w="100"/>
              <w:bottom w:type="dxa" w:w="60"/>
              <w:right w:type="dxa" w:w="100"/>
            </w:tcMar>
            <w:vAlign w:val="center"/>
          </w:tcPr>
          <w:p>
            <w:pPr>
              <w:jc w:val="center"/>
            </w:pPr>
            <w:r>
              <w:rPr>
                <w:sz w:val="20"/>
                <w:szCs w:val="20"/>
              </w:rPr>
              <w:t xml:space="preserve">2.76%</w:t>
            </w:r>
          </w:p>
        </w:tc>
      </w:tr>
      <w:tr>
        <w:tc>
          <w:tcPr>
            <w:tcW w:type="dxa" w:w="3000"/>
            <w:tcMar>
              <w:top w:type="dxa" w:w="60"/>
              <w:left w:type="dxa" w:w="100"/>
              <w:bottom w:type="dxa" w:w="60"/>
              <w:right w:type="dxa" w:w="100"/>
            </w:tcMar>
            <w:vAlign w:val="center"/>
          </w:tcPr>
          <w:p>
            <w:pPr>
              <w:jc w:val="left"/>
            </w:pPr>
            <w:r>
              <w:rPr>
                <w:sz w:val="20"/>
                <w:szCs w:val="20"/>
              </w:rPr>
              <w:t xml:space="preserve">TON_IoT — federated, fixed LR</w:t>
            </w:r>
          </w:p>
        </w:tc>
        <w:tc>
          <w:tcPr>
            <w:tcW w:type="dxa" w:w="1150"/>
            <w:tcMar>
              <w:top w:type="dxa" w:w="60"/>
              <w:left w:type="dxa" w:w="100"/>
              <w:bottom w:type="dxa" w:w="60"/>
              <w:right w:type="dxa" w:w="100"/>
            </w:tcMar>
            <w:vAlign w:val="center"/>
          </w:tcPr>
          <w:p>
            <w:pPr>
              <w:jc w:val="center"/>
            </w:pPr>
            <w:r>
              <w:rPr>
                <w:sz w:val="20"/>
                <w:szCs w:val="20"/>
              </w:rPr>
              <w:t xml:space="preserve">99.02%</w:t>
            </w:r>
          </w:p>
        </w:tc>
        <w:tc>
          <w:tcPr>
            <w:tcW w:type="dxa" w:w="1150"/>
            <w:tcMar>
              <w:top w:type="dxa" w:w="60"/>
              <w:left w:type="dxa" w:w="100"/>
              <w:bottom w:type="dxa" w:w="60"/>
              <w:right w:type="dxa" w:w="100"/>
            </w:tcMar>
            <w:vAlign w:val="center"/>
          </w:tcPr>
          <w:p>
            <w:pPr>
              <w:jc w:val="center"/>
            </w:pPr>
            <w:r>
              <w:rPr>
                <w:sz w:val="20"/>
                <w:szCs w:val="20"/>
              </w:rPr>
              <w:t xml:space="preserve">99.00%</w:t>
            </w:r>
          </w:p>
        </w:tc>
        <w:tc>
          <w:tcPr>
            <w:tcW w:type="dxa" w:w="1150"/>
            <w:tcMar>
              <w:top w:type="dxa" w:w="60"/>
              <w:left w:type="dxa" w:w="100"/>
              <w:bottom w:type="dxa" w:w="60"/>
              <w:right w:type="dxa" w:w="100"/>
            </w:tcMar>
            <w:vAlign w:val="center"/>
          </w:tcPr>
          <w:p>
            <w:pPr>
              <w:jc w:val="center"/>
            </w:pPr>
            <w:r>
              <w:rPr>
                <w:sz w:val="20"/>
                <w:szCs w:val="20"/>
              </w:rPr>
              <w:t xml:space="preserve">99.73%</w:t>
            </w:r>
          </w:p>
        </w:tc>
        <w:tc>
          <w:tcPr>
            <w:tcW w:type="dxa" w:w="1150"/>
            <w:tcMar>
              <w:top w:type="dxa" w:w="60"/>
              <w:left w:type="dxa" w:w="100"/>
              <w:bottom w:type="dxa" w:w="60"/>
              <w:right w:type="dxa" w:w="100"/>
            </w:tcMar>
            <w:vAlign w:val="center"/>
          </w:tcPr>
          <w:p>
            <w:pPr>
              <w:jc w:val="center"/>
            </w:pPr>
            <w:r>
              <w:rPr>
                <w:sz w:val="20"/>
                <w:szCs w:val="20"/>
              </w:rPr>
              <w:t xml:space="preserve">99.36%</w:t>
            </w:r>
          </w:p>
        </w:tc>
        <w:tc>
          <w:tcPr>
            <w:tcW w:type="dxa" w:w="1100"/>
            <w:tcMar>
              <w:top w:type="dxa" w:w="60"/>
              <w:left w:type="dxa" w:w="100"/>
              <w:bottom w:type="dxa" w:w="60"/>
              <w:right w:type="dxa" w:w="100"/>
            </w:tcMar>
            <w:vAlign w:val="center"/>
          </w:tcPr>
          <w:p>
            <w:pPr>
              <w:jc w:val="center"/>
            </w:pPr>
            <w:r>
              <w:rPr>
                <w:sz w:val="20"/>
                <w:szCs w:val="20"/>
              </w:rPr>
              <w:t xml:space="preserve">3.38%</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On TON_IoT, a fixed learning rate performs as well as the cosine schedule (F1 99.36 vs. 99.40), so the large effect of the cosine schedule reported in the WIP version is not visible on this dataset. </w:t>
      </w:r>
      <w:r>
        <w:rPr>
          <w:b/>
          <w:bCs/>
          <w:color w:val="C00000"/>
        </w:rPr>
        <w:t xml:space="preserve">[PENDING: CIC-IDS2017 fixed-learning-rate row from job 2026-10-04_i]</w:t>
      </w:r>
    </w:p>
    <w:p>
      <w:pPr>
        <w:pStyle w:val="Heading2"/>
        <w:spacing w:after="140" w:before="260"/>
      </w:pPr>
      <w:r>
        <w:t xml:space="preserve">5.2 Non-IID Clients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000"/>
        <w:gridCol w:w="900"/>
        <w:gridCol w:w="1200"/>
        <w:gridCol w:w="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30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600"/>
            <w:tcMar>
              <w:top w:type="dxa" w:w="60"/>
              <w:left w:type="dxa" w:w="100"/>
              <w:bottom w:type="dxa" w:w="60"/>
              <w:right w:type="dxa" w:w="100"/>
            </w:tcMar>
            <w:vAlign w:val="center"/>
          </w:tcPr>
          <w:p>
            <w:pPr>
              <w:jc w:val="left"/>
            </w:pPr>
            <w:r>
              <w:rPr>
                <w:sz w:val="20"/>
                <w:szCs w:val="20"/>
              </w:rPr>
              <w:t xml:space="preserve">CIC-IDS2017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94.32%</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12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600"/>
            <w:tcMar>
              <w:top w:type="dxa" w:w="60"/>
              <w:left w:type="dxa" w:w="100"/>
              <w:bottom w:type="dxa" w:w="60"/>
              <w:right w:type="dxa" w:w="100"/>
            </w:tcMar>
            <w:vAlign w:val="center"/>
          </w:tcPr>
          <w:p>
            <w:pPr>
              <w:jc w:val="left"/>
            </w:pPr>
            <w:r>
              <w:rPr>
                <w:sz w:val="20"/>
                <w:szCs w:val="20"/>
              </w:rPr>
              <w:t xml:space="preserve">CIC-IDS2017 — Dirichlet(0.3)</w:t>
            </w:r>
          </w:p>
        </w:tc>
        <w:tc>
          <w:tcPr>
            <w:tcW w:type="dxa" w:w="30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1000"/>
            <w:tcMar>
              <w:top w:type="dxa" w:w="60"/>
              <w:left w:type="dxa" w:w="100"/>
              <w:bottom w:type="dxa" w:w="60"/>
              <w:right w:type="dxa" w:w="100"/>
            </w:tcMar>
            <w:vAlign w:val="center"/>
          </w:tcPr>
          <w:p>
            <w:pPr>
              <w:jc w:val="center"/>
            </w:pPr>
            <w:r>
              <w:rPr>
                <w:sz w:val="20"/>
                <w:szCs w:val="20"/>
              </w:rPr>
              <w:t xml:space="preserve">94.27%</w:t>
            </w:r>
          </w:p>
        </w:tc>
        <w:tc>
          <w:tcPr>
            <w:tcW w:type="dxa" w:w="900"/>
            <w:tcMar>
              <w:top w:type="dxa" w:w="60"/>
              <w:left w:type="dxa" w:w="100"/>
              <w:bottom w:type="dxa" w:w="60"/>
              <w:right w:type="dxa" w:w="100"/>
            </w:tcMar>
            <w:vAlign w:val="center"/>
          </w:tcPr>
          <w:p>
            <w:pPr>
              <w:jc w:val="center"/>
            </w:pPr>
            <w:r>
              <w:rPr>
                <w:sz w:val="20"/>
                <w:szCs w:val="20"/>
              </w:rPr>
              <w:t xml:space="preserve">85.59%</w:t>
            </w:r>
          </w:p>
        </w:tc>
        <w:tc>
          <w:tcPr>
            <w:tcW w:type="dxa" w:w="1200"/>
            <w:tcMar>
              <w:top w:type="dxa" w:w="60"/>
              <w:left w:type="dxa" w:w="100"/>
              <w:bottom w:type="dxa" w:w="60"/>
              <w:right w:type="dxa" w:w="100"/>
            </w:tcMar>
            <w:vAlign w:val="center"/>
          </w:tcPr>
          <w:p>
            <w:pPr>
              <w:jc w:val="center"/>
            </w:pPr>
            <w:r>
              <w:rPr>
                <w:sz w:val="20"/>
                <w:szCs w:val="20"/>
              </w:rPr>
              <w:t xml:space="preserve">99.83%</w:t>
            </w:r>
          </w:p>
        </w:tc>
        <w:tc>
          <w:tcPr>
            <w:tcW w:type="dxa" w:w="900"/>
            <w:tcMar>
              <w:top w:type="dxa" w:w="60"/>
              <w:left w:type="dxa" w:w="100"/>
              <w:bottom w:type="dxa" w:w="60"/>
              <w:right w:type="dxa" w:w="100"/>
            </w:tcMar>
            <w:vAlign w:val="center"/>
          </w:tcPr>
          <w:p>
            <w:pPr>
              <w:jc w:val="center"/>
            </w:pPr>
            <w:r>
              <w:rPr>
                <w:sz w:val="20"/>
                <w:szCs w:val="20"/>
              </w:rPr>
              <w:t xml:space="preserve">6.87%</w:t>
            </w:r>
          </w:p>
        </w:tc>
      </w:tr>
      <w:tr>
        <w:tc>
          <w:tcPr>
            <w:tcW w:type="dxa" w:w="2600"/>
            <w:tcMar>
              <w:top w:type="dxa" w:w="60"/>
              <w:left w:type="dxa" w:w="100"/>
              <w:bottom w:type="dxa" w:w="60"/>
              <w:right w:type="dxa" w:w="100"/>
            </w:tcMar>
            <w:vAlign w:val="center"/>
          </w:tcPr>
          <w:p>
            <w:pPr>
              <w:jc w:val="left"/>
            </w:pPr>
            <w:r>
              <w:rPr>
                <w:sz w:val="20"/>
                <w:szCs w:val="20"/>
              </w:rPr>
              <w:t xml:space="preserve">TON_IoT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99.08%</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2.76%</w:t>
            </w:r>
          </w:p>
        </w:tc>
      </w:tr>
      <w:tr>
        <w:tc>
          <w:tcPr>
            <w:tcW w:type="dxa" w:w="2600"/>
            <w:tcMar>
              <w:top w:type="dxa" w:w="60"/>
              <w:left w:type="dxa" w:w="100"/>
              <w:bottom w:type="dxa" w:w="60"/>
              <w:right w:type="dxa" w:w="100"/>
            </w:tcMar>
            <w:vAlign w:val="center"/>
          </w:tcPr>
          <w:p>
            <w:pPr>
              <w:jc w:val="left"/>
            </w:pPr>
            <w:r>
              <w:rPr>
                <w:sz w:val="20"/>
                <w:szCs w:val="20"/>
              </w:rPr>
              <w:t xml:space="preserve">TON_IoT — Dirichlet(0.3)</w:t>
            </w:r>
          </w:p>
        </w:tc>
        <w:tc>
          <w:tcPr>
            <w:tcW w:type="dxa" w:w="30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1000"/>
            <w:tcMar>
              <w:top w:type="dxa" w:w="60"/>
              <w:left w:type="dxa" w:w="100"/>
              <w:bottom w:type="dxa" w:w="60"/>
              <w:right w:type="dxa" w:w="100"/>
            </w:tcMar>
            <w:vAlign w:val="center"/>
          </w:tcPr>
          <w:p>
            <w:pPr>
              <w:jc w:val="center"/>
            </w:pPr>
            <w:r>
              <w:rPr>
                <w:sz w:val="20"/>
                <w:szCs w:val="20"/>
              </w:rPr>
              <w:t xml:space="preserve">97.63%</w:t>
            </w:r>
          </w:p>
        </w:tc>
        <w:tc>
          <w:tcPr>
            <w:tcW w:type="dxa" w:w="900"/>
            <w:tcMar>
              <w:top w:type="dxa" w:w="60"/>
              <w:left w:type="dxa" w:w="100"/>
              <w:bottom w:type="dxa" w:w="60"/>
              <w:right w:type="dxa" w:w="100"/>
            </w:tcMar>
            <w:vAlign w:val="center"/>
          </w:tcPr>
          <w:p>
            <w:pPr>
              <w:jc w:val="center"/>
            </w:pPr>
            <w:r>
              <w:rPr>
                <w:sz w:val="20"/>
                <w:szCs w:val="20"/>
              </w:rPr>
              <w:t xml:space="preserve">98.45%</w:t>
            </w:r>
          </w:p>
        </w:tc>
        <w:tc>
          <w:tcPr>
            <w:tcW w:type="dxa" w:w="1200"/>
            <w:tcMar>
              <w:top w:type="dxa" w:w="60"/>
              <w:left w:type="dxa" w:w="100"/>
              <w:bottom w:type="dxa" w:w="60"/>
              <w:right w:type="dxa" w:w="100"/>
            </w:tcMar>
            <w:vAlign w:val="center"/>
          </w:tcPr>
          <w:p>
            <w:pPr>
              <w:jc w:val="center"/>
            </w:pPr>
            <w:r>
              <w:rPr>
                <w:sz w:val="20"/>
                <w:szCs w:val="20"/>
              </w:rPr>
              <w:t xml:space="preserve">97.99%</w:t>
            </w:r>
          </w:p>
        </w:tc>
        <w:tc>
          <w:tcPr>
            <w:tcW w:type="dxa" w:w="900"/>
            <w:tcMar>
              <w:top w:type="dxa" w:w="60"/>
              <w:left w:type="dxa" w:w="100"/>
              <w:bottom w:type="dxa" w:w="60"/>
              <w:right w:type="dxa" w:w="100"/>
            </w:tcMar>
            <w:vAlign w:val="center"/>
          </w:tcPr>
          <w:p>
            <w:pPr>
              <w:jc w:val="center"/>
            </w:pPr>
            <w:r>
              <w:rPr>
                <w:sz w:val="20"/>
                <w:szCs w:val="20"/>
              </w:rPr>
              <w:t xml:space="preserve">3.59%</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700"/>
        <w:gridCol w:w="1000"/>
        <w:gridCol w:w="1500"/>
        <w:gridCol w:w="1000"/>
        <w:gridCol w:w="1500"/>
      </w:tblGrid>
      <w:tr>
        <w:trPr>
          <w:tblHeader/>
        </w:trPr>
        <w:tc>
          <w:tcPr>
            <w:tcW w:type="dxa" w:w="37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 FAR</w:t>
            </w:r>
          </w:p>
        </w:tc>
      </w:tr>
      <w:tr>
        <w:tc>
          <w:tcPr>
            <w:tcW w:type="dxa" w:w="3700"/>
            <w:tcMar>
              <w:top w:type="dxa" w:w="60"/>
              <w:left w:type="dxa" w:w="100"/>
              <w:bottom w:type="dxa" w:w="60"/>
              <w:right w:type="dxa" w:w="100"/>
            </w:tcMar>
            <w:vAlign w:val="center"/>
          </w:tcPr>
          <w:p>
            <w:pPr>
              <w:jc w:val="left"/>
            </w:pPr>
            <w:r>
              <w:rPr>
                <w:sz w:val="20"/>
                <w:szCs w:val="20"/>
              </w:rPr>
              <w:t xml:space="preserve">FP32 federated model (TFLite)</w:t>
            </w:r>
          </w:p>
        </w:tc>
        <w:tc>
          <w:tcPr>
            <w:tcW w:type="dxa" w:w="1000"/>
            <w:tcMar>
              <w:top w:type="dxa" w:w="60"/>
              <w:left w:type="dxa" w:w="100"/>
              <w:bottom w:type="dxa" w:w="60"/>
              <w:right w:type="dxa" w:w="100"/>
            </w:tcMar>
            <w:vAlign w:val="center"/>
          </w:tcPr>
          <w:p>
            <w:pPr>
              <w:jc w:val="center"/>
            </w:pPr>
            <w:r>
              <w:rPr>
                <w:sz w:val="20"/>
                <w:szCs w:val="20"/>
              </w:rPr>
              <w:t xml:space="preserve">802.5 KB</w:t>
            </w:r>
          </w:p>
        </w:tc>
        <w:tc>
          <w:tcPr>
            <w:tcW w:type="dxa" w:w="1500"/>
            <w:tcMar>
              <w:top w:type="dxa" w:w="60"/>
              <w:left w:type="dxa" w:w="100"/>
              <w:bottom w:type="dxa" w:w="60"/>
              <w:right w:type="dxa" w:w="100"/>
            </w:tcMar>
            <w:vAlign w:val="center"/>
          </w:tcPr>
          <w:p>
            <w:pPr>
              <w:jc w:val="center"/>
            </w:pPr>
            <w:r>
              <w:rPr>
                <w:sz w:val="20"/>
                <w:szCs w:val="20"/>
              </w:rPr>
              <w:t xml:space="preserve">85.70 / 6.84%</w:t>
            </w:r>
          </w:p>
        </w:tc>
        <w:tc>
          <w:tcPr>
            <w:tcW w:type="dxa" w:w="1000"/>
            <w:tcMar>
              <w:top w:type="dxa" w:w="60"/>
              <w:left w:type="dxa" w:w="100"/>
              <w:bottom w:type="dxa" w:w="60"/>
              <w:right w:type="dxa" w:w="100"/>
            </w:tcMar>
            <w:vAlign w:val="center"/>
          </w:tcPr>
          <w:p>
            <w:pPr>
              <w:jc w:val="center"/>
            </w:pPr>
            <w:r>
              <w:rPr>
                <w:sz w:val="20"/>
                <w:szCs w:val="20"/>
              </w:rPr>
              <w:t xml:space="preserve">720.6 KB</w:t>
            </w:r>
          </w:p>
        </w:tc>
        <w:tc>
          <w:tcPr>
            <w:tcW w:type="dxa" w:w="1500"/>
            <w:tcMar>
              <w:top w:type="dxa" w:w="60"/>
              <w:left w:type="dxa" w:w="100"/>
              <w:bottom w:type="dxa" w:w="60"/>
              <w:right w:type="dxa" w:w="100"/>
            </w:tcMar>
            <w:vAlign w:val="center"/>
          </w:tcPr>
          <w:p>
            <w:pPr>
              <w:jc w:val="center"/>
            </w:pPr>
            <w:r>
              <w:rPr>
                <w:sz w:val="20"/>
                <w:szCs w:val="20"/>
              </w:rPr>
              <w:t xml:space="preserve">99.40 / 2.76%</w:t>
            </w:r>
          </w:p>
        </w:tc>
      </w:tr>
      <w:tr>
        <w:tc>
          <w:tcPr>
            <w:tcW w:type="dxa" w:w="3700"/>
            <w:tcMar>
              <w:top w:type="dxa" w:w="60"/>
              <w:left w:type="dxa" w:w="100"/>
              <w:bottom w:type="dxa" w:w="60"/>
              <w:right w:type="dxa" w:w="100"/>
            </w:tcMar>
            <w:vAlign w:val="center"/>
          </w:tcPr>
          <w:p>
            <w:pPr>
              <w:jc w:val="left"/>
            </w:pPr>
            <w:r>
              <w:rPr>
                <w:sz w:val="20"/>
                <w:szCs w:val="20"/>
              </w:rPr>
              <w:t xml:space="preserve">INT8 PTQ only (no pruning)</w:t>
            </w:r>
          </w:p>
        </w:tc>
        <w:tc>
          <w:tcPr>
            <w:tcW w:type="dxa" w:w="1000"/>
            <w:tcMar>
              <w:top w:type="dxa" w:w="60"/>
              <w:left w:type="dxa" w:w="100"/>
              <w:bottom w:type="dxa" w:w="60"/>
              <w:right w:type="dxa" w:w="100"/>
            </w:tcMar>
            <w:vAlign w:val="center"/>
          </w:tcPr>
          <w:p>
            <w:pPr>
              <w:jc w:val="center"/>
            </w:pPr>
            <w:r>
              <w:rPr>
                <w:sz w:val="20"/>
                <w:szCs w:val="20"/>
              </w:rPr>
              <w:t xml:space="preserve">226.9 KB</w:t>
            </w:r>
          </w:p>
        </w:tc>
        <w:tc>
          <w:tcPr>
            <w:tcW w:type="dxa" w:w="1500"/>
            <w:tcMar>
              <w:top w:type="dxa" w:w="60"/>
              <w:left w:type="dxa" w:w="100"/>
              <w:bottom w:type="dxa" w:w="60"/>
              <w:right w:type="dxa" w:w="100"/>
            </w:tcMar>
            <w:vAlign w:val="center"/>
          </w:tcPr>
          <w:p>
            <w:pPr>
              <w:jc w:val="center"/>
            </w:pPr>
            <w:r>
              <w:rPr>
                <w:sz w:val="20"/>
                <w:szCs w:val="20"/>
              </w:rPr>
              <w:t xml:space="preserve">84.75 / 7.37%</w:t>
            </w:r>
          </w:p>
        </w:tc>
        <w:tc>
          <w:tcPr>
            <w:tcW w:type="dxa" w:w="1000"/>
            <w:tcMar>
              <w:top w:type="dxa" w:w="60"/>
              <w:left w:type="dxa" w:w="100"/>
              <w:bottom w:type="dxa" w:w="60"/>
              <w:right w:type="dxa" w:w="100"/>
            </w:tcMar>
            <w:vAlign w:val="center"/>
          </w:tcPr>
          <w:p>
            <w:pPr>
              <w:jc w:val="center"/>
            </w:pPr>
            <w:r>
              <w:rPr>
                <w:sz w:val="20"/>
                <w:szCs w:val="20"/>
              </w:rPr>
              <w:t xml:space="preserve">206.4 KB</w:t>
            </w:r>
          </w:p>
        </w:tc>
        <w:tc>
          <w:tcPr>
            <w:tcW w:type="dxa" w:w="1500"/>
            <w:tcMar>
              <w:top w:type="dxa" w:w="60"/>
              <w:left w:type="dxa" w:w="100"/>
              <w:bottom w:type="dxa" w:w="60"/>
              <w:right w:type="dxa" w:w="100"/>
            </w:tcMar>
            <w:vAlign w:val="center"/>
          </w:tcPr>
          <w:p>
            <w:pPr>
              <w:jc w:val="center"/>
            </w:pPr>
            <w:r>
              <w:rPr>
                <w:sz w:val="20"/>
                <w:szCs w:val="20"/>
              </w:rPr>
              <w:t xml:space="preserve">98.38 / 2.70%</w:t>
            </w:r>
          </w:p>
        </w:tc>
      </w:tr>
      <w:tr>
        <w:tc>
          <w:tcPr>
            <w:tcW w:type="dxa" w:w="3700"/>
            <w:tcMar>
              <w:top w:type="dxa" w:w="60"/>
              <w:left w:type="dxa" w:w="100"/>
              <w:bottom w:type="dxa" w:w="60"/>
              <w:right w:type="dxa" w:w="100"/>
            </w:tcMar>
            <w:vAlign w:val="center"/>
          </w:tcPr>
          <w:p>
            <w:pPr>
              <w:jc w:val="left"/>
            </w:pPr>
            <w:r>
              <w:rPr>
                <w:sz w:val="20"/>
                <w:szCs w:val="20"/>
              </w:rPr>
              <w:t xml:space="preserve">Prune 50%, no fine-tuning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42.28 / 56.04%</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96.78 / 18.15%</w:t>
            </w:r>
          </w:p>
        </w:tc>
      </w:tr>
      <w:tr>
        <w:tc>
          <w:tcPr>
            <w:tcW w:type="dxa" w:w="3700"/>
            <w:tcMar>
              <w:top w:type="dxa" w:w="60"/>
              <w:left w:type="dxa" w:w="100"/>
              <w:bottom w:type="dxa" w:w="60"/>
              <w:right w:type="dxa" w:w="100"/>
            </w:tcMar>
            <w:vAlign w:val="center"/>
          </w:tcPr>
          <w:p>
            <w:pPr>
              <w:jc w:val="left"/>
            </w:pPr>
            <w:r>
              <w:rPr>
                <w:sz w:val="20"/>
                <w:szCs w:val="20"/>
              </w:rPr>
              <w:t xml:space="preserve">Prune 50% → client FT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86.90 / 6.08%</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90.50 / 14.00%</w:t>
            </w:r>
          </w:p>
        </w:tc>
      </w:tr>
      <w:tr>
        <w:tc>
          <w:tcPr>
            <w:tcW w:type="dxa" w:w="37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85.59 / 6.82%</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98.74 / 2.88%</w:t>
            </w:r>
          </w:p>
        </w:tc>
      </w:tr>
      <w:tr>
        <w:tc>
          <w:tcPr>
            <w:tcW w:type="dxa" w:w="37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90.72 / 2.98%</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99.17 / 3.28%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w:t>
      </w:r>
    </w:p>
    <w:p>
      <w:pPr>
        <w:spacing w:after="160"/>
      </w:pPr>
      <w:r>
        <w:t xml:space="preserve">INT8 PTQ alone gives 3.5× at a cost of about one F1 point on both datasets.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mostly by shifting the operating point toward precision (FAR 2.98%).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300"/>
            <w:tcMar>
              <w:top w:type="dxa" w:w="60"/>
              <w:left w:type="dxa" w:w="100"/>
              <w:bottom w:type="dxa" w:w="60"/>
              <w:right w:type="dxa" w:w="100"/>
            </w:tcMar>
            <w:vAlign w:val="center"/>
          </w:tcPr>
          <w:p>
            <w:pPr>
              <w:jc w:val="left"/>
            </w:pPr>
            <w:r>
              <w:rPr>
                <w:sz w:val="20"/>
                <w:szCs w:val="20"/>
              </w:rPr>
              <w:t xml:space="preserve">CIC-IDS2017 near-IID</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85.59</w:t>
            </w:r>
          </w:p>
        </w:tc>
        <w:tc>
          <w:tcPr>
            <w:tcW w:type="dxa" w:w="1100"/>
            <w:tcMar>
              <w:top w:type="dxa" w:w="60"/>
              <w:left w:type="dxa" w:w="100"/>
              <w:bottom w:type="dxa" w:w="60"/>
              <w:right w:type="dxa" w:w="100"/>
            </w:tcMar>
            <w:vAlign w:val="center"/>
          </w:tcPr>
          <w:p>
            <w:pPr>
              <w:jc w:val="center"/>
            </w:pPr>
            <w:r>
              <w:rPr>
                <w:sz w:val="20"/>
                <w:szCs w:val="20"/>
              </w:rPr>
              <w:t xml:space="preserve">6.82%</w:t>
            </w:r>
          </w:p>
        </w:tc>
      </w:tr>
      <w:tr>
        <w:tc>
          <w:tcPr>
            <w:tcW w:type="dxa" w:w="3300"/>
            <w:tcMar>
              <w:top w:type="dxa" w:w="60"/>
              <w:left w:type="dxa" w:w="100"/>
              <w:bottom w:type="dxa" w:w="60"/>
              <w:right w:type="dxa" w:w="100"/>
            </w:tcMar>
            <w:vAlign w:val="center"/>
          </w:tcPr>
          <w:p>
            <w:pPr>
              <w:jc w:val="left"/>
            </w:pPr>
            <w:r>
              <w:rPr>
                <w:sz w:val="20"/>
                <w:szCs w:val="20"/>
              </w:rPr>
              <w:t xml:space="preserve">CIC-IDS2017 Dirichlet(0.3)</w:t>
            </w:r>
          </w:p>
        </w:tc>
        <w:tc>
          <w:tcPr>
            <w:tcW w:type="dxa" w:w="2800"/>
            <w:tcMar>
              <w:top w:type="dxa" w:w="60"/>
              <w:left w:type="dxa" w:w="100"/>
              <w:bottom w:type="dxa" w:w="60"/>
              <w:right w:type="dxa" w:w="100"/>
            </w:tcMar>
            <w:vAlign w:val="center"/>
          </w:tcPr>
          <w:p>
            <w:pPr>
              <w:jc w:val="center"/>
            </w:pPr>
            <w:r>
              <w:rPr>
                <w:sz w:val="20"/>
                <w:szCs w:val="20"/>
              </w:rPr>
              <w:t xml:space="preserve">client 3 (24.9%)</w:t>
            </w:r>
          </w:p>
        </w:tc>
        <w:tc>
          <w:tcPr>
            <w:tcW w:type="dxa" w:w="1600"/>
            <w:tcMar>
              <w:top w:type="dxa" w:w="60"/>
              <w:left w:type="dxa" w:w="100"/>
              <w:bottom w:type="dxa" w:w="60"/>
              <w:right w:type="dxa" w:w="100"/>
            </w:tcMar>
            <w:vAlign w:val="center"/>
          </w:tcPr>
          <w:p>
            <w:pPr>
              <w:jc w:val="center"/>
            </w:pPr>
            <w:r>
              <w:rPr>
                <w:sz w:val="20"/>
                <w:szCs w:val="20"/>
              </w:rPr>
              <w:t xml:space="preserve">91.08</w:t>
            </w:r>
          </w:p>
        </w:tc>
        <w:tc>
          <w:tcPr>
            <w:tcW w:type="dxa" w:w="1100"/>
            <w:tcMar>
              <w:top w:type="dxa" w:w="60"/>
              <w:left w:type="dxa" w:w="100"/>
              <w:bottom w:type="dxa" w:w="60"/>
              <w:right w:type="dxa" w:w="100"/>
            </w:tcMar>
            <w:vAlign w:val="center"/>
          </w:tcPr>
          <w:p>
            <w:pPr>
              <w:jc w:val="center"/>
            </w:pPr>
            <w:r>
              <w:rPr>
                <w:sz w:val="20"/>
                <w:szCs w:val="20"/>
              </w:rPr>
              <w:t xml:space="preserve">2.75%</w:t>
            </w:r>
          </w:p>
        </w:tc>
      </w:tr>
      <w:tr>
        <w:tc>
          <w:tcPr>
            <w:tcW w:type="dxa" w:w="33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81.84</w:t>
            </w:r>
          </w:p>
        </w:tc>
        <w:tc>
          <w:tcPr>
            <w:tcW w:type="dxa" w:w="1100"/>
            <w:tcMar>
              <w:top w:type="dxa" w:w="60"/>
              <w:left w:type="dxa" w:w="100"/>
              <w:bottom w:type="dxa" w:w="60"/>
              <w:right w:type="dxa" w:w="100"/>
            </w:tcMar>
            <w:vAlign w:val="center"/>
          </w:tcPr>
          <w:p>
            <w:pPr>
              <w:jc w:val="center"/>
            </w:pPr>
            <w:r>
              <w:rPr>
                <w:sz w:val="20"/>
                <w:szCs w:val="20"/>
              </w:rPr>
              <w:t xml:space="preserve">8.84%</w:t>
            </w:r>
          </w:p>
        </w:tc>
      </w:tr>
      <w:tr>
        <w:tc>
          <w:tcPr>
            <w:tcW w:type="dxa" w:w="3300"/>
            <w:tcMar>
              <w:top w:type="dxa" w:w="60"/>
              <w:left w:type="dxa" w:w="100"/>
              <w:bottom w:type="dxa" w:w="60"/>
              <w:right w:type="dxa" w:w="100"/>
            </w:tcMar>
            <w:vAlign w:val="center"/>
          </w:tcPr>
          <w:p>
            <w:pPr>
              <w:jc w:val="left"/>
            </w:pPr>
            <w:r>
              <w:rPr>
                <w:sz w:val="20"/>
                <w:szCs w:val="20"/>
              </w:rPr>
              <w:t xml:space="preserve">TON_IoT near-IID</w:t>
            </w:r>
          </w:p>
        </w:tc>
        <w:tc>
          <w:tcPr>
            <w:tcW w:type="dxa" w:w="2800"/>
            <w:tcMar>
              <w:top w:type="dxa" w:w="60"/>
              <w:left w:type="dxa" w:w="100"/>
              <w:bottom w:type="dxa" w:w="60"/>
              <w:right w:type="dxa" w:w="100"/>
            </w:tcMar>
            <w:vAlign w:val="center"/>
          </w:tcPr>
          <w:p>
            <w:pPr>
              <w:jc w:val="center"/>
            </w:pPr>
            <w:r>
              <w:rPr>
                <w:sz w:val="20"/>
                <w:szCs w:val="20"/>
              </w:rPr>
              <w:t xml:space="preserve">client 0 (50.1%)</w:t>
            </w:r>
          </w:p>
        </w:tc>
        <w:tc>
          <w:tcPr>
            <w:tcW w:type="dxa" w:w="1600"/>
            <w:tcMar>
              <w:top w:type="dxa" w:w="60"/>
              <w:left w:type="dxa" w:w="100"/>
              <w:bottom w:type="dxa" w:w="60"/>
              <w:right w:type="dxa" w:w="100"/>
            </w:tcMar>
            <w:vAlign w:val="center"/>
          </w:tcPr>
          <w:p>
            <w:pPr>
              <w:jc w:val="center"/>
            </w:pPr>
            <w:r>
              <w:rPr>
                <w:sz w:val="20"/>
                <w:szCs w:val="20"/>
              </w:rPr>
              <w:t xml:space="preserve">98.74</w:t>
            </w:r>
          </w:p>
        </w:tc>
        <w:tc>
          <w:tcPr>
            <w:tcW w:type="dxa" w:w="1100"/>
            <w:tcMar>
              <w:top w:type="dxa" w:w="60"/>
              <w:left w:type="dxa" w:w="100"/>
              <w:bottom w:type="dxa" w:w="60"/>
              <w:right w:type="dxa" w:w="100"/>
            </w:tcMar>
            <w:vAlign w:val="center"/>
          </w:tcPr>
          <w:p>
            <w:pPr>
              <w:jc w:val="center"/>
            </w:pPr>
            <w:r>
              <w:rPr>
                <w:sz w:val="20"/>
                <w:szCs w:val="20"/>
              </w:rPr>
              <w:t xml:space="preserve">2.88%</w:t>
            </w:r>
          </w:p>
        </w:tc>
      </w:tr>
      <w:tr>
        <w:tc>
          <w:tcPr>
            <w:tcW w:type="dxa" w:w="3300"/>
            <w:tcMar>
              <w:top w:type="dxa" w:w="60"/>
              <w:left w:type="dxa" w:w="100"/>
              <w:bottom w:type="dxa" w:w="60"/>
              <w:right w:type="dxa" w:w="100"/>
            </w:tcMar>
            <w:vAlign w:val="center"/>
          </w:tcPr>
          <w:p>
            <w:pPr>
              <w:jc w:val="left"/>
            </w:pPr>
            <w:r>
              <w:rPr>
                <w:sz w:val="20"/>
                <w:szCs w:val="20"/>
              </w:rPr>
              <w:t xml:space="preserve">TON_IoT Dirichlet(0.3)</w:t>
            </w:r>
          </w:p>
        </w:tc>
        <w:tc>
          <w:tcPr>
            <w:tcW w:type="dxa" w:w="2800"/>
            <w:tcMar>
              <w:top w:type="dxa" w:w="60"/>
              <w:left w:type="dxa" w:w="100"/>
              <w:bottom w:type="dxa" w:w="60"/>
              <w:right w:type="dxa" w:w="100"/>
            </w:tcMar>
            <w:vAlign w:val="center"/>
          </w:tcPr>
          <w:p>
            <w:pPr>
              <w:jc w:val="center"/>
            </w:pPr>
            <w:r>
              <w:rPr>
                <w:sz w:val="20"/>
                <w:szCs w:val="20"/>
              </w:rPr>
              <w:t xml:space="preserve">client 2 (65.5%)</w:t>
            </w:r>
          </w:p>
        </w:tc>
        <w:tc>
          <w:tcPr>
            <w:tcW w:type="dxa" w:w="1600"/>
            <w:tcMar>
              <w:top w:type="dxa" w:w="60"/>
              <w:left w:type="dxa" w:w="100"/>
              <w:bottom w:type="dxa" w:w="60"/>
              <w:right w:type="dxa" w:w="100"/>
            </w:tcMar>
            <w:vAlign w:val="center"/>
          </w:tcPr>
          <w:p>
            <w:pPr>
              <w:jc w:val="center"/>
            </w:pPr>
            <w:r>
              <w:rPr>
                <w:sz w:val="20"/>
                <w:szCs w:val="20"/>
              </w:rPr>
              <w:t xml:space="preserve">98.72</w:t>
            </w:r>
          </w:p>
        </w:tc>
        <w:tc>
          <w:tcPr>
            <w:tcW w:type="dxa" w:w="1100"/>
            <w:tcMar>
              <w:top w:type="dxa" w:w="60"/>
              <w:left w:type="dxa" w:w="100"/>
              <w:bottom w:type="dxa" w:w="60"/>
              <w:right w:type="dxa" w:w="100"/>
            </w:tcMar>
            <w:vAlign w:val="center"/>
          </w:tcPr>
          <w:p>
            <w:pPr>
              <w:jc w:val="center"/>
            </w:pPr>
            <w:r>
              <w:rPr>
                <w:sz w:val="20"/>
                <w:szCs w:val="20"/>
              </w:rPr>
              <w:t xml:space="preserve">3.11%</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best model we observed (F1 91.08, FAR 2.75%).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deployed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is unaffected on both datasets (Table 3), and so is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(deployed)</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with a known alert budget should instead pick the threshold from a precision-recall curve on validation data, which we leave as future work (Section 8). Section 5.4 shows that the fine-tuning client's class mix shifts this trade-off as well.</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a principled selection or a federated fine-tuning round is future work.</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(multi-client) fine-tuning during compression, threshold selection from validation precision-recall curves against an alert budget,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Training-time QAT inside FL, by contrast, fails on heavy-tailed CIC-IDS2017 features while working on TON_IoT.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2026-10-04T16:37:39.513Z</dcterms:created>
  <dcterms:modified xsi:type="dcterms:W3CDTF">2026-10-04T16:37:39.524Z</dcterms:modified>
</cp:coreProperties>
</file>

<file path=docProps/custom.xml><?xml version="1.0" encoding="utf-8"?>
<Properties xmlns="http://schemas.openxmlformats.org/officeDocument/2006/custom-properties" xmlns:vt="http://schemas.openxmlformats.org/officeDocument/2006/docPropsVTypes"/>
</file>