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misses 19 of 16,215 attacks at 5.9%. For on-device deployment we use a 112 KB CIC-IDS2017 variant (23 of 85,173 missed at 9.7%, mean over fine-tuning draws) and the 55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99.20%</w:t>
            </w:r>
          </w:p>
        </w:tc>
        <w:tc>
          <w:tcPr>
            <w:tcW w:type="dxa" w:w="950"/>
            <w:tcMar>
              <w:top w:type="dxa" w:w="60"/>
              <w:left w:type="dxa" w:w="100"/>
              <w:bottom w:type="dxa" w:w="60"/>
              <w:right w:type="dxa" w:w="100"/>
            </w:tcMar>
            <w:vAlign w:val="center"/>
          </w:tcPr>
          <w:p>
            <w:pPr>
              <w:jc w:val="center"/>
            </w:pPr>
            <w:r>
              <w:rPr>
                <w:sz w:val="20"/>
                <w:szCs w:val="20"/>
              </w:rPr>
              <w:t xml:space="preserve">99.32%</w:t>
            </w:r>
          </w:p>
        </w:tc>
        <w:tc>
          <w:tcPr>
            <w:tcW w:type="dxa" w:w="1000"/>
            <w:tcMar>
              <w:top w:type="dxa" w:w="60"/>
              <w:left w:type="dxa" w:w="100"/>
              <w:bottom w:type="dxa" w:w="60"/>
              <w:right w:type="dxa" w:w="100"/>
            </w:tcMar>
            <w:vAlign w:val="center"/>
          </w:tcPr>
          <w:p>
            <w:pPr>
              <w:jc w:val="center"/>
            </w:pPr>
            <w:r>
              <w:rPr>
                <w:sz w:val="20"/>
                <w:szCs w:val="20"/>
              </w:rPr>
              <w:t xml:space="preserve">99.64%</w:t>
            </w:r>
          </w:p>
        </w:tc>
        <w:tc>
          <w:tcPr>
            <w:tcW w:type="dxa" w:w="900"/>
            <w:tcMar>
              <w:top w:type="dxa" w:w="60"/>
              <w:left w:type="dxa" w:w="100"/>
              <w:bottom w:type="dxa" w:w="60"/>
              <w:right w:type="dxa" w:w="100"/>
            </w:tcMar>
            <w:vAlign w:val="center"/>
          </w:tcPr>
          <w:p>
            <w:pPr>
              <w:jc w:val="center"/>
            </w:pPr>
            <w:r>
              <w:rPr>
                <w:sz w:val="20"/>
                <w:szCs w:val="20"/>
              </w:rPr>
              <w:t xml:space="preserve">99.48%</w:t>
            </w:r>
          </w:p>
        </w:tc>
        <w:tc>
          <w:tcPr>
            <w:tcW w:type="dxa" w:w="850"/>
            <w:tcMar>
              <w:top w:type="dxa" w:w="60"/>
              <w:left w:type="dxa" w:w="100"/>
              <w:bottom w:type="dxa" w:w="60"/>
              <w:right w:type="dxa" w:w="100"/>
            </w:tcMar>
            <w:vAlign w:val="center"/>
          </w:tcPr>
          <w:p>
            <w:pPr>
              <w:jc w:val="center"/>
            </w:pPr>
            <w:r>
              <w:rPr>
                <w:sz w:val="20"/>
                <w:szCs w:val="20"/>
              </w:rPr>
              <w:t xml:space="preserve">2.28%</w:t>
            </w:r>
          </w:p>
        </w:tc>
        <w:tc>
          <w:tcPr>
            <w:tcW w:type="dxa" w:w="1900"/>
            <w:tcMar>
              <w:top w:type="dxa" w:w="60"/>
              <w:left w:type="dxa" w:w="100"/>
              <w:bottom w:type="dxa" w:w="60"/>
              <w:right w:type="dxa" w:w="100"/>
            </w:tcMar>
            <w:vAlign w:val="center"/>
          </w:tcPr>
          <w:p>
            <w:pPr>
              <w:jc w:val="center"/>
            </w:pPr>
            <w:r>
              <w:rPr>
                <w:sz w:val="20"/>
                <w:szCs w:val="20"/>
              </w:rPr>
              <w:t xml:space="preserve">59 / 16,215 (0.36%)</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99.18%</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850"/>
            <w:tcMar>
              <w:top w:type="dxa" w:w="60"/>
              <w:left w:type="dxa" w:w="100"/>
              <w:bottom w:type="dxa" w:w="60"/>
              <w:right w:type="dxa" w:w="100"/>
            </w:tcMar>
            <w:vAlign w:val="center"/>
          </w:tcPr>
          <w:p>
            <w:pPr>
              <w:jc w:val="center"/>
            </w:pPr>
            <w:r>
              <w:rPr>
                <w:sz w:val="20"/>
                <w:szCs w:val="20"/>
              </w:rPr>
              <w:t xml:space="preserve">2.76%</w:t>
            </w:r>
          </w:p>
        </w:tc>
        <w:tc>
          <w:tcPr>
            <w:tcW w:type="dxa" w:w="1900"/>
            <w:tcMar>
              <w:top w:type="dxa" w:w="60"/>
              <w:left w:type="dxa" w:w="100"/>
              <w:bottom w:type="dxa" w:w="60"/>
              <w:right w:type="dxa" w:w="100"/>
            </w:tcMar>
            <w:vAlign w:val="center"/>
          </w:tcPr>
          <w:p>
            <w:pPr>
              <w:jc w:val="center"/>
            </w:pPr>
            <w:r>
              <w:rPr>
                <w:sz w:val="20"/>
                <w:szCs w:val="20"/>
              </w:rPr>
              <w:t xml:space="preserve">61 / 16,215 (0.38%)</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99.02%</w:t>
            </w:r>
          </w:p>
        </w:tc>
        <w:tc>
          <w:tcPr>
            <w:tcW w:type="dxa" w:w="950"/>
            <w:tcMar>
              <w:top w:type="dxa" w:w="60"/>
              <w:left w:type="dxa" w:w="100"/>
              <w:bottom w:type="dxa" w:w="60"/>
              <w:right w:type="dxa" w:w="100"/>
            </w:tcMar>
            <w:vAlign w:val="center"/>
          </w:tcPr>
          <w:p>
            <w:pPr>
              <w:jc w:val="center"/>
            </w:pPr>
            <w:r>
              <w:rPr>
                <w:sz w:val="20"/>
                <w:szCs w:val="20"/>
              </w:rPr>
              <w:t xml:space="preserve">99.00%</w:t>
            </w:r>
          </w:p>
        </w:tc>
        <w:tc>
          <w:tcPr>
            <w:tcW w:type="dxa" w:w="10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99.36%</w:t>
            </w:r>
          </w:p>
        </w:tc>
        <w:tc>
          <w:tcPr>
            <w:tcW w:type="dxa" w:w="850"/>
            <w:tcMar>
              <w:top w:type="dxa" w:w="60"/>
              <w:left w:type="dxa" w:w="100"/>
              <w:bottom w:type="dxa" w:w="60"/>
              <w:right w:type="dxa" w:w="100"/>
            </w:tcMar>
            <w:vAlign w:val="center"/>
          </w:tcPr>
          <w:p>
            <w:pPr>
              <w:jc w:val="center"/>
            </w:pPr>
            <w:r>
              <w:rPr>
                <w:sz w:val="20"/>
                <w:szCs w:val="20"/>
              </w:rPr>
              <w:t xml:space="preserve">3.38%</w:t>
            </w:r>
          </w:p>
        </w:tc>
        <w:tc>
          <w:tcPr>
            <w:tcW w:type="dxa" w:w="1900"/>
            <w:tcMar>
              <w:top w:type="dxa" w:w="60"/>
              <w:left w:type="dxa" w:w="100"/>
              <w:bottom w:type="dxa" w:w="60"/>
              <w:right w:type="dxa" w:w="100"/>
            </w:tcMar>
            <w:vAlign w:val="center"/>
          </w:tcPr>
          <w:p>
            <w:pPr>
              <w:jc w:val="center"/>
            </w:pPr>
            <w:r>
              <w:rPr>
                <w:sz w:val="20"/>
                <w:szCs w:val="20"/>
              </w:rPr>
              <w:t xml:space="preserve">44 / 16,215 (0.27%)</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99.40%</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800"/>
            <w:tcMar>
              <w:top w:type="dxa" w:w="60"/>
              <w:left w:type="dxa" w:w="100"/>
              <w:bottom w:type="dxa" w:w="60"/>
              <w:right w:type="dxa" w:w="100"/>
            </w:tcMar>
            <w:vAlign w:val="center"/>
          </w:tcPr>
          <w:p>
            <w:pPr>
              <w:jc w:val="center"/>
            </w:pPr>
            <w:r>
              <w:rPr>
                <w:sz w:val="20"/>
                <w:szCs w:val="20"/>
              </w:rPr>
              <w:t xml:space="preserve">2.76%</w:t>
            </w:r>
          </w:p>
        </w:tc>
        <w:tc>
          <w:tcPr>
            <w:tcW w:type="dxa" w:w="1800"/>
            <w:tcMar>
              <w:top w:type="dxa" w:w="60"/>
              <w:left w:type="dxa" w:w="100"/>
              <w:bottom w:type="dxa" w:w="60"/>
              <w:right w:type="dxa" w:w="100"/>
            </w:tcMar>
            <w:vAlign w:val="center"/>
          </w:tcPr>
          <w:p>
            <w:pPr>
              <w:jc w:val="center"/>
            </w:pPr>
            <w:r>
              <w:rPr>
                <w:sz w:val="20"/>
                <w:szCs w:val="20"/>
              </w:rPr>
              <w:t xml:space="preserve">61 / 16,215 (0.38%)</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97.63%</w:t>
            </w:r>
          </w:p>
        </w:tc>
        <w:tc>
          <w:tcPr>
            <w:tcW w:type="dxa" w:w="800"/>
            <w:tcMar>
              <w:top w:type="dxa" w:w="60"/>
              <w:left w:type="dxa" w:w="100"/>
              <w:bottom w:type="dxa" w:w="60"/>
              <w:right w:type="dxa" w:w="100"/>
            </w:tcMar>
            <w:vAlign w:val="center"/>
          </w:tcPr>
          <w:p>
            <w:pPr>
              <w:jc w:val="center"/>
            </w:pPr>
            <w:r>
              <w:rPr>
                <w:sz w:val="20"/>
                <w:szCs w:val="20"/>
              </w:rPr>
              <w:t xml:space="preserve">98.45%</w:t>
            </w:r>
          </w:p>
        </w:tc>
        <w:tc>
          <w:tcPr>
            <w:tcW w:type="dxa" w:w="1000"/>
            <w:tcMar>
              <w:top w:type="dxa" w:w="60"/>
              <w:left w:type="dxa" w:w="100"/>
              <w:bottom w:type="dxa" w:w="60"/>
              <w:right w:type="dxa" w:w="100"/>
            </w:tcMar>
            <w:vAlign w:val="center"/>
          </w:tcPr>
          <w:p>
            <w:pPr>
              <w:jc w:val="center"/>
            </w:pPr>
            <w:r>
              <w:rPr>
                <w:sz w:val="20"/>
                <w:szCs w:val="20"/>
              </w:rPr>
              <w:t xml:space="preserve">97.99%</w:t>
            </w:r>
          </w:p>
        </w:tc>
        <w:tc>
          <w:tcPr>
            <w:tcW w:type="dxa" w:w="800"/>
            <w:tcMar>
              <w:top w:type="dxa" w:w="60"/>
              <w:left w:type="dxa" w:w="100"/>
              <w:bottom w:type="dxa" w:w="60"/>
              <w:right w:type="dxa" w:w="100"/>
            </w:tcMar>
            <w:vAlign w:val="center"/>
          </w:tcPr>
          <w:p>
            <w:pPr>
              <w:jc w:val="center"/>
            </w:pPr>
            <w:r>
              <w:rPr>
                <w:sz w:val="20"/>
                <w:szCs w:val="20"/>
              </w:rPr>
              <w:t xml:space="preserve">3.59%</w:t>
            </w:r>
          </w:p>
        </w:tc>
        <w:tc>
          <w:tcPr>
            <w:tcW w:type="dxa" w:w="1800"/>
            <w:tcMar>
              <w:top w:type="dxa" w:w="60"/>
              <w:left w:type="dxa" w:w="100"/>
              <w:bottom w:type="dxa" w:w="60"/>
              <w:right w:type="dxa" w:w="100"/>
            </w:tcMar>
            <w:vAlign w:val="center"/>
          </w:tcPr>
          <w:p>
            <w:pPr>
              <w:jc w:val="center"/>
            </w:pPr>
            <w:r>
              <w:rPr>
                <w:sz w:val="20"/>
                <w:szCs w:val="20"/>
              </w:rPr>
              <w:t xml:space="preserve">326 / 16,215 (2.01%)</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720.6 KB</w:t>
            </w:r>
          </w:p>
        </w:tc>
        <w:tc>
          <w:tcPr>
            <w:tcW w:type="dxa" w:w="1300"/>
            <w:tcMar>
              <w:top w:type="dxa" w:w="60"/>
              <w:left w:type="dxa" w:w="100"/>
              <w:bottom w:type="dxa" w:w="60"/>
              <w:right w:type="dxa" w:w="100"/>
            </w:tcMar>
            <w:vAlign w:val="center"/>
          </w:tcPr>
          <w:p>
            <w:pPr>
              <w:jc w:val="center"/>
            </w:pPr>
            <w:r>
              <w:rPr>
                <w:sz w:val="20"/>
                <w:szCs w:val="20"/>
              </w:rPr>
              <w:t xml:space="preserve">99.40 / 2.76%</w:t>
            </w:r>
          </w:p>
        </w:tc>
        <w:tc>
          <w:tcPr>
            <w:tcW w:type="dxa" w:w="1200"/>
            <w:tcMar>
              <w:top w:type="dxa" w:w="60"/>
              <w:left w:type="dxa" w:w="100"/>
              <w:bottom w:type="dxa" w:w="60"/>
              <w:right w:type="dxa" w:w="100"/>
            </w:tcMar>
            <w:vAlign w:val="center"/>
          </w:tcPr>
          <w:p>
            <w:pPr>
              <w:jc w:val="center"/>
            </w:pPr>
            <w:r>
              <w:rPr>
                <w:sz w:val="20"/>
                <w:szCs w:val="20"/>
              </w:rPr>
              <w:t xml:space="preserve">61 (0.38%)</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206.4 KB</w:t>
            </w:r>
          </w:p>
        </w:tc>
        <w:tc>
          <w:tcPr>
            <w:tcW w:type="dxa" w:w="1300"/>
            <w:tcMar>
              <w:top w:type="dxa" w:w="60"/>
              <w:left w:type="dxa" w:w="100"/>
              <w:bottom w:type="dxa" w:w="60"/>
              <w:right w:type="dxa" w:w="100"/>
            </w:tcMar>
            <w:vAlign w:val="center"/>
          </w:tcPr>
          <w:p>
            <w:pPr>
              <w:jc w:val="center"/>
            </w:pPr>
            <w:r>
              <w:rPr>
                <w:sz w:val="20"/>
                <w:szCs w:val="20"/>
              </w:rPr>
              <w:t xml:space="preserve">98.38 / 2.70%</w:t>
            </w:r>
          </w:p>
        </w:tc>
        <w:tc>
          <w:tcPr>
            <w:tcW w:type="dxa" w:w="1200"/>
            <w:tcMar>
              <w:top w:type="dxa" w:w="60"/>
              <w:left w:type="dxa" w:w="100"/>
              <w:bottom w:type="dxa" w:w="60"/>
              <w:right w:type="dxa" w:w="100"/>
            </w:tcMar>
            <w:vAlign w:val="center"/>
          </w:tcPr>
          <w:p>
            <w:pPr>
              <w:jc w:val="center"/>
            </w:pPr>
            <w:r>
              <w:rPr>
                <w:sz w:val="20"/>
                <w:szCs w:val="20"/>
              </w:rPr>
              <w:t xml:space="preserve">392 (2.42%)</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96.78 / 18.15%</w:t>
            </w:r>
          </w:p>
        </w:tc>
        <w:tc>
          <w:tcPr>
            <w:tcW w:type="dxa" w:w="1200"/>
            <w:tcMar>
              <w:top w:type="dxa" w:w="60"/>
              <w:left w:type="dxa" w:w="100"/>
              <w:bottom w:type="dxa" w:w="60"/>
              <w:right w:type="dxa" w:w="100"/>
            </w:tcMar>
            <w:vAlign w:val="center"/>
          </w:tcPr>
          <w:p>
            <w:pPr>
              <w:jc w:val="center"/>
            </w:pPr>
            <w:r>
              <w:rPr>
                <w:sz w:val="20"/>
                <w:szCs w:val="20"/>
              </w:rPr>
              <w:t xml:space="preserve">192 (1.18%)</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90.50 / 14.00%</w:t>
            </w:r>
          </w:p>
        </w:tc>
        <w:tc>
          <w:tcPr>
            <w:tcW w:type="dxa" w:w="1200"/>
            <w:tcMar>
              <w:top w:type="dxa" w:w="60"/>
              <w:left w:type="dxa" w:w="100"/>
              <w:bottom w:type="dxa" w:w="60"/>
              <w:right w:type="dxa" w:w="100"/>
            </w:tcMar>
            <w:vAlign w:val="center"/>
          </w:tcPr>
          <w:p>
            <w:pPr>
              <w:jc w:val="center"/>
            </w:pPr>
            <w:r>
              <w:rPr>
                <w:sz w:val="20"/>
                <w:szCs w:val="20"/>
              </w:rPr>
              <w:t xml:space="preserve">2,255 (13.91%)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98.74 / 2.88%</w:t>
            </w:r>
          </w:p>
        </w:tc>
        <w:tc>
          <w:tcPr>
            <w:tcW w:type="dxa" w:w="1200"/>
            <w:tcMar>
              <w:top w:type="dxa" w:w="60"/>
              <w:left w:type="dxa" w:w="100"/>
              <w:bottom w:type="dxa" w:w="60"/>
              <w:right w:type="dxa" w:w="100"/>
            </w:tcMar>
            <w:vAlign w:val="center"/>
          </w:tcPr>
          <w:p>
            <w:pPr>
              <w:jc w:val="center"/>
            </w:pPr>
            <w:r>
              <w:rPr>
                <w:sz w:val="20"/>
                <w:szCs w:val="20"/>
              </w:rPr>
              <w:t xml:space="preserve">268 (1.65%)</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99.17 / 3.28%</w:t>
            </w:r>
          </w:p>
        </w:tc>
        <w:tc>
          <w:tcPr>
            <w:tcW w:type="dxa" w:w="1200"/>
            <w:tcMar>
              <w:top w:type="dxa" w:w="60"/>
              <w:left w:type="dxa" w:w="100"/>
              <w:bottom w:type="dxa" w:w="60"/>
              <w:right w:type="dxa" w:w="100"/>
            </w:tcMar>
            <w:vAlign w:val="center"/>
          </w:tcPr>
          <w:p>
            <w:pPr>
              <w:jc w:val="center"/>
            </w:pPr>
            <w:r>
              <w:rPr>
                <w:sz w:val="20"/>
                <w:szCs w:val="20"/>
              </w:rPr>
              <w:t xml:space="preserve">111 (0.68%)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resulting INT8 model is 65.4 KB on CIC-IDS2017 (802.5 / 65.4 = 12.27×) and 55.2 KB on TON_IoT (13.05×), and it matches the float federated model (F1 85.59 vs. 85.70 and 98.74 vs. 99.40). This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98.74</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268 / 16,215 (1.65%)</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98.72</w:t>
            </w:r>
          </w:p>
        </w:tc>
        <w:tc>
          <w:tcPr>
            <w:tcW w:type="dxa" w:w="900"/>
            <w:tcMar>
              <w:top w:type="dxa" w:w="60"/>
              <w:left w:type="dxa" w:w="100"/>
              <w:bottom w:type="dxa" w:w="60"/>
              <w:right w:type="dxa" w:w="100"/>
            </w:tcMar>
            <w:vAlign w:val="center"/>
          </w:tcPr>
          <w:p>
            <w:pPr>
              <w:jc w:val="center"/>
            </w:pPr>
            <w:r>
              <w:rPr>
                <w:sz w:val="20"/>
                <w:szCs w:val="20"/>
              </w:rPr>
              <w:t xml:space="preserve">3.11%</w:t>
            </w:r>
          </w:p>
        </w:tc>
        <w:tc>
          <w:tcPr>
            <w:tcW w:type="dxa" w:w="2000"/>
            <w:tcMar>
              <w:top w:type="dxa" w:w="60"/>
              <w:left w:type="dxa" w:w="100"/>
              <w:bottom w:type="dxa" w:w="60"/>
              <w:right w:type="dxa" w:w="100"/>
            </w:tcMar>
            <w:vAlign w:val="center"/>
          </w:tcPr>
          <w:p>
            <w:pPr>
              <w:jc w:val="center"/>
            </w:pPr>
            <w:r>
              <w:rPr>
                <w:sz w:val="20"/>
                <w:szCs w:val="20"/>
              </w:rPr>
              <w:t xml:space="preserve">264 / 16,215 (1.63%)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55 KB INT8 model of the same recipe (50% pruning, threshold 0.215). On the test split the CIC-IDS2017 model misses 27 of 85,173 attacks (0.032%) and flags 10.0% of benign flows, about one in ten; the TON_IoT model misses 19 of 16,215 attacks (0.12%) and flags 6.1% of benign records, about one in sixteen. For comparison, the base recipe of Table 3 at the fixed 0.3 threshold misses 291 of 85,173 CIC-IDS2017 attacks (FAR 6.82%) and 268 of 16,215 TON_IoT attacks (FAR 2.88%). The trade-off is therefore explicit: roughly ten times fewer missed attacks for 1.5–2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base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99.16–99.31 / 99.65–99.79% / 3.5–4.8%</w:t>
            </w:r>
          </w:p>
        </w:tc>
        <w:tc>
          <w:tcPr>
            <w:tcW w:type="dxa" w:w="1500"/>
            <w:tcMar>
              <w:top w:type="dxa" w:w="60"/>
              <w:left w:type="dxa" w:w="100"/>
              <w:bottom w:type="dxa" w:w="60"/>
              <w:right w:type="dxa" w:w="100"/>
            </w:tcMar>
            <w:vAlign w:val="center"/>
          </w:tcPr>
          <w:p>
            <w:pPr>
              <w:jc w:val="center"/>
            </w:pPr>
            <w:r>
              <w:rPr>
                <w:sz w:val="20"/>
                <w:szCs w:val="20"/>
              </w:rPr>
              <w:t xml:space="preserve">34–57 / 16,215 (0.21–0.35%)</w:t>
            </w:r>
          </w:p>
        </w:tc>
        <w:tc>
          <w:tcPr>
            <w:tcW w:type="dxa" w:w="1700"/>
            <w:tcMar>
              <w:top w:type="dxa" w:w="60"/>
              <w:left w:type="dxa" w:w="100"/>
              <w:bottom w:type="dxa" w:w="60"/>
              <w:right w:type="dxa" w:w="100"/>
            </w:tcMar>
            <w:vAlign w:val="center"/>
          </w:tcPr>
          <w:p>
            <w:pPr>
              <w:jc w:val="center"/>
            </w:pPr>
            <w:r>
              <w:rPr>
                <w:sz w:val="20"/>
                <w:szCs w:val="20"/>
              </w:rPr>
              <w:t xml:space="preserve">99.40 / 99.62% / 2.76%</w:t>
            </w:r>
          </w:p>
        </w:tc>
        <w:tc>
          <w:tcPr>
            <w:tcW w:type="dxa" w:w="1500"/>
            <w:tcMar>
              <w:top w:type="dxa" w:w="60"/>
              <w:left w:type="dxa" w:w="100"/>
              <w:bottom w:type="dxa" w:w="60"/>
              <w:right w:type="dxa" w:w="100"/>
            </w:tcMar>
            <w:vAlign w:val="center"/>
          </w:tcPr>
          <w:p>
            <w:pPr>
              <w:jc w:val="center"/>
            </w:pPr>
            <w:r>
              <w:rPr>
                <w:sz w:val="20"/>
                <w:szCs w:val="20"/>
              </w:rPr>
              <w:t xml:space="preserve">61 / 16,215 (0.38%)</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90.16 / 82.13% / 0.23%</w:t>
            </w:r>
          </w:p>
        </w:tc>
        <w:tc>
          <w:tcPr>
            <w:tcW w:type="dxa" w:w="1500"/>
            <w:tcMar>
              <w:top w:type="dxa" w:w="60"/>
              <w:left w:type="dxa" w:w="100"/>
              <w:bottom w:type="dxa" w:w="60"/>
              <w:right w:type="dxa" w:w="100"/>
            </w:tcMar>
            <w:vAlign w:val="center"/>
          </w:tcPr>
          <w:p>
            <w:pPr>
              <w:jc w:val="center"/>
            </w:pPr>
            <w:r>
              <w:rPr>
                <w:sz w:val="20"/>
                <w:szCs w:val="20"/>
              </w:rPr>
              <w:t xml:space="preserve">2,897 / 16,215 (17.87%)</w:t>
            </w:r>
          </w:p>
        </w:tc>
        <w:tc>
          <w:tcPr>
            <w:tcW w:type="dxa" w:w="1700"/>
            <w:tcMar>
              <w:top w:type="dxa" w:w="60"/>
              <w:left w:type="dxa" w:w="100"/>
              <w:bottom w:type="dxa" w:w="60"/>
              <w:right w:type="dxa" w:w="100"/>
            </w:tcMar>
            <w:vAlign w:val="center"/>
          </w:tcPr>
          <w:p>
            <w:pPr>
              <w:jc w:val="center"/>
            </w:pPr>
            <w:r>
              <w:rPr>
                <w:sz w:val="20"/>
                <w:szCs w:val="20"/>
              </w:rPr>
              <w:t xml:space="preserve">98.45 / 97.99% / 3.59%</w:t>
            </w:r>
          </w:p>
        </w:tc>
        <w:tc>
          <w:tcPr>
            <w:tcW w:type="dxa" w:w="1500"/>
            <w:tcMar>
              <w:top w:type="dxa" w:w="60"/>
              <w:left w:type="dxa" w:w="100"/>
              <w:bottom w:type="dxa" w:w="60"/>
              <w:right w:type="dxa" w:w="100"/>
            </w:tcMar>
            <w:vAlign w:val="center"/>
          </w:tcPr>
          <w:p>
            <w:pPr>
              <w:jc w:val="center"/>
            </w:pPr>
            <w:r>
              <w:rPr>
                <w:sz w:val="20"/>
                <w:szCs w:val="20"/>
              </w:rPr>
              <w:t xml:space="preserve">326 / 16,215 (2.01%)</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96.90 / 99.92% / 21.20%</w:t>
            </w:r>
          </w:p>
        </w:tc>
        <w:tc>
          <w:tcPr>
            <w:tcW w:type="dxa" w:w="1500"/>
            <w:tcMar>
              <w:top w:type="dxa" w:w="60"/>
              <w:left w:type="dxa" w:w="100"/>
              <w:bottom w:type="dxa" w:w="60"/>
              <w:right w:type="dxa" w:w="100"/>
            </w:tcMar>
            <w:vAlign w:val="center"/>
          </w:tcPr>
          <w:p>
            <w:pPr>
              <w:jc w:val="center"/>
            </w:pPr>
            <w:r>
              <w:rPr>
                <w:sz w:val="20"/>
                <w:szCs w:val="20"/>
              </w:rPr>
              <w:t xml:space="preserve">13 / 16,215 (0.080%)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99.02 / 99.80% / 5.97%</w:t>
            </w:r>
          </w:p>
        </w:tc>
        <w:tc>
          <w:tcPr>
            <w:tcW w:type="dxa" w:w="1500"/>
            <w:tcMar>
              <w:top w:type="dxa" w:w="60"/>
              <w:left w:type="dxa" w:w="100"/>
              <w:bottom w:type="dxa" w:w="60"/>
              <w:right w:type="dxa" w:w="100"/>
            </w:tcMar>
            <w:vAlign w:val="center"/>
          </w:tcPr>
          <w:p>
            <w:pPr>
              <w:jc w:val="center"/>
            </w:pPr>
            <w:r>
              <w:rPr>
                <w:sz w:val="20"/>
                <w:szCs w:val="20"/>
              </w:rPr>
              <w:t xml:space="preserve">33 / 16,215 (0.20%)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96.34 / 93.22% / 1.00%</w:t>
            </w:r>
          </w:p>
        </w:tc>
        <w:tc>
          <w:tcPr>
            <w:tcW w:type="dxa" w:w="1500"/>
            <w:tcMar>
              <w:top w:type="dxa" w:w="60"/>
              <w:left w:type="dxa" w:w="100"/>
              <w:bottom w:type="dxa" w:w="60"/>
              <w:right w:type="dxa" w:w="100"/>
            </w:tcMar>
            <w:vAlign w:val="center"/>
          </w:tcPr>
          <w:p>
            <w:pPr>
              <w:jc w:val="center"/>
            </w:pPr>
            <w:r>
              <w:rPr>
                <w:sz w:val="20"/>
                <w:szCs w:val="20"/>
              </w:rPr>
              <w:t xml:space="preserve">1,099 / 16,215 (6.78%)</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The FP32 federated model and the base-recipe hard-label 55 KB model are so confident that a few client-validation attacks score near zero; reaching a 99.9% recall target on client data then pushes the threshold to almost zero, and FAR to 36–97%. Clipped inputs alone help up to a 99.9% target (21 missed at 7.0%) but collapse to a zero threshold at 99.99%. Distilled students keep their scores in the middle of the range, and their thresholds (0.16–0.22) carry over to the test split: the 55 KB distilled model with clipped inputs misses 19 of 16,215 attacks at a 5.9% FAR, the same trade-off as the FP32 model at threshold 0.2 on the test sweep (21 missed at 5.85%), and 7–10 attacks at an 11–13% FAR. Federated fine-tuning and lighter pruning bring no further gain on TON_IoT, where the 55 KB model already matches the FP32 curve. Here the selected thresholds slightly undershoot the recall targets on the test split (99.88% for a 99.9% target, 99.94–99.96% for 99.99%),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61 / 16,215</w:t>
            </w:r>
          </w:p>
        </w:tc>
        <w:tc>
          <w:tcPr>
            <w:tcW w:type="dxa" w:w="900"/>
            <w:tcMar>
              <w:top w:type="dxa" w:w="60"/>
              <w:left w:type="dxa" w:w="100"/>
              <w:bottom w:type="dxa" w:w="60"/>
              <w:right w:type="dxa" w:w="100"/>
            </w:tcMar>
            <w:vAlign w:val="center"/>
          </w:tcPr>
          <w:p>
            <w:pPr>
              <w:jc w:val="center"/>
            </w:pPr>
            <w:r>
              <w:rPr>
                <w:sz w:val="20"/>
                <w:szCs w:val="20"/>
              </w:rPr>
              <w:t xml:space="preserve">0.38%</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2.76%</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0.021</w:t>
            </w:r>
          </w:p>
        </w:tc>
        <w:tc>
          <w:tcPr>
            <w:tcW w:type="dxa" w:w="1500"/>
            <w:tcMar>
              <w:top w:type="dxa" w:w="60"/>
              <w:left w:type="dxa" w:w="100"/>
              <w:bottom w:type="dxa" w:w="60"/>
              <w:right w:type="dxa" w:w="100"/>
            </w:tcMar>
            <w:vAlign w:val="center"/>
          </w:tcPr>
          <w:p>
            <w:pPr>
              <w:jc w:val="center"/>
            </w:pPr>
            <w:r>
              <w:rPr>
                <w:sz w:val="20"/>
                <w:szCs w:val="20"/>
              </w:rPr>
              <w:t xml:space="preserve">2 / 16,215</w:t>
            </w:r>
          </w:p>
        </w:tc>
        <w:tc>
          <w:tcPr>
            <w:tcW w:type="dxa" w:w="900"/>
            <w:tcMar>
              <w:top w:type="dxa" w:w="60"/>
              <w:left w:type="dxa" w:w="100"/>
              <w:bottom w:type="dxa" w:w="60"/>
              <w:right w:type="dxa" w:w="100"/>
            </w:tcMar>
            <w:vAlign w:val="center"/>
          </w:tcPr>
          <w:p>
            <w:pPr>
              <w:jc w:val="center"/>
            </w:pPr>
            <w:r>
              <w:rPr>
                <w:sz w:val="20"/>
                <w:szCs w:val="20"/>
              </w:rPr>
              <w:t xml:space="preserve">0.012%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96.76%</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182 / 16,215</w:t>
            </w:r>
          </w:p>
        </w:tc>
        <w:tc>
          <w:tcPr>
            <w:tcW w:type="dxa" w:w="900"/>
            <w:tcMar>
              <w:top w:type="dxa" w:w="60"/>
              <w:left w:type="dxa" w:w="100"/>
              <w:bottom w:type="dxa" w:w="60"/>
              <w:right w:type="dxa" w:w="100"/>
            </w:tcMar>
            <w:vAlign w:val="center"/>
          </w:tcPr>
          <w:p>
            <w:pPr>
              <w:jc w:val="center"/>
            </w:pPr>
            <w:r>
              <w:rPr>
                <w:sz w:val="20"/>
                <w:szCs w:val="20"/>
              </w:rPr>
              <w:t xml:space="preserve">1.12%</w:t>
            </w:r>
          </w:p>
        </w:tc>
        <w:tc>
          <w:tcPr>
            <w:tcW w:type="dxa" w:w="900"/>
            <w:tcMar>
              <w:top w:type="dxa" w:w="60"/>
              <w:left w:type="dxa" w:w="100"/>
              <w:bottom w:type="dxa" w:w="60"/>
              <w:right w:type="dxa" w:w="100"/>
            </w:tcMar>
            <w:vAlign w:val="center"/>
          </w:tcPr>
          <w:p>
            <w:pPr>
              <w:jc w:val="center"/>
            </w:pPr>
            <w:r>
              <w:rPr>
                <w:sz w:val="20"/>
                <w:szCs w:val="20"/>
              </w:rPr>
              <w:t xml:space="preserve">233</w:t>
            </w:r>
          </w:p>
        </w:tc>
        <w:tc>
          <w:tcPr>
            <w:tcW w:type="dxa" w:w="800"/>
            <w:tcMar>
              <w:top w:type="dxa" w:w="60"/>
              <w:left w:type="dxa" w:w="100"/>
              <w:bottom w:type="dxa" w:w="60"/>
              <w:right w:type="dxa" w:w="100"/>
            </w:tcMar>
            <w:vAlign w:val="center"/>
          </w:tcPr>
          <w:p>
            <w:pPr>
              <w:jc w:val="center"/>
            </w:pPr>
            <w:r>
              <w:rPr>
                <w:sz w:val="20"/>
                <w:szCs w:val="20"/>
              </w:rPr>
              <w:t xml:space="preserve">3.01%</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0.040</w:t>
            </w:r>
          </w:p>
        </w:tc>
        <w:tc>
          <w:tcPr>
            <w:tcW w:type="dxa" w:w="1500"/>
            <w:tcMar>
              <w:top w:type="dxa" w:w="60"/>
              <w:left w:type="dxa" w:w="100"/>
              <w:bottom w:type="dxa" w:w="60"/>
              <w:right w:type="dxa" w:w="100"/>
            </w:tcMar>
            <w:vAlign w:val="center"/>
          </w:tcPr>
          <w:p>
            <w:pPr>
              <w:jc w:val="center"/>
            </w:pPr>
            <w:r>
              <w:rPr>
                <w:sz w:val="20"/>
                <w:szCs w:val="20"/>
              </w:rPr>
              <w:t xml:space="preserve">16 / 16,215</w:t>
            </w:r>
          </w:p>
        </w:tc>
        <w:tc>
          <w:tcPr>
            <w:tcW w:type="dxa" w:w="900"/>
            <w:tcMar>
              <w:top w:type="dxa" w:w="60"/>
              <w:left w:type="dxa" w:w="100"/>
              <w:bottom w:type="dxa" w:w="60"/>
              <w:right w:type="dxa" w:w="100"/>
            </w:tcMar>
            <w:vAlign w:val="center"/>
          </w:tcPr>
          <w:p>
            <w:pPr>
              <w:jc w:val="center"/>
            </w:pPr>
            <w:r>
              <w:rPr>
                <w:sz w:val="20"/>
                <w:szCs w:val="20"/>
              </w:rPr>
              <w:t xml:space="preserve">0.099%</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36.44%</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80 / 16,215</w:t>
            </w:r>
          </w:p>
        </w:tc>
        <w:tc>
          <w:tcPr>
            <w:tcW w:type="dxa" w:w="900"/>
            <w:tcMar>
              <w:top w:type="dxa" w:w="60"/>
              <w:left w:type="dxa" w:w="100"/>
              <w:bottom w:type="dxa" w:w="60"/>
              <w:right w:type="dxa" w:w="100"/>
            </w:tcMar>
            <w:vAlign w:val="center"/>
          </w:tcPr>
          <w:p>
            <w:pPr>
              <w:jc w:val="center"/>
            </w:pPr>
            <w:r>
              <w:rPr>
                <w:sz w:val="20"/>
                <w:szCs w:val="20"/>
              </w:rPr>
              <w:t xml:space="preserve">0.49%</w:t>
            </w:r>
          </w:p>
        </w:tc>
        <w:tc>
          <w:tcPr>
            <w:tcW w:type="dxa" w:w="900"/>
            <w:tcMar>
              <w:top w:type="dxa" w:w="60"/>
              <w:left w:type="dxa" w:w="100"/>
              <w:bottom w:type="dxa" w:w="60"/>
              <w:right w:type="dxa" w:w="100"/>
            </w:tcMar>
            <w:vAlign w:val="center"/>
          </w:tcPr>
          <w:p>
            <w:pPr>
              <w:jc w:val="center"/>
            </w:pPr>
            <w:r>
              <w:rPr>
                <w:sz w:val="20"/>
                <w:szCs w:val="20"/>
              </w:rPr>
              <w:t xml:space="preserve">89</w:t>
            </w:r>
          </w:p>
        </w:tc>
        <w:tc>
          <w:tcPr>
            <w:tcW w:type="dxa" w:w="800"/>
            <w:tcMar>
              <w:top w:type="dxa" w:w="60"/>
              <w:left w:type="dxa" w:w="100"/>
              <w:bottom w:type="dxa" w:w="60"/>
              <w:right w:type="dxa" w:w="100"/>
            </w:tcMar>
            <w:vAlign w:val="center"/>
          </w:tcPr>
          <w:p>
            <w:pPr>
              <w:jc w:val="center"/>
            </w:pPr>
            <w:r>
              <w:rPr>
                <w:sz w:val="20"/>
                <w:szCs w:val="20"/>
              </w:rPr>
              <w:t xml:space="preserve">2.33%</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7.02%</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0.220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5.94%</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10 / 16,215</w:t>
            </w:r>
          </w:p>
        </w:tc>
        <w:tc>
          <w:tcPr>
            <w:tcW w:type="dxa" w:w="900"/>
            <w:tcMar>
              <w:top w:type="dxa" w:w="60"/>
              <w:left w:type="dxa" w:w="100"/>
              <w:bottom w:type="dxa" w:w="60"/>
              <w:right w:type="dxa" w:w="100"/>
            </w:tcMar>
            <w:vAlign w:val="center"/>
          </w:tcPr>
          <w:p>
            <w:pPr>
              <w:jc w:val="center"/>
            </w:pPr>
            <w:r>
              <w:rPr>
                <w:sz w:val="20"/>
                <w:szCs w:val="20"/>
              </w:rPr>
              <w:t xml:space="preserve">0.062%</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11.17%</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0.159</w:t>
            </w:r>
          </w:p>
        </w:tc>
        <w:tc>
          <w:tcPr>
            <w:tcW w:type="dxa" w:w="1500"/>
            <w:tcMar>
              <w:top w:type="dxa" w:w="60"/>
              <w:left w:type="dxa" w:w="100"/>
              <w:bottom w:type="dxa" w:w="60"/>
              <w:right w:type="dxa" w:w="100"/>
            </w:tcMar>
            <w:vAlign w:val="center"/>
          </w:tcPr>
          <w:p>
            <w:pPr>
              <w:jc w:val="center"/>
            </w:pPr>
            <w:r>
              <w:rPr>
                <w:sz w:val="20"/>
                <w:szCs w:val="20"/>
              </w:rPr>
              <w:t xml:space="preserve">7 / 16,215</w:t>
            </w:r>
          </w:p>
        </w:tc>
        <w:tc>
          <w:tcPr>
            <w:tcW w:type="dxa" w:w="900"/>
            <w:tcMar>
              <w:top w:type="dxa" w:w="60"/>
              <w:left w:type="dxa" w:w="100"/>
              <w:bottom w:type="dxa" w:w="60"/>
              <w:right w:type="dxa" w:w="100"/>
            </w:tcMar>
            <w:vAlign w:val="center"/>
          </w:tcPr>
          <w:p>
            <w:pPr>
              <w:jc w:val="center"/>
            </w:pPr>
            <w:r>
              <w:rPr>
                <w:sz w:val="20"/>
                <w:szCs w:val="20"/>
              </w:rPr>
              <w:t xml:space="preserve">0.045%</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12.60%</w:t>
            </w:r>
          </w:p>
        </w:tc>
      </w:tr>
      <w:tr>
        <w:tc>
          <w:tcPr>
            <w:tcW w:type="dxa" w:w="2700"/>
            <w:tcMar>
              <w:top w:type="dxa" w:w="60"/>
              <w:left w:type="dxa" w:w="100"/>
              <w:bottom w:type="dxa" w:w="60"/>
              <w:right w:type="dxa" w:w="100"/>
            </w:tcMar>
            <w:vAlign w:val="center"/>
          </w:tcPr>
          <w:p>
            <w:pPr>
              <w:jc w:val="left"/>
            </w:pPr>
            <w:r>
              <w:rPr>
                <w:sz w:val="20"/>
                <w:szCs w:val="20"/>
              </w:rPr>
              <w:t xml:space="preserve">98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0.210</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5.79%</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and a threshold chosen on client-held data for the required recall. Federated fine-tuning across clients helps on CIC-IDS2017 and is neutral on TON_IoT. On a 65 KB budget for CIC-IDS2017 the price is about one benign flow in nine raising an alert; where 112 KB of flash is available, 30% pruning lowers that to about one in ten at the same recall and keeps the rare Heartbleed attacks. On TON_IoT the 55 KB model reaches the FP32 model's trade-off at about one false alarm in seventeen benign records. These two models (the first fine-tuning draw of each) are the ones we deploy (Section 5.8) and benchmark on the ESP32 (Section 6.1).</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55 KB INT8) and the FP32 federated models they were compressed from (803 KB and 720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three INT8 output steps (at most 0.012, INT8),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37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three quantization steps (INT8, 3/256),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2026-10-05T11:00:28.564Z</dcterms:created>
  <dcterms:modified xsi:type="dcterms:W3CDTF">2026-10-05T11:00:28.573Z</dcterms:modified>
</cp:coreProperties>
</file>

<file path=docProps/custom.xml><?xml version="1.0" encoding="utf-8"?>
<Properties xmlns="http://schemas.openxmlformats.org/officeDocument/2006/custom-properties" xmlns:vt="http://schemas.openxmlformats.org/officeDocument/2006/docPropsVTypes"/>
</file>