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 and Section 5.12 compares 16 combinations of pruning, PTQ, QAT and distillation.</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99.40 vs. 99.48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98.74 on TON_IoT). How well this works depends on how closely that client's class mix matches the global one. When missed attacks must be minimized, distillation from the federated model and a threshold chosen on the client's own held-out data together with fine-tuning on all clients' local data, let the 65 KB model miss 27 of 85,173 attacks, about half as many as the FP32 model at its default threshold (52), at an 11.3% false-alarm rate.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12 and 99 for the same TON_IoT model) until the calibration inputs are clipped, after which it is stable (F1 99.32–99.35). A local-only baseline shows where federation pays off: clients with few local attacks detect 45–93% of attacks alone and 98–99.8%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we test against clients training alone to show where federation helps, we compare 16 complete pipelines that combine structured and unstructured pruning, PTQ, QAT and distillation, and we show how to deploy the 65 KB model with fewer missed attacks than the FP32 model using only client-local data (Sections 5.9–5.13).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and high-cardinality free text (DNS query, URI) is dropped, leaving 37 features. Duplicates are removed (105,176 unique records: 24,106 normal, 81,070 attack) and the same split, scaling, and SMOTE steps are applied (test set: 21,036 records).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carried over from preliminary experiments in which larger α values were unstable)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600"/>
        <w:gridCol w:w="950"/>
        <w:gridCol w:w="950"/>
        <w:gridCol w:w="1000"/>
        <w:gridCol w:w="900"/>
        <w:gridCol w:w="850"/>
        <w:gridCol w:w="1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85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600"/>
            <w:tcMar>
              <w:top w:type="dxa" w:w="60"/>
              <w:left w:type="dxa" w:w="100"/>
              <w:bottom w:type="dxa" w:w="60"/>
              <w:right w:type="dxa" w:w="100"/>
            </w:tcMar>
            <w:vAlign w:val="center"/>
          </w:tcPr>
          <w:p>
            <w:pPr>
              <w:jc w:val="left"/>
            </w:pPr>
            <w:r>
              <w:rPr>
                <w:sz w:val="20"/>
                <w:szCs w:val="20"/>
              </w:rPr>
              <w:t xml:space="preserve">CIC-IDS2017 — centralized</w:t>
            </w:r>
          </w:p>
        </w:tc>
        <w:tc>
          <w:tcPr>
            <w:tcW w:type="dxa" w:w="950"/>
            <w:tcMar>
              <w:top w:type="dxa" w:w="60"/>
              <w:left w:type="dxa" w:w="100"/>
              <w:bottom w:type="dxa" w:w="60"/>
              <w:right w:type="dxa" w:w="100"/>
            </w:tcMar>
            <w:vAlign w:val="center"/>
          </w:tcPr>
          <w:p>
            <w:pPr>
              <w:jc w:val="center"/>
            </w:pPr>
            <w:r>
              <w:rPr>
                <w:sz w:val="20"/>
                <w:szCs w:val="20"/>
              </w:rPr>
              <w:t xml:space="preserve">95.07%</w:t>
            </w:r>
          </w:p>
        </w:tc>
        <w:tc>
          <w:tcPr>
            <w:tcW w:type="dxa" w:w="950"/>
            <w:tcMar>
              <w:top w:type="dxa" w:w="60"/>
              <w:left w:type="dxa" w:w="100"/>
              <w:bottom w:type="dxa" w:w="60"/>
              <w:right w:type="dxa" w:w="100"/>
            </w:tcMar>
            <w:vAlign w:val="center"/>
          </w:tcPr>
          <w:p>
            <w:pPr>
              <w:jc w:val="center"/>
            </w:pPr>
            <w:r>
              <w:rPr>
                <w:sz w:val="20"/>
                <w:szCs w:val="20"/>
              </w:rPr>
              <w:t xml:space="preserve">77.60%</w:t>
            </w:r>
          </w:p>
        </w:tc>
        <w:tc>
          <w:tcPr>
            <w:tcW w:type="dxa" w:w="1000"/>
            <w:tcMar>
              <w:top w:type="dxa" w:w="60"/>
              <w:left w:type="dxa" w:w="100"/>
              <w:bottom w:type="dxa" w:w="60"/>
              <w:right w:type="dxa" w:w="100"/>
            </w:tcMar>
            <w:vAlign w:val="center"/>
          </w:tcPr>
          <w:p>
            <w:pPr>
              <w:jc w:val="center"/>
            </w:pPr>
            <w:r>
              <w:rPr>
                <w:sz w:val="20"/>
                <w:szCs w:val="20"/>
              </w:rPr>
              <w:t xml:space="preserve">99.90%</w:t>
            </w:r>
          </w:p>
        </w:tc>
        <w:tc>
          <w:tcPr>
            <w:tcW w:type="dxa" w:w="900"/>
            <w:tcMar>
              <w:top w:type="dxa" w:w="60"/>
              <w:left w:type="dxa" w:w="100"/>
              <w:bottom w:type="dxa" w:w="60"/>
              <w:right w:type="dxa" w:w="100"/>
            </w:tcMar>
            <w:vAlign w:val="center"/>
          </w:tcPr>
          <w:p>
            <w:pPr>
              <w:jc w:val="center"/>
            </w:pPr>
            <w:r>
              <w:rPr>
                <w:sz w:val="20"/>
                <w:szCs w:val="20"/>
              </w:rPr>
              <w:t xml:space="preserve">87.35%</w:t>
            </w:r>
          </w:p>
        </w:tc>
        <w:tc>
          <w:tcPr>
            <w:tcW w:type="dxa" w:w="850"/>
            <w:tcMar>
              <w:top w:type="dxa" w:w="60"/>
              <w:left w:type="dxa" w:w="100"/>
              <w:bottom w:type="dxa" w:w="60"/>
              <w:right w:type="dxa" w:w="100"/>
            </w:tcMar>
            <w:vAlign w:val="center"/>
          </w:tcPr>
          <w:p>
            <w:pPr>
              <w:jc w:val="center"/>
            </w:pPr>
            <w:r>
              <w:rPr>
                <w:sz w:val="20"/>
                <w:szCs w:val="20"/>
              </w:rPr>
              <w:t xml:space="preserve">5.92%</w:t>
            </w:r>
          </w:p>
        </w:tc>
        <w:tc>
          <w:tcPr>
            <w:tcW w:type="dxa" w:w="1900"/>
            <w:tcMar>
              <w:top w:type="dxa" w:w="60"/>
              <w:left w:type="dxa" w:w="100"/>
              <w:bottom w:type="dxa" w:w="60"/>
              <w:right w:type="dxa" w:w="100"/>
            </w:tcMar>
            <w:vAlign w:val="center"/>
          </w:tcPr>
          <w:p>
            <w:pPr>
              <w:jc w:val="center"/>
            </w:pPr>
            <w:r>
              <w:rPr>
                <w:sz w:val="20"/>
                <w:szCs w:val="20"/>
              </w:rPr>
              <w:t xml:space="preserve">88 / 85,173 (0.10%)</w:t>
            </w:r>
          </w:p>
        </w:tc>
      </w:tr>
      <w:tr>
        <w:tc>
          <w:tcPr>
            <w:tcW w:type="dxa" w:w="2600"/>
            <w:tcMar>
              <w:top w:type="dxa" w:w="60"/>
              <w:left w:type="dxa" w:w="100"/>
              <w:bottom w:type="dxa" w:w="60"/>
              <w:right w:type="dxa" w:w="100"/>
            </w:tcMar>
            <w:vAlign w:val="center"/>
          </w:tcPr>
          <w:p>
            <w:pPr>
              <w:jc w:val="left"/>
            </w:pPr>
            <w:r>
              <w:rPr>
                <w:sz w:val="20"/>
                <w:szCs w:val="20"/>
              </w:rPr>
              <w:t xml:space="preserve">CIC-IDS2017 — federated (near-IID)</w:t>
            </w:r>
          </w:p>
        </w:tc>
        <w:tc>
          <w:tcPr>
            <w:tcW w:type="dxa" w:w="950"/>
            <w:tcMar>
              <w:top w:type="dxa" w:w="60"/>
              <w:left w:type="dxa" w:w="100"/>
              <w:bottom w:type="dxa" w:w="60"/>
              <w:right w:type="dxa" w:w="100"/>
            </w:tcMar>
            <w:vAlign w:val="center"/>
          </w:tcPr>
          <w:p>
            <w:pPr>
              <w:jc w:val="center"/>
            </w:pPr>
            <w:r>
              <w:rPr>
                <w:sz w:val="20"/>
                <w:szCs w:val="20"/>
              </w:rPr>
              <w:t xml:space="preserve">94.32%</w:t>
            </w:r>
          </w:p>
        </w:tc>
        <w:tc>
          <w:tcPr>
            <w:tcW w:type="dxa" w:w="950"/>
            <w:tcMar>
              <w:top w:type="dxa" w:w="60"/>
              <w:left w:type="dxa" w:w="100"/>
              <w:bottom w:type="dxa" w:w="60"/>
              <w:right w:type="dxa" w:w="100"/>
            </w:tcMar>
            <w:vAlign w:val="center"/>
          </w:tcPr>
          <w:p>
            <w:pPr>
              <w:jc w:val="center"/>
            </w:pPr>
            <w:r>
              <w:rPr>
                <w:sz w:val="20"/>
                <w:szCs w:val="20"/>
              </w:rPr>
              <w:t xml:space="preserve">75.01%</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850"/>
            <w:tcMar>
              <w:top w:type="dxa" w:w="60"/>
              <w:left w:type="dxa" w:w="100"/>
              <w:bottom w:type="dxa" w:w="60"/>
              <w:right w:type="dxa" w:w="100"/>
            </w:tcMar>
            <w:vAlign w:val="center"/>
          </w:tcPr>
          <w:p>
            <w:pPr>
              <w:jc w:val="center"/>
            </w:pPr>
            <w:r>
              <w:rPr>
                <w:sz w:val="20"/>
                <w:szCs w:val="20"/>
              </w:rPr>
              <w:t xml:space="preserve">6.84%</w:t>
            </w:r>
          </w:p>
        </w:tc>
        <w:tc>
          <w:tcPr>
            <w:tcW w:type="dxa" w:w="1900"/>
            <w:tcMar>
              <w:top w:type="dxa" w:w="60"/>
              <w:left w:type="dxa" w:w="100"/>
              <w:bottom w:type="dxa" w:w="60"/>
              <w:right w:type="dxa" w:w="100"/>
            </w:tcMar>
            <w:vAlign w:val="center"/>
          </w:tcPr>
          <w:p>
            <w:pPr>
              <w:jc w:val="center"/>
            </w:pPr>
            <w:r>
              <w:rPr>
                <w:sz w:val="20"/>
                <w:szCs w:val="20"/>
              </w:rPr>
              <w:t xml:space="preserve">52 / 85,173 (0.061%)</w:t>
            </w:r>
          </w:p>
        </w:tc>
      </w:tr>
      <w:tr>
        <w:tc>
          <w:tcPr>
            <w:tcW w:type="dxa" w:w="2600"/>
            <w:tcMar>
              <w:top w:type="dxa" w:w="60"/>
              <w:left w:type="dxa" w:w="100"/>
              <w:bottom w:type="dxa" w:w="60"/>
              <w:right w:type="dxa" w:w="100"/>
            </w:tcMar>
            <w:vAlign w:val="center"/>
          </w:tcPr>
          <w:p>
            <w:pPr>
              <w:jc w:val="left"/>
            </w:pPr>
            <w:r>
              <w:rPr>
                <w:sz w:val="20"/>
                <w:szCs w:val="20"/>
              </w:rPr>
              <w:t xml:space="preserve">CIC-IDS2017 — federated, fixed LR</w:t>
            </w:r>
          </w:p>
        </w:tc>
        <w:tc>
          <w:tcPr>
            <w:tcW w:type="dxa" w:w="950"/>
            <w:tcMar>
              <w:top w:type="dxa" w:w="60"/>
              <w:left w:type="dxa" w:w="100"/>
              <w:bottom w:type="dxa" w:w="60"/>
              <w:right w:type="dxa" w:w="100"/>
            </w:tcMar>
            <w:vAlign w:val="center"/>
          </w:tcPr>
          <w:p>
            <w:pPr>
              <w:jc w:val="center"/>
            </w:pPr>
            <w:r>
              <w:rPr>
                <w:sz w:val="20"/>
                <w:szCs w:val="20"/>
              </w:rPr>
              <w:t xml:space="preserve">95.01%</w:t>
            </w:r>
          </w:p>
        </w:tc>
        <w:tc>
          <w:tcPr>
            <w:tcW w:type="dxa" w:w="950"/>
            <w:tcMar>
              <w:top w:type="dxa" w:w="60"/>
              <w:left w:type="dxa" w:w="100"/>
              <w:bottom w:type="dxa" w:w="60"/>
              <w:right w:type="dxa" w:w="100"/>
            </w:tcMar>
            <w:vAlign w:val="center"/>
          </w:tcPr>
          <w:p>
            <w:pPr>
              <w:jc w:val="center"/>
            </w:pPr>
            <w:r>
              <w:rPr>
                <w:sz w:val="20"/>
                <w:szCs w:val="20"/>
              </w:rPr>
              <w:t xml:space="preserve">77.40%</w:t>
            </w:r>
          </w:p>
        </w:tc>
        <w:tc>
          <w:tcPr>
            <w:tcW w:type="dxa" w:w="1000"/>
            <w:tcMar>
              <w:top w:type="dxa" w:w="60"/>
              <w:left w:type="dxa" w:w="100"/>
              <w:bottom w:type="dxa" w:w="60"/>
              <w:right w:type="dxa" w:w="100"/>
            </w:tcMar>
            <w:vAlign w:val="center"/>
          </w:tcPr>
          <w:p>
            <w:pPr>
              <w:jc w:val="center"/>
            </w:pPr>
            <w:r>
              <w:rPr>
                <w:sz w:val="20"/>
                <w:szCs w:val="20"/>
              </w:rPr>
              <w:t xml:space="preserve">99.84%</w:t>
            </w:r>
          </w:p>
        </w:tc>
        <w:tc>
          <w:tcPr>
            <w:tcW w:type="dxa" w:w="900"/>
            <w:tcMar>
              <w:top w:type="dxa" w:w="60"/>
              <w:left w:type="dxa" w:w="100"/>
              <w:bottom w:type="dxa" w:w="60"/>
              <w:right w:type="dxa" w:w="100"/>
            </w:tcMar>
            <w:vAlign w:val="center"/>
          </w:tcPr>
          <w:p>
            <w:pPr>
              <w:jc w:val="center"/>
            </w:pPr>
            <w:r>
              <w:rPr>
                <w:sz w:val="20"/>
                <w:szCs w:val="20"/>
              </w:rPr>
              <w:t xml:space="preserve">87.20%</w:t>
            </w:r>
          </w:p>
        </w:tc>
        <w:tc>
          <w:tcPr>
            <w:tcW w:type="dxa" w:w="850"/>
            <w:tcMar>
              <w:top w:type="dxa" w:w="60"/>
              <w:left w:type="dxa" w:w="100"/>
              <w:bottom w:type="dxa" w:w="60"/>
              <w:right w:type="dxa" w:w="100"/>
            </w:tcMar>
            <w:vAlign w:val="center"/>
          </w:tcPr>
          <w:p>
            <w:pPr>
              <w:jc w:val="center"/>
            </w:pPr>
            <w:r>
              <w:rPr>
                <w:sz w:val="20"/>
                <w:szCs w:val="20"/>
              </w:rPr>
              <w:t xml:space="preserve">5.99%</w:t>
            </w:r>
          </w:p>
        </w:tc>
        <w:tc>
          <w:tcPr>
            <w:tcW w:type="dxa" w:w="1900"/>
            <w:tcMar>
              <w:top w:type="dxa" w:w="60"/>
              <w:left w:type="dxa" w:w="100"/>
              <w:bottom w:type="dxa" w:w="60"/>
              <w:right w:type="dxa" w:w="100"/>
            </w:tcMar>
            <w:vAlign w:val="center"/>
          </w:tcPr>
          <w:p>
            <w:pPr>
              <w:jc w:val="center"/>
            </w:pPr>
            <w:r>
              <w:rPr>
                <w:sz w:val="20"/>
                <w:szCs w:val="20"/>
              </w:rPr>
              <w:t xml:space="preserve">136 / 85,173 (0.16%)</w:t>
            </w:r>
          </w:p>
        </w:tc>
      </w:tr>
      <w:tr>
        <w:tc>
          <w:tcPr>
            <w:tcW w:type="dxa" w:w="2600"/>
            <w:tcMar>
              <w:top w:type="dxa" w:w="60"/>
              <w:left w:type="dxa" w:w="100"/>
              <w:bottom w:type="dxa" w:w="60"/>
              <w:right w:type="dxa" w:w="100"/>
            </w:tcMar>
            <w:vAlign w:val="center"/>
          </w:tcPr>
          <w:p>
            <w:pPr>
              <w:jc w:val="left"/>
            </w:pPr>
            <w:r>
              <w:rPr>
                <w:sz w:val="20"/>
                <w:szCs w:val="20"/>
              </w:rPr>
              <w:t xml:space="preserve">TON_IoT — centralized</w:t>
            </w:r>
          </w:p>
        </w:tc>
        <w:tc>
          <w:tcPr>
            <w:tcW w:type="dxa" w:w="950"/>
            <w:tcMar>
              <w:top w:type="dxa" w:w="60"/>
              <w:left w:type="dxa" w:w="100"/>
              <w:bottom w:type="dxa" w:w="60"/>
              <w:right w:type="dxa" w:w="100"/>
            </w:tcMar>
            <w:vAlign w:val="center"/>
          </w:tcPr>
          <w:p>
            <w:pPr>
              <w:jc w:val="center"/>
            </w:pPr>
            <w:r>
              <w:rPr>
                <w:sz w:val="20"/>
                <w:szCs w:val="20"/>
              </w:rPr>
              <w:t xml:space="preserve">99.20%</w:t>
            </w:r>
          </w:p>
        </w:tc>
        <w:tc>
          <w:tcPr>
            <w:tcW w:type="dxa" w:w="950"/>
            <w:tcMar>
              <w:top w:type="dxa" w:w="60"/>
              <w:left w:type="dxa" w:w="100"/>
              <w:bottom w:type="dxa" w:w="60"/>
              <w:right w:type="dxa" w:w="100"/>
            </w:tcMar>
            <w:vAlign w:val="center"/>
          </w:tcPr>
          <w:p>
            <w:pPr>
              <w:jc w:val="center"/>
            </w:pPr>
            <w:r>
              <w:rPr>
                <w:sz w:val="20"/>
                <w:szCs w:val="20"/>
              </w:rPr>
              <w:t xml:space="preserve">99.32%</w:t>
            </w:r>
          </w:p>
        </w:tc>
        <w:tc>
          <w:tcPr>
            <w:tcW w:type="dxa" w:w="1000"/>
            <w:tcMar>
              <w:top w:type="dxa" w:w="60"/>
              <w:left w:type="dxa" w:w="100"/>
              <w:bottom w:type="dxa" w:w="60"/>
              <w:right w:type="dxa" w:w="100"/>
            </w:tcMar>
            <w:vAlign w:val="center"/>
          </w:tcPr>
          <w:p>
            <w:pPr>
              <w:jc w:val="center"/>
            </w:pPr>
            <w:r>
              <w:rPr>
                <w:sz w:val="20"/>
                <w:szCs w:val="20"/>
              </w:rPr>
              <w:t xml:space="preserve">99.64%</w:t>
            </w:r>
          </w:p>
        </w:tc>
        <w:tc>
          <w:tcPr>
            <w:tcW w:type="dxa" w:w="900"/>
            <w:tcMar>
              <w:top w:type="dxa" w:w="60"/>
              <w:left w:type="dxa" w:w="100"/>
              <w:bottom w:type="dxa" w:w="60"/>
              <w:right w:type="dxa" w:w="100"/>
            </w:tcMar>
            <w:vAlign w:val="center"/>
          </w:tcPr>
          <w:p>
            <w:pPr>
              <w:jc w:val="center"/>
            </w:pPr>
            <w:r>
              <w:rPr>
                <w:sz w:val="20"/>
                <w:szCs w:val="20"/>
              </w:rPr>
              <w:t xml:space="preserve">99.48%</w:t>
            </w:r>
          </w:p>
        </w:tc>
        <w:tc>
          <w:tcPr>
            <w:tcW w:type="dxa" w:w="850"/>
            <w:tcMar>
              <w:top w:type="dxa" w:w="60"/>
              <w:left w:type="dxa" w:w="100"/>
              <w:bottom w:type="dxa" w:w="60"/>
              <w:right w:type="dxa" w:w="100"/>
            </w:tcMar>
            <w:vAlign w:val="center"/>
          </w:tcPr>
          <w:p>
            <w:pPr>
              <w:jc w:val="center"/>
            </w:pPr>
            <w:r>
              <w:rPr>
                <w:sz w:val="20"/>
                <w:szCs w:val="20"/>
              </w:rPr>
              <w:t xml:space="preserve">2.28%</w:t>
            </w:r>
          </w:p>
        </w:tc>
        <w:tc>
          <w:tcPr>
            <w:tcW w:type="dxa" w:w="1900"/>
            <w:tcMar>
              <w:top w:type="dxa" w:w="60"/>
              <w:left w:type="dxa" w:w="100"/>
              <w:bottom w:type="dxa" w:w="60"/>
              <w:right w:type="dxa" w:w="100"/>
            </w:tcMar>
            <w:vAlign w:val="center"/>
          </w:tcPr>
          <w:p>
            <w:pPr>
              <w:jc w:val="center"/>
            </w:pPr>
            <w:r>
              <w:rPr>
                <w:sz w:val="20"/>
                <w:szCs w:val="20"/>
              </w:rPr>
              <w:t xml:space="preserve">59 / 16,214 (0.36%)</w:t>
            </w:r>
          </w:p>
        </w:tc>
      </w:tr>
      <w:tr>
        <w:tc>
          <w:tcPr>
            <w:tcW w:type="dxa" w:w="2600"/>
            <w:tcMar>
              <w:top w:type="dxa" w:w="60"/>
              <w:left w:type="dxa" w:w="100"/>
              <w:bottom w:type="dxa" w:w="60"/>
              <w:right w:type="dxa" w:w="100"/>
            </w:tcMar>
            <w:vAlign w:val="center"/>
          </w:tcPr>
          <w:p>
            <w:pPr>
              <w:jc w:val="left"/>
            </w:pPr>
            <w:r>
              <w:rPr>
                <w:sz w:val="20"/>
                <w:szCs w:val="20"/>
              </w:rPr>
              <w:t xml:space="preserve">TON_IoT — federated (near-IID)</w:t>
            </w:r>
          </w:p>
        </w:tc>
        <w:tc>
          <w:tcPr>
            <w:tcW w:type="dxa" w:w="950"/>
            <w:tcMar>
              <w:top w:type="dxa" w:w="60"/>
              <w:left w:type="dxa" w:w="100"/>
              <w:bottom w:type="dxa" w:w="60"/>
              <w:right w:type="dxa" w:w="100"/>
            </w:tcMar>
            <w:vAlign w:val="center"/>
          </w:tcPr>
          <w:p>
            <w:pPr>
              <w:jc w:val="center"/>
            </w:pPr>
            <w:r>
              <w:rPr>
                <w:sz w:val="20"/>
                <w:szCs w:val="20"/>
              </w:rPr>
              <w:t xml:space="preserve">99.08%</w:t>
            </w:r>
          </w:p>
        </w:tc>
        <w:tc>
          <w:tcPr>
            <w:tcW w:type="dxa" w:w="950"/>
            <w:tcMar>
              <w:top w:type="dxa" w:w="60"/>
              <w:left w:type="dxa" w:w="100"/>
              <w:bottom w:type="dxa" w:w="60"/>
              <w:right w:type="dxa" w:w="100"/>
            </w:tcMar>
            <w:vAlign w:val="center"/>
          </w:tcPr>
          <w:p>
            <w:pPr>
              <w:jc w:val="center"/>
            </w:pPr>
            <w:r>
              <w:rPr>
                <w:sz w:val="20"/>
                <w:szCs w:val="20"/>
              </w:rPr>
              <w:t xml:space="preserve">99.18%</w:t>
            </w:r>
          </w:p>
        </w:tc>
        <w:tc>
          <w:tcPr>
            <w:tcW w:type="dxa" w:w="1000"/>
            <w:tcMar>
              <w:top w:type="dxa" w:w="60"/>
              <w:left w:type="dxa" w:w="100"/>
              <w:bottom w:type="dxa" w:w="60"/>
              <w:right w:type="dxa" w:w="100"/>
            </w:tcMar>
            <w:vAlign w:val="center"/>
          </w:tcPr>
          <w:p>
            <w:pPr>
              <w:jc w:val="center"/>
            </w:pPr>
            <w:r>
              <w:rPr>
                <w:sz w:val="20"/>
                <w:szCs w:val="20"/>
              </w:rPr>
              <w:t xml:space="preserve">99.62%</w:t>
            </w:r>
          </w:p>
        </w:tc>
        <w:tc>
          <w:tcPr>
            <w:tcW w:type="dxa" w:w="900"/>
            <w:tcMar>
              <w:top w:type="dxa" w:w="60"/>
              <w:left w:type="dxa" w:w="100"/>
              <w:bottom w:type="dxa" w:w="60"/>
              <w:right w:type="dxa" w:w="100"/>
            </w:tcMar>
            <w:vAlign w:val="center"/>
          </w:tcPr>
          <w:p>
            <w:pPr>
              <w:jc w:val="center"/>
            </w:pPr>
            <w:r>
              <w:rPr>
                <w:sz w:val="20"/>
                <w:szCs w:val="20"/>
              </w:rPr>
              <w:t xml:space="preserve">99.40%</w:t>
            </w:r>
          </w:p>
        </w:tc>
        <w:tc>
          <w:tcPr>
            <w:tcW w:type="dxa" w:w="850"/>
            <w:tcMar>
              <w:top w:type="dxa" w:w="60"/>
              <w:left w:type="dxa" w:w="100"/>
              <w:bottom w:type="dxa" w:w="60"/>
              <w:right w:type="dxa" w:w="100"/>
            </w:tcMar>
            <w:vAlign w:val="center"/>
          </w:tcPr>
          <w:p>
            <w:pPr>
              <w:jc w:val="center"/>
            </w:pPr>
            <w:r>
              <w:rPr>
                <w:sz w:val="20"/>
                <w:szCs w:val="20"/>
              </w:rPr>
              <w:t xml:space="preserve">2.76%</w:t>
            </w:r>
          </w:p>
        </w:tc>
        <w:tc>
          <w:tcPr>
            <w:tcW w:type="dxa" w:w="1900"/>
            <w:tcMar>
              <w:top w:type="dxa" w:w="60"/>
              <w:left w:type="dxa" w:w="100"/>
              <w:bottom w:type="dxa" w:w="60"/>
              <w:right w:type="dxa" w:w="100"/>
            </w:tcMar>
            <w:vAlign w:val="center"/>
          </w:tcPr>
          <w:p>
            <w:pPr>
              <w:jc w:val="center"/>
            </w:pPr>
            <w:r>
              <w:rPr>
                <w:sz w:val="20"/>
                <w:szCs w:val="20"/>
              </w:rPr>
              <w:t xml:space="preserve">61 / 16,214 (0.38%)</w:t>
            </w:r>
          </w:p>
        </w:tc>
      </w:tr>
      <w:tr>
        <w:tc>
          <w:tcPr>
            <w:tcW w:type="dxa" w:w="2600"/>
            <w:tcMar>
              <w:top w:type="dxa" w:w="60"/>
              <w:left w:type="dxa" w:w="100"/>
              <w:bottom w:type="dxa" w:w="60"/>
              <w:right w:type="dxa" w:w="100"/>
            </w:tcMar>
            <w:vAlign w:val="center"/>
          </w:tcPr>
          <w:p>
            <w:pPr>
              <w:jc w:val="left"/>
            </w:pPr>
            <w:r>
              <w:rPr>
                <w:sz w:val="20"/>
                <w:szCs w:val="20"/>
              </w:rPr>
              <w:t xml:space="preserve">TON_IoT — federated, fixed LR</w:t>
            </w:r>
          </w:p>
        </w:tc>
        <w:tc>
          <w:tcPr>
            <w:tcW w:type="dxa" w:w="950"/>
            <w:tcMar>
              <w:top w:type="dxa" w:w="60"/>
              <w:left w:type="dxa" w:w="100"/>
              <w:bottom w:type="dxa" w:w="60"/>
              <w:right w:type="dxa" w:w="100"/>
            </w:tcMar>
            <w:vAlign w:val="center"/>
          </w:tcPr>
          <w:p>
            <w:pPr>
              <w:jc w:val="center"/>
            </w:pPr>
            <w:r>
              <w:rPr>
                <w:sz w:val="20"/>
                <w:szCs w:val="20"/>
              </w:rPr>
              <w:t xml:space="preserve">99.02%</w:t>
            </w:r>
          </w:p>
        </w:tc>
        <w:tc>
          <w:tcPr>
            <w:tcW w:type="dxa" w:w="950"/>
            <w:tcMar>
              <w:top w:type="dxa" w:w="60"/>
              <w:left w:type="dxa" w:w="100"/>
              <w:bottom w:type="dxa" w:w="60"/>
              <w:right w:type="dxa" w:w="100"/>
            </w:tcMar>
            <w:vAlign w:val="center"/>
          </w:tcPr>
          <w:p>
            <w:pPr>
              <w:jc w:val="center"/>
            </w:pPr>
            <w:r>
              <w:rPr>
                <w:sz w:val="20"/>
                <w:szCs w:val="20"/>
              </w:rPr>
              <w:t xml:space="preserve">99.00%</w:t>
            </w:r>
          </w:p>
        </w:tc>
        <w:tc>
          <w:tcPr>
            <w:tcW w:type="dxa" w:w="1000"/>
            <w:tcMar>
              <w:top w:type="dxa" w:w="60"/>
              <w:left w:type="dxa" w:w="100"/>
              <w:bottom w:type="dxa" w:w="60"/>
              <w:right w:type="dxa" w:w="100"/>
            </w:tcMar>
            <w:vAlign w:val="center"/>
          </w:tcPr>
          <w:p>
            <w:pPr>
              <w:jc w:val="center"/>
            </w:pPr>
            <w:r>
              <w:rPr>
                <w:sz w:val="20"/>
                <w:szCs w:val="20"/>
              </w:rPr>
              <w:t xml:space="preserve">99.73%</w:t>
            </w:r>
          </w:p>
        </w:tc>
        <w:tc>
          <w:tcPr>
            <w:tcW w:type="dxa" w:w="900"/>
            <w:tcMar>
              <w:top w:type="dxa" w:w="60"/>
              <w:left w:type="dxa" w:w="100"/>
              <w:bottom w:type="dxa" w:w="60"/>
              <w:right w:type="dxa" w:w="100"/>
            </w:tcMar>
            <w:vAlign w:val="center"/>
          </w:tcPr>
          <w:p>
            <w:pPr>
              <w:jc w:val="center"/>
            </w:pPr>
            <w:r>
              <w:rPr>
                <w:sz w:val="20"/>
                <w:szCs w:val="20"/>
              </w:rPr>
              <w:t xml:space="preserve">99.36%</w:t>
            </w:r>
          </w:p>
        </w:tc>
        <w:tc>
          <w:tcPr>
            <w:tcW w:type="dxa" w:w="850"/>
            <w:tcMar>
              <w:top w:type="dxa" w:w="60"/>
              <w:left w:type="dxa" w:w="100"/>
              <w:bottom w:type="dxa" w:w="60"/>
              <w:right w:type="dxa" w:w="100"/>
            </w:tcMar>
            <w:vAlign w:val="center"/>
          </w:tcPr>
          <w:p>
            <w:pPr>
              <w:jc w:val="center"/>
            </w:pPr>
            <w:r>
              <w:rPr>
                <w:sz w:val="20"/>
                <w:szCs w:val="20"/>
              </w:rPr>
              <w:t xml:space="preserve">3.38%</w:t>
            </w:r>
          </w:p>
        </w:tc>
        <w:tc>
          <w:tcPr>
            <w:tcW w:type="dxa" w:w="1900"/>
            <w:tcMar>
              <w:top w:type="dxa" w:w="60"/>
              <w:left w:type="dxa" w:w="100"/>
              <w:bottom w:type="dxa" w:w="60"/>
              <w:right w:type="dxa" w:w="100"/>
            </w:tcMar>
            <w:vAlign w:val="center"/>
          </w:tcPr>
          <w:p>
            <w:pPr>
              <w:jc w:val="center"/>
            </w:pPr>
            <w:r>
              <w:rPr>
                <w:sz w:val="20"/>
                <w:szCs w:val="20"/>
              </w:rPr>
              <w:t xml:space="preserve">44 / 16,214 (0.27%)</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0.08 on TON_IoT. On CIC-IDS2017 the gap lies almost entirely in precision (FAR 6.84% vs. 5.92%); both models detect more than 99.9% of attacks. </w:t>
      </w:r>
      <w:r>
        <w:t xml:space="preserve">A fixed learning rate (10⁻³ throughout) does as well as the cosine schedule on both datasets: F1 87.20 vs. 85.70 on CIC-IDS2017 and 99.36 vs. 99.40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900"/>
        <w:gridCol w:w="800"/>
        <w:gridCol w:w="1000"/>
        <w:gridCol w:w="800"/>
        <w:gridCol w:w="18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100"/>
            <w:tcMar>
              <w:top w:type="dxa" w:w="60"/>
              <w:left w:type="dxa" w:w="100"/>
              <w:bottom w:type="dxa" w:w="60"/>
              <w:right w:type="dxa" w:w="100"/>
            </w:tcMar>
            <w:vAlign w:val="center"/>
          </w:tcPr>
          <w:p>
            <w:pPr>
              <w:jc w:val="left"/>
            </w:pPr>
            <w:r>
              <w:rPr>
                <w:sz w:val="20"/>
                <w:szCs w:val="20"/>
              </w:rPr>
              <w:t xml:space="preserve">CIC-IDS2017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94.32%</w:t>
            </w:r>
          </w:p>
        </w:tc>
        <w:tc>
          <w:tcPr>
            <w:tcW w:type="dxa" w:w="8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800"/>
            <w:tcMar>
              <w:top w:type="dxa" w:w="60"/>
              <w:left w:type="dxa" w:w="100"/>
              <w:bottom w:type="dxa" w:w="60"/>
              <w:right w:type="dxa" w:w="100"/>
            </w:tcMar>
            <w:vAlign w:val="center"/>
          </w:tcPr>
          <w:p>
            <w:pPr>
              <w:jc w:val="center"/>
            </w:pPr>
            <w:r>
              <w:rPr>
                <w:sz w:val="20"/>
                <w:szCs w:val="20"/>
              </w:rPr>
              <w:t xml:space="preserve">6.84%</w:t>
            </w:r>
          </w:p>
        </w:tc>
        <w:tc>
          <w:tcPr>
            <w:tcW w:type="dxa" w:w="1800"/>
            <w:tcMar>
              <w:top w:type="dxa" w:w="60"/>
              <w:left w:type="dxa" w:w="100"/>
              <w:bottom w:type="dxa" w:w="60"/>
              <w:right w:type="dxa" w:w="100"/>
            </w:tcMar>
            <w:vAlign w:val="center"/>
          </w:tcPr>
          <w:p>
            <w:pPr>
              <w:jc w:val="center"/>
            </w:pPr>
            <w:r>
              <w:rPr>
                <w:sz w:val="20"/>
                <w:szCs w:val="20"/>
              </w:rPr>
              <w:t xml:space="preserve">52 / 85,173 (0.061%)</w:t>
            </w:r>
          </w:p>
        </w:tc>
      </w:tr>
      <w:tr>
        <w:tc>
          <w:tcPr>
            <w:tcW w:type="dxa" w:w="2100"/>
            <w:tcMar>
              <w:top w:type="dxa" w:w="60"/>
              <w:left w:type="dxa" w:w="100"/>
              <w:bottom w:type="dxa" w:w="60"/>
              <w:right w:type="dxa" w:w="100"/>
            </w:tcMar>
            <w:vAlign w:val="center"/>
          </w:tcPr>
          <w:p>
            <w:pPr>
              <w:jc w:val="left"/>
            </w:pPr>
            <w:r>
              <w:rPr>
                <w:sz w:val="20"/>
                <w:szCs w:val="20"/>
              </w:rPr>
              <w:t xml:space="preserve">CIC-IDS2017 — Dirichlet(0.3)</w:t>
            </w:r>
          </w:p>
        </w:tc>
        <w:tc>
          <w:tcPr>
            <w:tcW w:type="dxa" w:w="25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900"/>
            <w:tcMar>
              <w:top w:type="dxa" w:w="60"/>
              <w:left w:type="dxa" w:w="100"/>
              <w:bottom w:type="dxa" w:w="60"/>
              <w:right w:type="dxa" w:w="100"/>
            </w:tcMar>
            <w:vAlign w:val="center"/>
          </w:tcPr>
          <w:p>
            <w:pPr>
              <w:jc w:val="center"/>
            </w:pPr>
            <w:r>
              <w:rPr>
                <w:sz w:val="20"/>
                <w:szCs w:val="20"/>
              </w:rPr>
              <w:t xml:space="preserve">94.27%</w:t>
            </w:r>
          </w:p>
        </w:tc>
        <w:tc>
          <w:tcPr>
            <w:tcW w:type="dxa" w:w="800"/>
            <w:tcMar>
              <w:top w:type="dxa" w:w="60"/>
              <w:left w:type="dxa" w:w="100"/>
              <w:bottom w:type="dxa" w:w="60"/>
              <w:right w:type="dxa" w:w="100"/>
            </w:tcMar>
            <w:vAlign w:val="center"/>
          </w:tcPr>
          <w:p>
            <w:pPr>
              <w:jc w:val="center"/>
            </w:pPr>
            <w:r>
              <w:rPr>
                <w:sz w:val="20"/>
                <w:szCs w:val="20"/>
              </w:rPr>
              <w:t xml:space="preserve">85.59%</w:t>
            </w:r>
          </w:p>
        </w:tc>
        <w:tc>
          <w:tcPr>
            <w:tcW w:type="dxa" w:w="1000"/>
            <w:tcMar>
              <w:top w:type="dxa" w:w="60"/>
              <w:left w:type="dxa" w:w="100"/>
              <w:bottom w:type="dxa" w:w="60"/>
              <w:right w:type="dxa" w:w="100"/>
            </w:tcMar>
            <w:vAlign w:val="center"/>
          </w:tcPr>
          <w:p>
            <w:pPr>
              <w:jc w:val="center"/>
            </w:pPr>
            <w:r>
              <w:rPr>
                <w:sz w:val="20"/>
                <w:szCs w:val="20"/>
              </w:rPr>
              <w:t xml:space="preserve">99.83%</w:t>
            </w:r>
          </w:p>
        </w:tc>
        <w:tc>
          <w:tcPr>
            <w:tcW w:type="dxa" w:w="800"/>
            <w:tcMar>
              <w:top w:type="dxa" w:w="60"/>
              <w:left w:type="dxa" w:w="100"/>
              <w:bottom w:type="dxa" w:w="60"/>
              <w:right w:type="dxa" w:w="100"/>
            </w:tcMar>
            <w:vAlign w:val="center"/>
          </w:tcPr>
          <w:p>
            <w:pPr>
              <w:jc w:val="center"/>
            </w:pPr>
            <w:r>
              <w:rPr>
                <w:sz w:val="20"/>
                <w:szCs w:val="20"/>
              </w:rPr>
              <w:t xml:space="preserve">6.87%</w:t>
            </w:r>
          </w:p>
        </w:tc>
        <w:tc>
          <w:tcPr>
            <w:tcW w:type="dxa" w:w="1800"/>
            <w:tcMar>
              <w:top w:type="dxa" w:w="60"/>
              <w:left w:type="dxa" w:w="100"/>
              <w:bottom w:type="dxa" w:w="60"/>
              <w:right w:type="dxa" w:w="100"/>
            </w:tcMar>
            <w:vAlign w:val="center"/>
          </w:tcPr>
          <w:p>
            <w:pPr>
              <w:jc w:val="center"/>
            </w:pPr>
            <w:r>
              <w:rPr>
                <w:sz w:val="20"/>
                <w:szCs w:val="20"/>
              </w:rPr>
              <w:t xml:space="preserve">144 / 85,173 (0.17%)</w:t>
            </w:r>
          </w:p>
        </w:tc>
      </w:tr>
      <w:tr>
        <w:tc>
          <w:tcPr>
            <w:tcW w:type="dxa" w:w="2100"/>
            <w:tcMar>
              <w:top w:type="dxa" w:w="60"/>
              <w:left w:type="dxa" w:w="100"/>
              <w:bottom w:type="dxa" w:w="60"/>
              <w:right w:type="dxa" w:w="100"/>
            </w:tcMar>
            <w:vAlign w:val="center"/>
          </w:tcPr>
          <w:p>
            <w:pPr>
              <w:jc w:val="left"/>
            </w:pPr>
            <w:r>
              <w:rPr>
                <w:sz w:val="20"/>
                <w:szCs w:val="20"/>
              </w:rPr>
              <w:t xml:space="preserve">TON_IoT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99.08%</w:t>
            </w:r>
          </w:p>
        </w:tc>
        <w:tc>
          <w:tcPr>
            <w:tcW w:type="dxa" w:w="800"/>
            <w:tcMar>
              <w:top w:type="dxa" w:w="60"/>
              <w:left w:type="dxa" w:w="100"/>
              <w:bottom w:type="dxa" w:w="60"/>
              <w:right w:type="dxa" w:w="100"/>
            </w:tcMar>
            <w:vAlign w:val="center"/>
          </w:tcPr>
          <w:p>
            <w:pPr>
              <w:jc w:val="center"/>
            </w:pPr>
            <w:r>
              <w:rPr>
                <w:sz w:val="20"/>
                <w:szCs w:val="20"/>
              </w:rPr>
              <w:t xml:space="preserve">99.40%</w:t>
            </w:r>
          </w:p>
        </w:tc>
        <w:tc>
          <w:tcPr>
            <w:tcW w:type="dxa" w:w="1000"/>
            <w:tcMar>
              <w:top w:type="dxa" w:w="60"/>
              <w:left w:type="dxa" w:w="100"/>
              <w:bottom w:type="dxa" w:w="60"/>
              <w:right w:type="dxa" w:w="100"/>
            </w:tcMar>
            <w:vAlign w:val="center"/>
          </w:tcPr>
          <w:p>
            <w:pPr>
              <w:jc w:val="center"/>
            </w:pPr>
            <w:r>
              <w:rPr>
                <w:sz w:val="20"/>
                <w:szCs w:val="20"/>
              </w:rPr>
              <w:t xml:space="preserve">99.62%</w:t>
            </w:r>
          </w:p>
        </w:tc>
        <w:tc>
          <w:tcPr>
            <w:tcW w:type="dxa" w:w="800"/>
            <w:tcMar>
              <w:top w:type="dxa" w:w="60"/>
              <w:left w:type="dxa" w:w="100"/>
              <w:bottom w:type="dxa" w:w="60"/>
              <w:right w:type="dxa" w:w="100"/>
            </w:tcMar>
            <w:vAlign w:val="center"/>
          </w:tcPr>
          <w:p>
            <w:pPr>
              <w:jc w:val="center"/>
            </w:pPr>
            <w:r>
              <w:rPr>
                <w:sz w:val="20"/>
                <w:szCs w:val="20"/>
              </w:rPr>
              <w:t xml:space="preserve">2.76%</w:t>
            </w:r>
          </w:p>
        </w:tc>
        <w:tc>
          <w:tcPr>
            <w:tcW w:type="dxa" w:w="1800"/>
            <w:tcMar>
              <w:top w:type="dxa" w:w="60"/>
              <w:left w:type="dxa" w:w="100"/>
              <w:bottom w:type="dxa" w:w="60"/>
              <w:right w:type="dxa" w:w="100"/>
            </w:tcMar>
            <w:vAlign w:val="center"/>
          </w:tcPr>
          <w:p>
            <w:pPr>
              <w:jc w:val="center"/>
            </w:pPr>
            <w:r>
              <w:rPr>
                <w:sz w:val="20"/>
                <w:szCs w:val="20"/>
              </w:rPr>
              <w:t xml:space="preserve">61 / 16,214 (0.38%)</w:t>
            </w:r>
          </w:p>
        </w:tc>
      </w:tr>
      <w:tr>
        <w:tc>
          <w:tcPr>
            <w:tcW w:type="dxa" w:w="2100"/>
            <w:tcMar>
              <w:top w:type="dxa" w:w="60"/>
              <w:left w:type="dxa" w:w="100"/>
              <w:bottom w:type="dxa" w:w="60"/>
              <w:right w:type="dxa" w:w="100"/>
            </w:tcMar>
            <w:vAlign w:val="center"/>
          </w:tcPr>
          <w:p>
            <w:pPr>
              <w:jc w:val="left"/>
            </w:pPr>
            <w:r>
              <w:rPr>
                <w:sz w:val="20"/>
                <w:szCs w:val="20"/>
              </w:rPr>
              <w:t xml:space="preserve">TON_IoT — Dirichlet(0.3)</w:t>
            </w:r>
          </w:p>
        </w:tc>
        <w:tc>
          <w:tcPr>
            <w:tcW w:type="dxa" w:w="25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900"/>
            <w:tcMar>
              <w:top w:type="dxa" w:w="60"/>
              <w:left w:type="dxa" w:w="100"/>
              <w:bottom w:type="dxa" w:w="60"/>
              <w:right w:type="dxa" w:w="100"/>
            </w:tcMar>
            <w:vAlign w:val="center"/>
          </w:tcPr>
          <w:p>
            <w:pPr>
              <w:jc w:val="center"/>
            </w:pPr>
            <w:r>
              <w:rPr>
                <w:sz w:val="20"/>
                <w:szCs w:val="20"/>
              </w:rPr>
              <w:t xml:space="preserve">97.63%</w:t>
            </w:r>
          </w:p>
        </w:tc>
        <w:tc>
          <w:tcPr>
            <w:tcW w:type="dxa" w:w="800"/>
            <w:tcMar>
              <w:top w:type="dxa" w:w="60"/>
              <w:left w:type="dxa" w:w="100"/>
              <w:bottom w:type="dxa" w:w="60"/>
              <w:right w:type="dxa" w:w="100"/>
            </w:tcMar>
            <w:vAlign w:val="center"/>
          </w:tcPr>
          <w:p>
            <w:pPr>
              <w:jc w:val="center"/>
            </w:pPr>
            <w:r>
              <w:rPr>
                <w:sz w:val="20"/>
                <w:szCs w:val="20"/>
              </w:rPr>
              <w:t xml:space="preserve">98.45%</w:t>
            </w:r>
          </w:p>
        </w:tc>
        <w:tc>
          <w:tcPr>
            <w:tcW w:type="dxa" w:w="1000"/>
            <w:tcMar>
              <w:top w:type="dxa" w:w="60"/>
              <w:left w:type="dxa" w:w="100"/>
              <w:bottom w:type="dxa" w:w="60"/>
              <w:right w:type="dxa" w:w="100"/>
            </w:tcMar>
            <w:vAlign w:val="center"/>
          </w:tcPr>
          <w:p>
            <w:pPr>
              <w:jc w:val="center"/>
            </w:pPr>
            <w:r>
              <w:rPr>
                <w:sz w:val="20"/>
                <w:szCs w:val="20"/>
              </w:rPr>
              <w:t xml:space="preserve">97.99%</w:t>
            </w:r>
          </w:p>
        </w:tc>
        <w:tc>
          <w:tcPr>
            <w:tcW w:type="dxa" w:w="800"/>
            <w:tcMar>
              <w:top w:type="dxa" w:w="60"/>
              <w:left w:type="dxa" w:w="100"/>
              <w:bottom w:type="dxa" w:w="60"/>
              <w:right w:type="dxa" w:w="100"/>
            </w:tcMar>
            <w:vAlign w:val="center"/>
          </w:tcPr>
          <w:p>
            <w:pPr>
              <w:jc w:val="center"/>
            </w:pPr>
            <w:r>
              <w:rPr>
                <w:sz w:val="20"/>
                <w:szCs w:val="20"/>
              </w:rPr>
              <w:t xml:space="preserve">3.59%</w:t>
            </w:r>
          </w:p>
        </w:tc>
        <w:tc>
          <w:tcPr>
            <w:tcW w:type="dxa" w:w="1800"/>
            <w:tcMar>
              <w:top w:type="dxa" w:w="60"/>
              <w:left w:type="dxa" w:w="100"/>
              <w:bottom w:type="dxa" w:w="60"/>
              <w:right w:type="dxa" w:w="100"/>
            </w:tcMar>
            <w:vAlign w:val="center"/>
          </w:tcPr>
          <w:p>
            <w:pPr>
              <w:jc w:val="center"/>
            </w:pPr>
            <w:r>
              <w:rPr>
                <w:sz w:val="20"/>
                <w:szCs w:val="20"/>
              </w:rPr>
              <w:t xml:space="preserve">326 / 16,214 (2.01%)</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0.95 F1 on TON_IoT, where Attack Recall drops by 1.6 points and FAR rises from 2.76% to 3.59%.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1300"/>
        <w:gridCol w:w="1200"/>
        <w:gridCol w:w="900"/>
        <w:gridCol w:w="1300"/>
        <w:gridCol w:w="12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missed of 85,173</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 missed of 16,214</w:t>
            </w:r>
          </w:p>
        </w:tc>
      </w:tr>
      <w:tr>
        <w:tc>
          <w:tcPr>
            <w:tcW w:type="dxa" w:w="3000"/>
            <w:tcMar>
              <w:top w:type="dxa" w:w="60"/>
              <w:left w:type="dxa" w:w="100"/>
              <w:bottom w:type="dxa" w:w="60"/>
              <w:right w:type="dxa" w:w="100"/>
            </w:tcMar>
            <w:vAlign w:val="center"/>
          </w:tcPr>
          <w:p>
            <w:pPr>
              <w:jc w:val="left"/>
            </w:pPr>
            <w:r>
              <w:rPr>
                <w:sz w:val="20"/>
                <w:szCs w:val="20"/>
              </w:rPr>
              <w:t xml:space="preserve">FP32 federated model (TFLite)</w:t>
            </w:r>
          </w:p>
        </w:tc>
        <w:tc>
          <w:tcPr>
            <w:tcW w:type="dxa" w:w="900"/>
            <w:tcMar>
              <w:top w:type="dxa" w:w="60"/>
              <w:left w:type="dxa" w:w="100"/>
              <w:bottom w:type="dxa" w:w="60"/>
              <w:right w:type="dxa" w:w="100"/>
            </w:tcMar>
            <w:vAlign w:val="center"/>
          </w:tcPr>
          <w:p>
            <w:pPr>
              <w:jc w:val="center"/>
            </w:pPr>
            <w:r>
              <w:rPr>
                <w:sz w:val="20"/>
                <w:szCs w:val="20"/>
              </w:rPr>
              <w:t xml:space="preserve">802.5 KB</w:t>
            </w:r>
          </w:p>
        </w:tc>
        <w:tc>
          <w:tcPr>
            <w:tcW w:type="dxa" w:w="1300"/>
            <w:tcMar>
              <w:top w:type="dxa" w:w="60"/>
              <w:left w:type="dxa" w:w="100"/>
              <w:bottom w:type="dxa" w:w="60"/>
              <w:right w:type="dxa" w:w="100"/>
            </w:tcMar>
            <w:vAlign w:val="center"/>
          </w:tcPr>
          <w:p>
            <w:pPr>
              <w:jc w:val="center"/>
            </w:pPr>
            <w:r>
              <w:rPr>
                <w:sz w:val="20"/>
                <w:szCs w:val="20"/>
              </w:rPr>
              <w:t xml:space="preserve">85.70 / 6.84%</w:t>
            </w:r>
          </w:p>
        </w:tc>
        <w:tc>
          <w:tcPr>
            <w:tcW w:type="dxa" w:w="1200"/>
            <w:tcMar>
              <w:top w:type="dxa" w:w="60"/>
              <w:left w:type="dxa" w:w="100"/>
              <w:bottom w:type="dxa" w:w="60"/>
              <w:right w:type="dxa" w:w="100"/>
            </w:tcMar>
            <w:vAlign w:val="center"/>
          </w:tcPr>
          <w:p>
            <w:pPr>
              <w:jc w:val="center"/>
            </w:pPr>
            <w:r>
              <w:rPr>
                <w:sz w:val="20"/>
                <w:szCs w:val="20"/>
              </w:rPr>
              <w:t xml:space="preserve">52 (0.061%)</w:t>
            </w:r>
          </w:p>
        </w:tc>
        <w:tc>
          <w:tcPr>
            <w:tcW w:type="dxa" w:w="900"/>
            <w:tcMar>
              <w:top w:type="dxa" w:w="60"/>
              <w:left w:type="dxa" w:w="100"/>
              <w:bottom w:type="dxa" w:w="60"/>
              <w:right w:type="dxa" w:w="100"/>
            </w:tcMar>
            <w:vAlign w:val="center"/>
          </w:tcPr>
          <w:p>
            <w:pPr>
              <w:jc w:val="center"/>
            </w:pPr>
            <w:r>
              <w:rPr>
                <w:sz w:val="20"/>
                <w:szCs w:val="20"/>
              </w:rPr>
              <w:t xml:space="preserve">720.6 KB</w:t>
            </w:r>
          </w:p>
        </w:tc>
        <w:tc>
          <w:tcPr>
            <w:tcW w:type="dxa" w:w="1300"/>
            <w:tcMar>
              <w:top w:type="dxa" w:w="60"/>
              <w:left w:type="dxa" w:w="100"/>
              <w:bottom w:type="dxa" w:w="60"/>
              <w:right w:type="dxa" w:w="100"/>
            </w:tcMar>
            <w:vAlign w:val="center"/>
          </w:tcPr>
          <w:p>
            <w:pPr>
              <w:jc w:val="center"/>
            </w:pPr>
            <w:r>
              <w:rPr>
                <w:sz w:val="20"/>
                <w:szCs w:val="20"/>
              </w:rPr>
              <w:t xml:space="preserve">99.40 / 2.76%</w:t>
            </w:r>
          </w:p>
        </w:tc>
        <w:tc>
          <w:tcPr>
            <w:tcW w:type="dxa" w:w="1200"/>
            <w:tcMar>
              <w:top w:type="dxa" w:w="60"/>
              <w:left w:type="dxa" w:w="100"/>
              <w:bottom w:type="dxa" w:w="60"/>
              <w:right w:type="dxa" w:w="100"/>
            </w:tcMar>
            <w:vAlign w:val="center"/>
          </w:tcPr>
          <w:p>
            <w:pPr>
              <w:jc w:val="center"/>
            </w:pPr>
            <w:r>
              <w:rPr>
                <w:sz w:val="20"/>
                <w:szCs w:val="20"/>
              </w:rPr>
              <w:t xml:space="preserve">61 (0.38%)</w:t>
            </w:r>
          </w:p>
        </w:tc>
      </w:tr>
      <w:tr>
        <w:tc>
          <w:tcPr>
            <w:tcW w:type="dxa" w:w="3000"/>
            <w:tcMar>
              <w:top w:type="dxa" w:w="60"/>
              <w:left w:type="dxa" w:w="100"/>
              <w:bottom w:type="dxa" w:w="60"/>
              <w:right w:type="dxa" w:w="100"/>
            </w:tcMar>
            <w:vAlign w:val="center"/>
          </w:tcPr>
          <w:p>
            <w:pPr>
              <w:jc w:val="left"/>
            </w:pPr>
            <w:r>
              <w:rPr>
                <w:sz w:val="20"/>
                <w:szCs w:val="20"/>
              </w:rPr>
              <w:t xml:space="preserve">INT8 PTQ only (no pruning)</w:t>
            </w:r>
          </w:p>
        </w:tc>
        <w:tc>
          <w:tcPr>
            <w:tcW w:type="dxa" w:w="900"/>
            <w:tcMar>
              <w:top w:type="dxa" w:w="60"/>
              <w:left w:type="dxa" w:w="100"/>
              <w:bottom w:type="dxa" w:w="60"/>
              <w:right w:type="dxa" w:w="100"/>
            </w:tcMar>
            <w:vAlign w:val="center"/>
          </w:tcPr>
          <w:p>
            <w:pPr>
              <w:jc w:val="center"/>
            </w:pPr>
            <w:r>
              <w:rPr>
                <w:sz w:val="20"/>
                <w:szCs w:val="20"/>
              </w:rPr>
              <w:t xml:space="preserve">226.9 KB</w:t>
            </w:r>
          </w:p>
        </w:tc>
        <w:tc>
          <w:tcPr>
            <w:tcW w:type="dxa" w:w="1300"/>
            <w:tcMar>
              <w:top w:type="dxa" w:w="60"/>
              <w:left w:type="dxa" w:w="100"/>
              <w:bottom w:type="dxa" w:w="60"/>
              <w:right w:type="dxa" w:w="100"/>
            </w:tcMar>
            <w:vAlign w:val="center"/>
          </w:tcPr>
          <w:p>
            <w:pPr>
              <w:jc w:val="center"/>
            </w:pPr>
            <w:r>
              <w:rPr>
                <w:sz w:val="20"/>
                <w:szCs w:val="20"/>
              </w:rPr>
              <w:t xml:space="preserve">84.75 / 7.37%</w:t>
            </w:r>
          </w:p>
        </w:tc>
        <w:tc>
          <w:tcPr>
            <w:tcW w:type="dxa" w:w="1200"/>
            <w:tcMar>
              <w:top w:type="dxa" w:w="60"/>
              <w:left w:type="dxa" w:w="100"/>
              <w:bottom w:type="dxa" w:w="60"/>
              <w:right w:type="dxa" w:w="100"/>
            </w:tcMar>
            <w:vAlign w:val="center"/>
          </w:tcPr>
          <w:p>
            <w:pPr>
              <w:jc w:val="center"/>
            </w:pPr>
            <w:r>
              <w:rPr>
                <w:sz w:val="20"/>
                <w:szCs w:val="20"/>
              </w:rPr>
              <w:t xml:space="preserve">74 (0.087%)</w:t>
            </w:r>
          </w:p>
        </w:tc>
        <w:tc>
          <w:tcPr>
            <w:tcW w:type="dxa" w:w="900"/>
            <w:tcMar>
              <w:top w:type="dxa" w:w="60"/>
              <w:left w:type="dxa" w:w="100"/>
              <w:bottom w:type="dxa" w:w="60"/>
              <w:right w:type="dxa" w:w="100"/>
            </w:tcMar>
            <w:vAlign w:val="center"/>
          </w:tcPr>
          <w:p>
            <w:pPr>
              <w:jc w:val="center"/>
            </w:pPr>
            <w:r>
              <w:rPr>
                <w:sz w:val="20"/>
                <w:szCs w:val="20"/>
              </w:rPr>
              <w:t xml:space="preserve">206.4 KB</w:t>
            </w:r>
          </w:p>
        </w:tc>
        <w:tc>
          <w:tcPr>
            <w:tcW w:type="dxa" w:w="1300"/>
            <w:tcMar>
              <w:top w:type="dxa" w:w="60"/>
              <w:left w:type="dxa" w:w="100"/>
              <w:bottom w:type="dxa" w:w="60"/>
              <w:right w:type="dxa" w:w="100"/>
            </w:tcMar>
            <w:vAlign w:val="center"/>
          </w:tcPr>
          <w:p>
            <w:pPr>
              <w:jc w:val="center"/>
            </w:pPr>
            <w:r>
              <w:rPr>
                <w:sz w:val="20"/>
                <w:szCs w:val="20"/>
              </w:rPr>
              <w:t xml:space="preserve">98.38 / 2.70%</w:t>
            </w:r>
          </w:p>
        </w:tc>
        <w:tc>
          <w:tcPr>
            <w:tcW w:type="dxa" w:w="1200"/>
            <w:tcMar>
              <w:top w:type="dxa" w:w="60"/>
              <w:left w:type="dxa" w:w="100"/>
              <w:bottom w:type="dxa" w:w="60"/>
              <w:right w:type="dxa" w:w="100"/>
            </w:tcMar>
            <w:vAlign w:val="center"/>
          </w:tcPr>
          <w:p>
            <w:pPr>
              <w:jc w:val="center"/>
            </w:pPr>
            <w:r>
              <w:rPr>
                <w:sz w:val="20"/>
                <w:szCs w:val="20"/>
              </w:rPr>
              <w:t xml:space="preserve">392 (2.42%)</w:t>
            </w:r>
          </w:p>
        </w:tc>
      </w:tr>
      <w:tr>
        <w:tc>
          <w:tcPr>
            <w:tcW w:type="dxa" w:w="3000"/>
            <w:tcMar>
              <w:top w:type="dxa" w:w="60"/>
              <w:left w:type="dxa" w:w="100"/>
              <w:bottom w:type="dxa" w:w="60"/>
              <w:right w:type="dxa" w:w="100"/>
            </w:tcMar>
            <w:vAlign w:val="center"/>
          </w:tcPr>
          <w:p>
            <w:pPr>
              <w:jc w:val="left"/>
            </w:pPr>
            <w:r>
              <w:rPr>
                <w:sz w:val="20"/>
                <w:szCs w:val="20"/>
              </w:rPr>
              <w:t xml:space="preserve">Prune 50%, no fine-tuning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42.28 / 56.04%</w:t>
            </w:r>
          </w:p>
        </w:tc>
        <w:tc>
          <w:tcPr>
            <w:tcW w:type="dxa" w:w="1200"/>
            <w:tcMar>
              <w:top w:type="dxa" w:w="60"/>
              <w:left w:type="dxa" w:w="100"/>
              <w:bottom w:type="dxa" w:w="60"/>
              <w:right w:type="dxa" w:w="100"/>
            </w:tcMar>
            <w:vAlign w:val="center"/>
          </w:tcPr>
          <w:p>
            <w:pPr>
              <w:jc w:val="center"/>
            </w:pPr>
            <w:r>
              <w:rPr>
                <w:sz w:val="20"/>
                <w:szCs w:val="20"/>
              </w:rPr>
              <w:t xml:space="preserve">46 (0.054%)</w:t>
            </w:r>
          </w:p>
        </w:tc>
        <w:tc>
          <w:tcPr>
            <w:tcW w:type="dxa" w:w="900"/>
            <w:tcMar>
              <w:top w:type="dxa" w:w="60"/>
              <w:left w:type="dxa" w:w="100"/>
              <w:bottom w:type="dxa" w:w="60"/>
              <w:right w:type="dxa" w:w="100"/>
            </w:tcMar>
            <w:vAlign w:val="center"/>
          </w:tcPr>
          <w:p>
            <w:pPr>
              <w:jc w:val="center"/>
            </w:pPr>
            <w:r>
              <w:rPr>
                <w:sz w:val="20"/>
                <w:szCs w:val="20"/>
              </w:rPr>
              <w:t xml:space="preserve">64.9 KB</w:t>
            </w:r>
          </w:p>
        </w:tc>
        <w:tc>
          <w:tcPr>
            <w:tcW w:type="dxa" w:w="1300"/>
            <w:tcMar>
              <w:top w:type="dxa" w:w="60"/>
              <w:left w:type="dxa" w:w="100"/>
              <w:bottom w:type="dxa" w:w="60"/>
              <w:right w:type="dxa" w:w="100"/>
            </w:tcMar>
            <w:vAlign w:val="center"/>
          </w:tcPr>
          <w:p>
            <w:pPr>
              <w:jc w:val="center"/>
            </w:pPr>
            <w:r>
              <w:rPr>
                <w:sz w:val="20"/>
                <w:szCs w:val="20"/>
              </w:rPr>
              <w:t xml:space="preserve">96.78 / 18.15%</w:t>
            </w:r>
          </w:p>
        </w:tc>
        <w:tc>
          <w:tcPr>
            <w:tcW w:type="dxa" w:w="1200"/>
            <w:tcMar>
              <w:top w:type="dxa" w:w="60"/>
              <w:left w:type="dxa" w:w="100"/>
              <w:bottom w:type="dxa" w:w="60"/>
              <w:right w:type="dxa" w:w="100"/>
            </w:tcMar>
            <w:vAlign w:val="center"/>
          </w:tcPr>
          <w:p>
            <w:pPr>
              <w:jc w:val="center"/>
            </w:pPr>
            <w:r>
              <w:rPr>
                <w:sz w:val="20"/>
                <w:szCs w:val="20"/>
              </w:rPr>
              <w:t xml:space="preserve">192 (1.18%)</w:t>
            </w:r>
          </w:p>
        </w:tc>
      </w:tr>
      <w:tr>
        <w:tc>
          <w:tcPr>
            <w:tcW w:type="dxa" w:w="3000"/>
            <w:tcMar>
              <w:top w:type="dxa" w:w="60"/>
              <w:left w:type="dxa" w:w="100"/>
              <w:bottom w:type="dxa" w:w="60"/>
              <w:right w:type="dxa" w:w="100"/>
            </w:tcMar>
            <w:vAlign w:val="center"/>
          </w:tcPr>
          <w:p>
            <w:pPr>
              <w:jc w:val="left"/>
            </w:pPr>
            <w:r>
              <w:rPr>
                <w:sz w:val="20"/>
                <w:szCs w:val="20"/>
              </w:rPr>
              <w:t xml:space="preserve">Prune 50% → client FT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86.90 / 6.08%</w:t>
            </w:r>
          </w:p>
        </w:tc>
        <w:tc>
          <w:tcPr>
            <w:tcW w:type="dxa" w:w="1200"/>
            <w:tcMar>
              <w:top w:type="dxa" w:w="60"/>
              <w:left w:type="dxa" w:w="100"/>
              <w:bottom w:type="dxa" w:w="60"/>
              <w:right w:type="dxa" w:w="100"/>
            </w:tcMar>
            <w:vAlign w:val="center"/>
          </w:tcPr>
          <w:p>
            <w:pPr>
              <w:jc w:val="center"/>
            </w:pPr>
            <w:r>
              <w:rPr>
                <w:sz w:val="20"/>
                <w:szCs w:val="20"/>
              </w:rPr>
              <w:t xml:space="preserve">346 (0.41%)</w:t>
            </w:r>
          </w:p>
        </w:tc>
        <w:tc>
          <w:tcPr>
            <w:tcW w:type="dxa" w:w="900"/>
            <w:tcMar>
              <w:top w:type="dxa" w:w="60"/>
              <w:left w:type="dxa" w:w="100"/>
              <w:bottom w:type="dxa" w:w="60"/>
              <w:right w:type="dxa" w:w="100"/>
            </w:tcMar>
            <w:vAlign w:val="center"/>
          </w:tcPr>
          <w:p>
            <w:pPr>
              <w:jc w:val="center"/>
            </w:pPr>
            <w:r>
              <w:rPr>
                <w:sz w:val="20"/>
                <w:szCs w:val="20"/>
              </w:rPr>
              <w:t xml:space="preserve">64.9 KB</w:t>
            </w:r>
          </w:p>
        </w:tc>
        <w:tc>
          <w:tcPr>
            <w:tcW w:type="dxa" w:w="1300"/>
            <w:tcMar>
              <w:top w:type="dxa" w:w="60"/>
              <w:left w:type="dxa" w:w="100"/>
              <w:bottom w:type="dxa" w:w="60"/>
              <w:right w:type="dxa" w:w="100"/>
            </w:tcMar>
            <w:vAlign w:val="center"/>
          </w:tcPr>
          <w:p>
            <w:pPr>
              <w:jc w:val="center"/>
            </w:pPr>
            <w:r>
              <w:rPr>
                <w:sz w:val="20"/>
                <w:szCs w:val="20"/>
              </w:rPr>
              <w:t xml:space="preserve">90.50 / 14.00%</w:t>
            </w:r>
          </w:p>
        </w:tc>
        <w:tc>
          <w:tcPr>
            <w:tcW w:type="dxa" w:w="1200"/>
            <w:tcMar>
              <w:top w:type="dxa" w:w="60"/>
              <w:left w:type="dxa" w:w="100"/>
              <w:bottom w:type="dxa" w:w="60"/>
              <w:right w:type="dxa" w:w="100"/>
            </w:tcMar>
            <w:vAlign w:val="center"/>
          </w:tcPr>
          <w:p>
            <w:pPr>
              <w:jc w:val="center"/>
            </w:pPr>
            <w:r>
              <w:rPr>
                <w:sz w:val="20"/>
                <w:szCs w:val="20"/>
              </w:rPr>
              <w:t xml:space="preserve">2,255 (13.91%)</w:t>
            </w:r>
          </w:p>
        </w:tc>
      </w:tr>
      <w:tr>
        <w:tc>
          <w:tcPr>
            <w:tcW w:type="dxa" w:w="3000"/>
            <w:tcMar>
              <w:top w:type="dxa" w:w="60"/>
              <w:left w:type="dxa" w:w="100"/>
              <w:bottom w:type="dxa" w:w="60"/>
              <w:right w:type="dxa" w:w="100"/>
            </w:tcMar>
            <w:vAlign w:val="center"/>
          </w:tcPr>
          <w:p>
            <w:pPr>
              <w:jc w:val="left"/>
            </w:pPr>
            <w:r>
              <w:rPr>
                <w:sz w:val="20"/>
                <w:szCs w:val="20"/>
              </w:rPr>
              <w:t xml:space="preserve">Prune 50% → client FT → QAT FT → INT8 (deployed)</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85.59 / 6.82%</w:t>
            </w:r>
          </w:p>
        </w:tc>
        <w:tc>
          <w:tcPr>
            <w:tcW w:type="dxa" w:w="1200"/>
            <w:tcMar>
              <w:top w:type="dxa" w:w="60"/>
              <w:left w:type="dxa" w:w="100"/>
              <w:bottom w:type="dxa" w:w="60"/>
              <w:right w:type="dxa" w:w="100"/>
            </w:tcMar>
            <w:vAlign w:val="center"/>
          </w:tcPr>
          <w:p>
            <w:pPr>
              <w:jc w:val="center"/>
            </w:pPr>
            <w:r>
              <w:rPr>
                <w:sz w:val="20"/>
                <w:szCs w:val="20"/>
              </w:rPr>
              <w:t xml:space="preserve">291 (0.34%)</w:t>
            </w:r>
          </w:p>
        </w:tc>
        <w:tc>
          <w:tcPr>
            <w:tcW w:type="dxa" w:w="900"/>
            <w:tcMar>
              <w:top w:type="dxa" w:w="60"/>
              <w:left w:type="dxa" w:w="100"/>
              <w:bottom w:type="dxa" w:w="60"/>
              <w:right w:type="dxa" w:w="100"/>
            </w:tcMar>
            <w:vAlign w:val="center"/>
          </w:tcPr>
          <w:p>
            <w:pPr>
              <w:jc w:val="center"/>
            </w:pPr>
            <w:r>
              <w:rPr>
                <w:sz w:val="20"/>
                <w:szCs w:val="20"/>
              </w:rPr>
              <w:t xml:space="preserve">55.2 KB</w:t>
            </w:r>
          </w:p>
        </w:tc>
        <w:tc>
          <w:tcPr>
            <w:tcW w:type="dxa" w:w="1300"/>
            <w:tcMar>
              <w:top w:type="dxa" w:w="60"/>
              <w:left w:type="dxa" w:w="100"/>
              <w:bottom w:type="dxa" w:w="60"/>
              <w:right w:type="dxa" w:w="100"/>
            </w:tcMar>
            <w:vAlign w:val="center"/>
          </w:tcPr>
          <w:p>
            <w:pPr>
              <w:jc w:val="center"/>
            </w:pPr>
            <w:r>
              <w:rPr>
                <w:sz w:val="20"/>
                <w:szCs w:val="20"/>
              </w:rPr>
              <w:t xml:space="preserve">98.74 / 2.88%</w:t>
            </w:r>
          </w:p>
        </w:tc>
        <w:tc>
          <w:tcPr>
            <w:tcW w:type="dxa" w:w="1200"/>
            <w:tcMar>
              <w:top w:type="dxa" w:w="60"/>
              <w:left w:type="dxa" w:w="100"/>
              <w:bottom w:type="dxa" w:w="60"/>
              <w:right w:type="dxa" w:w="100"/>
            </w:tcMar>
            <w:vAlign w:val="center"/>
          </w:tcPr>
          <w:p>
            <w:pPr>
              <w:jc w:val="center"/>
            </w:pPr>
            <w:r>
              <w:rPr>
                <w:sz w:val="20"/>
                <w:szCs w:val="20"/>
              </w:rPr>
              <w:t xml:space="preserve">268 (1.65%)</w:t>
            </w:r>
          </w:p>
        </w:tc>
      </w:tr>
      <w:tr>
        <w:tc>
          <w:tcPr>
            <w:tcW w:type="dxa" w:w="30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90.72 / 2.98%</w:t>
            </w:r>
          </w:p>
        </w:tc>
        <w:tc>
          <w:tcPr>
            <w:tcW w:type="dxa" w:w="1200"/>
            <w:tcMar>
              <w:top w:type="dxa" w:w="60"/>
              <w:left w:type="dxa" w:w="100"/>
              <w:bottom w:type="dxa" w:w="60"/>
              <w:right w:type="dxa" w:w="100"/>
            </w:tcMar>
            <w:vAlign w:val="center"/>
          </w:tcPr>
          <w:p>
            <w:pPr>
              <w:jc w:val="center"/>
            </w:pPr>
            <w:r>
              <w:rPr>
                <w:sz w:val="20"/>
                <w:szCs w:val="20"/>
              </w:rPr>
              <w:t xml:space="preserve">4,216 (4.95%)</w:t>
            </w:r>
          </w:p>
        </w:tc>
        <w:tc>
          <w:tcPr>
            <w:tcW w:type="dxa" w:w="900"/>
            <w:tcMar>
              <w:top w:type="dxa" w:w="60"/>
              <w:left w:type="dxa" w:w="100"/>
              <w:bottom w:type="dxa" w:w="60"/>
              <w:right w:type="dxa" w:w="100"/>
            </w:tcMar>
            <w:vAlign w:val="center"/>
          </w:tcPr>
          <w:p>
            <w:pPr>
              <w:jc w:val="center"/>
            </w:pPr>
            <w:r>
              <w:rPr>
                <w:sz w:val="20"/>
                <w:szCs w:val="20"/>
              </w:rPr>
              <w:t xml:space="preserve">55.2 KB</w:t>
            </w:r>
          </w:p>
        </w:tc>
        <w:tc>
          <w:tcPr>
            <w:tcW w:type="dxa" w:w="1300"/>
            <w:tcMar>
              <w:top w:type="dxa" w:w="60"/>
              <w:left w:type="dxa" w:w="100"/>
              <w:bottom w:type="dxa" w:w="60"/>
              <w:right w:type="dxa" w:w="100"/>
            </w:tcMar>
            <w:vAlign w:val="center"/>
          </w:tcPr>
          <w:p>
            <w:pPr>
              <w:jc w:val="center"/>
            </w:pPr>
            <w:r>
              <w:rPr>
                <w:sz w:val="20"/>
                <w:szCs w:val="20"/>
              </w:rPr>
              <w:t xml:space="preserve">99.17 / 3.28%</w:t>
            </w:r>
          </w:p>
        </w:tc>
        <w:tc>
          <w:tcPr>
            <w:tcW w:type="dxa" w:w="1200"/>
            <w:tcMar>
              <w:top w:type="dxa" w:w="60"/>
              <w:left w:type="dxa" w:w="100"/>
              <w:bottom w:type="dxa" w:w="60"/>
              <w:right w:type="dxa" w:w="100"/>
            </w:tcMar>
            <w:vAlign w:val="center"/>
          </w:tcPr>
          <w:p>
            <w:pPr>
              <w:jc w:val="center"/>
            </w:pPr>
            <w:r>
              <w:rPr>
                <w:sz w:val="20"/>
                <w:szCs w:val="20"/>
              </w:rPr>
              <w:t xml:space="preserve">111 (0.68%)</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18% on TON_IoT). With fine-tuning and QAT fine-tuning on one client's local data, the deployed INT8 model is 65.4 KB on CIC-IDS2017 (802.5 / 65.4 = 12.27×) and 55.2 KB on TON_IoT (13.05×), and it matches the float federated model (F1 85.59 vs. 85.70 and 98.74 vs. 99.40). The deployed CIC-IDS2017 model has 94.28% accuracy, 75.00% precision, and 99.66% Attack Recall. The QAT fine-tuning step matters on TON_IoT, where client-fine-tuned PTQ reaches only F1 90.50.</w:t>
      </w:r>
    </w:p>
    <w:p>
      <w:pPr>
        <w:spacing w:after="160"/>
      </w:pPr>
      <w:r>
        <w:t xml:space="preserve">Pooled fine-tuning scores higher on CIC-IDS2017 (F1 90.72), but only by shifting the operating point toward precision (FAR 2.98%): it misses 4,216 of 85,173 attacks (4.95%), against 291 for the deployed client-fine-tuned model.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1200"/>
        <w:gridCol w:w="900"/>
        <w:gridCol w:w="2000"/>
      </w:tblGrid>
      <w:tr>
        <w:trPr>
          <w:tblHeader/>
        </w:trPr>
        <w:tc>
          <w:tcPr>
            <w:tcW w:type="dxa" w:w="29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Deployed INT8 F1</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20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900"/>
            <w:tcMar>
              <w:top w:type="dxa" w:w="60"/>
              <w:left w:type="dxa" w:w="100"/>
              <w:bottom w:type="dxa" w:w="60"/>
              <w:right w:type="dxa" w:w="100"/>
            </w:tcMar>
            <w:vAlign w:val="center"/>
          </w:tcPr>
          <w:p>
            <w:pPr>
              <w:jc w:val="left"/>
            </w:pPr>
            <w:r>
              <w:rPr>
                <w:sz w:val="20"/>
                <w:szCs w:val="20"/>
              </w:rPr>
              <w:t xml:space="preserve">CIC-IDS2017 near-IID</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85.59</w:t>
            </w:r>
          </w:p>
        </w:tc>
        <w:tc>
          <w:tcPr>
            <w:tcW w:type="dxa" w:w="900"/>
            <w:tcMar>
              <w:top w:type="dxa" w:w="60"/>
              <w:left w:type="dxa" w:w="100"/>
              <w:bottom w:type="dxa" w:w="60"/>
              <w:right w:type="dxa" w:w="100"/>
            </w:tcMar>
            <w:vAlign w:val="center"/>
          </w:tcPr>
          <w:p>
            <w:pPr>
              <w:jc w:val="center"/>
            </w:pPr>
            <w:r>
              <w:rPr>
                <w:sz w:val="20"/>
                <w:szCs w:val="20"/>
              </w:rPr>
              <w:t xml:space="preserve">6.82%</w:t>
            </w:r>
          </w:p>
        </w:tc>
        <w:tc>
          <w:tcPr>
            <w:tcW w:type="dxa" w:w="2000"/>
            <w:tcMar>
              <w:top w:type="dxa" w:w="60"/>
              <w:left w:type="dxa" w:w="100"/>
              <w:bottom w:type="dxa" w:w="60"/>
              <w:right w:type="dxa" w:w="100"/>
            </w:tcMar>
            <w:vAlign w:val="center"/>
          </w:tcPr>
          <w:p>
            <w:pPr>
              <w:jc w:val="center"/>
            </w:pPr>
            <w:r>
              <w:rPr>
                <w:sz w:val="20"/>
                <w:szCs w:val="20"/>
              </w:rPr>
              <w:t xml:space="preserve">291 / 85,173 (0.34%)</w:t>
            </w:r>
          </w:p>
        </w:tc>
      </w:tr>
      <w:tr>
        <w:tc>
          <w:tcPr>
            <w:tcW w:type="dxa" w:w="2900"/>
            <w:tcMar>
              <w:top w:type="dxa" w:w="60"/>
              <w:left w:type="dxa" w:w="100"/>
              <w:bottom w:type="dxa" w:w="60"/>
              <w:right w:type="dxa" w:w="100"/>
            </w:tcMar>
            <w:vAlign w:val="center"/>
          </w:tcPr>
          <w:p>
            <w:pPr>
              <w:jc w:val="left"/>
            </w:pPr>
            <w:r>
              <w:rPr>
                <w:sz w:val="20"/>
                <w:szCs w:val="20"/>
              </w:rPr>
              <w:t xml:space="preserve">CIC-IDS2017 Dirichlet(0.3)</w:t>
            </w:r>
          </w:p>
        </w:tc>
        <w:tc>
          <w:tcPr>
            <w:tcW w:type="dxa" w:w="2300"/>
            <w:tcMar>
              <w:top w:type="dxa" w:w="60"/>
              <w:left w:type="dxa" w:w="100"/>
              <w:bottom w:type="dxa" w:w="60"/>
              <w:right w:type="dxa" w:w="100"/>
            </w:tcMar>
            <w:vAlign w:val="center"/>
          </w:tcPr>
          <w:p>
            <w:pPr>
              <w:jc w:val="center"/>
            </w:pPr>
            <w:r>
              <w:rPr>
                <w:sz w:val="20"/>
                <w:szCs w:val="20"/>
              </w:rPr>
              <w:t xml:space="preserve">client 3 (24.9%)</w:t>
            </w:r>
          </w:p>
        </w:tc>
        <w:tc>
          <w:tcPr>
            <w:tcW w:type="dxa" w:w="1200"/>
            <w:tcMar>
              <w:top w:type="dxa" w:w="60"/>
              <w:left w:type="dxa" w:w="100"/>
              <w:bottom w:type="dxa" w:w="60"/>
              <w:right w:type="dxa" w:w="100"/>
            </w:tcMar>
            <w:vAlign w:val="center"/>
          </w:tcPr>
          <w:p>
            <w:pPr>
              <w:jc w:val="center"/>
            </w:pPr>
            <w:r>
              <w:rPr>
                <w:sz w:val="20"/>
                <w:szCs w:val="20"/>
              </w:rPr>
              <w:t xml:space="preserve">91.08</w:t>
            </w:r>
          </w:p>
        </w:tc>
        <w:tc>
          <w:tcPr>
            <w:tcW w:type="dxa" w:w="900"/>
            <w:tcMar>
              <w:top w:type="dxa" w:w="60"/>
              <w:left w:type="dxa" w:w="100"/>
              <w:bottom w:type="dxa" w:w="60"/>
              <w:right w:type="dxa" w:w="100"/>
            </w:tcMar>
            <w:vAlign w:val="center"/>
          </w:tcPr>
          <w:p>
            <w:pPr>
              <w:jc w:val="center"/>
            </w:pPr>
            <w:r>
              <w:rPr>
                <w:sz w:val="20"/>
                <w:szCs w:val="20"/>
              </w:rPr>
              <w:t xml:space="preserve">2.75%</w:t>
            </w:r>
          </w:p>
        </w:tc>
        <w:tc>
          <w:tcPr>
            <w:tcW w:type="dxa" w:w="2000"/>
            <w:tcMar>
              <w:top w:type="dxa" w:w="60"/>
              <w:left w:type="dxa" w:w="100"/>
              <w:bottom w:type="dxa" w:w="60"/>
              <w:right w:type="dxa" w:w="100"/>
            </w:tcMar>
            <w:vAlign w:val="center"/>
          </w:tcPr>
          <w:p>
            <w:pPr>
              <w:jc w:val="center"/>
            </w:pPr>
            <w:r>
              <w:rPr>
                <w:sz w:val="20"/>
                <w:szCs w:val="20"/>
              </w:rPr>
              <w:t xml:space="preserve">4,415 / 85,173 (5.18%)</w:t>
            </w:r>
          </w:p>
        </w:tc>
      </w:tr>
      <w:tr>
        <w:tc>
          <w:tcPr>
            <w:tcW w:type="dxa" w:w="29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81.84</w:t>
            </w:r>
          </w:p>
        </w:tc>
        <w:tc>
          <w:tcPr>
            <w:tcW w:type="dxa" w:w="900"/>
            <w:tcMar>
              <w:top w:type="dxa" w:w="60"/>
              <w:left w:type="dxa" w:w="100"/>
              <w:bottom w:type="dxa" w:w="60"/>
              <w:right w:type="dxa" w:w="100"/>
            </w:tcMar>
            <w:vAlign w:val="center"/>
          </w:tcPr>
          <w:p>
            <w:pPr>
              <w:jc w:val="center"/>
            </w:pPr>
            <w:r>
              <w:rPr>
                <w:sz w:val="20"/>
                <w:szCs w:val="20"/>
              </w:rPr>
              <w:t xml:space="preserve">8.84%</w:t>
            </w:r>
          </w:p>
        </w:tc>
        <w:tc>
          <w:tcPr>
            <w:tcW w:type="dxa" w:w="2000"/>
            <w:tcMar>
              <w:top w:type="dxa" w:w="60"/>
              <w:left w:type="dxa" w:w="100"/>
              <w:bottom w:type="dxa" w:w="60"/>
              <w:right w:type="dxa" w:w="100"/>
            </w:tcMar>
            <w:vAlign w:val="center"/>
          </w:tcPr>
          <w:p>
            <w:pPr>
              <w:jc w:val="center"/>
            </w:pPr>
            <w:r>
              <w:rPr>
                <w:sz w:val="20"/>
                <w:szCs w:val="20"/>
              </w:rPr>
              <w:t xml:space="preserve">771 / 85,173 (0.91%)</w:t>
            </w:r>
          </w:p>
        </w:tc>
      </w:tr>
      <w:tr>
        <w:tc>
          <w:tcPr>
            <w:tcW w:type="dxa" w:w="2900"/>
            <w:tcMar>
              <w:top w:type="dxa" w:w="60"/>
              <w:left w:type="dxa" w:w="100"/>
              <w:bottom w:type="dxa" w:w="60"/>
              <w:right w:type="dxa" w:w="100"/>
            </w:tcMar>
            <w:vAlign w:val="center"/>
          </w:tcPr>
          <w:p>
            <w:pPr>
              <w:jc w:val="left"/>
            </w:pPr>
            <w:r>
              <w:rPr>
                <w:sz w:val="20"/>
                <w:szCs w:val="20"/>
              </w:rPr>
              <w:t xml:space="preserve">TON_IoT near-IID</w:t>
            </w:r>
          </w:p>
        </w:tc>
        <w:tc>
          <w:tcPr>
            <w:tcW w:type="dxa" w:w="2300"/>
            <w:tcMar>
              <w:top w:type="dxa" w:w="60"/>
              <w:left w:type="dxa" w:w="100"/>
              <w:bottom w:type="dxa" w:w="60"/>
              <w:right w:type="dxa" w:w="100"/>
            </w:tcMar>
            <w:vAlign w:val="center"/>
          </w:tcPr>
          <w:p>
            <w:pPr>
              <w:jc w:val="center"/>
            </w:pPr>
            <w:r>
              <w:rPr>
                <w:sz w:val="20"/>
                <w:szCs w:val="20"/>
              </w:rPr>
              <w:t xml:space="preserve">client 0 (50.1%)</w:t>
            </w:r>
          </w:p>
        </w:tc>
        <w:tc>
          <w:tcPr>
            <w:tcW w:type="dxa" w:w="1200"/>
            <w:tcMar>
              <w:top w:type="dxa" w:w="60"/>
              <w:left w:type="dxa" w:w="100"/>
              <w:bottom w:type="dxa" w:w="60"/>
              <w:right w:type="dxa" w:w="100"/>
            </w:tcMar>
            <w:vAlign w:val="center"/>
          </w:tcPr>
          <w:p>
            <w:pPr>
              <w:jc w:val="center"/>
            </w:pPr>
            <w:r>
              <w:rPr>
                <w:sz w:val="20"/>
                <w:szCs w:val="20"/>
              </w:rPr>
              <w:t xml:space="preserve">98.74</w:t>
            </w:r>
          </w:p>
        </w:tc>
        <w:tc>
          <w:tcPr>
            <w:tcW w:type="dxa" w:w="900"/>
            <w:tcMar>
              <w:top w:type="dxa" w:w="60"/>
              <w:left w:type="dxa" w:w="100"/>
              <w:bottom w:type="dxa" w:w="60"/>
              <w:right w:type="dxa" w:w="100"/>
            </w:tcMar>
            <w:vAlign w:val="center"/>
          </w:tcPr>
          <w:p>
            <w:pPr>
              <w:jc w:val="center"/>
            </w:pPr>
            <w:r>
              <w:rPr>
                <w:sz w:val="20"/>
                <w:szCs w:val="20"/>
              </w:rPr>
              <w:t xml:space="preserve">2.88%</w:t>
            </w:r>
          </w:p>
        </w:tc>
        <w:tc>
          <w:tcPr>
            <w:tcW w:type="dxa" w:w="2000"/>
            <w:tcMar>
              <w:top w:type="dxa" w:w="60"/>
              <w:left w:type="dxa" w:w="100"/>
              <w:bottom w:type="dxa" w:w="60"/>
              <w:right w:type="dxa" w:w="100"/>
            </w:tcMar>
            <w:vAlign w:val="center"/>
          </w:tcPr>
          <w:p>
            <w:pPr>
              <w:jc w:val="center"/>
            </w:pPr>
            <w:r>
              <w:rPr>
                <w:sz w:val="20"/>
                <w:szCs w:val="20"/>
              </w:rPr>
              <w:t xml:space="preserve">268 / 16,214 (1.65%)</w:t>
            </w:r>
          </w:p>
        </w:tc>
      </w:tr>
      <w:tr>
        <w:tc>
          <w:tcPr>
            <w:tcW w:type="dxa" w:w="2900"/>
            <w:tcMar>
              <w:top w:type="dxa" w:w="60"/>
              <w:left w:type="dxa" w:w="100"/>
              <w:bottom w:type="dxa" w:w="60"/>
              <w:right w:type="dxa" w:w="100"/>
            </w:tcMar>
            <w:vAlign w:val="center"/>
          </w:tcPr>
          <w:p>
            <w:pPr>
              <w:jc w:val="left"/>
            </w:pPr>
            <w:r>
              <w:rPr>
                <w:sz w:val="20"/>
                <w:szCs w:val="20"/>
              </w:rPr>
              <w:t xml:space="preserve">TON_IoT Dirichlet(0.3)</w:t>
            </w:r>
          </w:p>
        </w:tc>
        <w:tc>
          <w:tcPr>
            <w:tcW w:type="dxa" w:w="2300"/>
            <w:tcMar>
              <w:top w:type="dxa" w:w="60"/>
              <w:left w:type="dxa" w:w="100"/>
              <w:bottom w:type="dxa" w:w="60"/>
              <w:right w:type="dxa" w:w="100"/>
            </w:tcMar>
            <w:vAlign w:val="center"/>
          </w:tcPr>
          <w:p>
            <w:pPr>
              <w:jc w:val="center"/>
            </w:pPr>
            <w:r>
              <w:rPr>
                <w:sz w:val="20"/>
                <w:szCs w:val="20"/>
              </w:rPr>
              <w:t xml:space="preserve">client 2 (65.5%)</w:t>
            </w:r>
          </w:p>
        </w:tc>
        <w:tc>
          <w:tcPr>
            <w:tcW w:type="dxa" w:w="1200"/>
            <w:tcMar>
              <w:top w:type="dxa" w:w="60"/>
              <w:left w:type="dxa" w:w="100"/>
              <w:bottom w:type="dxa" w:w="60"/>
              <w:right w:type="dxa" w:w="100"/>
            </w:tcMar>
            <w:vAlign w:val="center"/>
          </w:tcPr>
          <w:p>
            <w:pPr>
              <w:jc w:val="center"/>
            </w:pPr>
            <w:r>
              <w:rPr>
                <w:sz w:val="20"/>
                <w:szCs w:val="20"/>
              </w:rPr>
              <w:t xml:space="preserve">98.72</w:t>
            </w:r>
          </w:p>
        </w:tc>
        <w:tc>
          <w:tcPr>
            <w:tcW w:type="dxa" w:w="900"/>
            <w:tcMar>
              <w:top w:type="dxa" w:w="60"/>
              <w:left w:type="dxa" w:w="100"/>
              <w:bottom w:type="dxa" w:w="60"/>
              <w:right w:type="dxa" w:w="100"/>
            </w:tcMar>
            <w:vAlign w:val="center"/>
          </w:tcPr>
          <w:p>
            <w:pPr>
              <w:jc w:val="center"/>
            </w:pPr>
            <w:r>
              <w:rPr>
                <w:sz w:val="20"/>
                <w:szCs w:val="20"/>
              </w:rPr>
              <w:t xml:space="preserve">3.11%</w:t>
            </w:r>
          </w:p>
        </w:tc>
        <w:tc>
          <w:tcPr>
            <w:tcW w:type="dxa" w:w="2000"/>
            <w:tcMar>
              <w:top w:type="dxa" w:w="60"/>
              <w:left w:type="dxa" w:w="100"/>
              <w:bottom w:type="dxa" w:w="60"/>
              <w:right w:type="dxa" w:w="100"/>
            </w:tcMar>
            <w:vAlign w:val="center"/>
          </w:tcPr>
          <w:p>
            <w:pPr>
              <w:jc w:val="center"/>
            </w:pPr>
            <w:r>
              <w:rPr>
                <w:sz w:val="20"/>
                <w:szCs w:val="20"/>
              </w:rPr>
              <w:t xml:space="preserve">264 / 16,214 (1.63%)</w:t>
            </w:r>
          </w:p>
        </w:tc>
      </w:tr>
    </w:tbl>
    <w:p>
      <w:pPr>
        <w:spacing w:after="240" w:before="80"/>
      </w:pPr>
      <w:r>
        <w:rPr>
          <w:i/>
          <w:iCs/>
          <w:sz w:val="20"/>
          <w:szCs w:val="20"/>
        </w:rPr>
        <w:t xml:space="preserve">Table 4. Deployed-model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highest F1 we observed (91.08, FAR 2.75%), but it misses 4,415 of 85,173 attacks (5.18%), fifteen times as many as the near-IID model fine-tuned on a 50%-attack client (291).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steadily degrades the TON_IoT model. With client fine-tuning, CIC-IDS2017 degrades gracefully: 30% pruning (112–126 KB) gives F1 87.6–89.7, 70% pruning (31 KB, 26×) gives 84.4–85.0, 85% (14 KB, 57×) gives 81.3–82.9, and 90% (9.9 KB, 81×) gives 78.0. PTQ and QAT fine-tuning track each other closely. On TON_IoT, client fine-tuning + QAT holds F1 between 98.6 and 98.9 all the way to 90% pruning (7.9 KB, 91× smaller than FP32), whereas client fine-tuning + PTQ fluctuates between 90.5 and 98.4.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deployed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98.22%, F1 98.84).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deployed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99.2%</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97.5%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86.1%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(deployed)</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56.2%</w:t>
            </w:r>
          </w:p>
        </w:tc>
        <w:tc>
          <w:tcPr>
            <w:tcW w:type="dxa" w:w="950"/>
            <w:tcMar>
              <w:top w:type="dxa" w:w="60"/>
              <w:left w:type="dxa" w:w="100"/>
              <w:bottom w:type="dxa" w:w="60"/>
              <w:right w:type="dxa" w:w="100"/>
            </w:tcMar>
            <w:vAlign w:val="center"/>
          </w:tcPr>
          <w:p>
            <w:pPr>
              <w:jc w:val="center"/>
            </w:pPr>
            <w:r>
              <w:rPr>
                <w:sz w:val="20"/>
                <w:szCs w:val="20"/>
              </w:rPr>
              <w:t xml:space="preserve">55.6%</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For the deployed CIC-IDS2017 model (65.4 KB INT8), 99.66% Attack Recall means 0.34% of attack flows are missed (291 of 85,173 test attacks). The 6.82% FAR means about one in fifteen benign flows raises an alert. For the deployed TON_IoT model, 1.65% of attacks are missed (268 of 16,214) and 2.88% of benign records are flagged. The fixed 0.3 threshold deliberately favours recall. A deployment that must miss as few attacks as possible should instead pick the threshold on held-out data for a target recall: Section 5.13 shows that the 65 KB model can then miss 27 of 85,173 attacks (FP32 model at 0.3: 52) at an 11.3% FAR. Section 5.4 shows that the fine-tuning client's class mix shifts this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721 KB · 99.40</w:t>
            </w:r>
          </w:p>
        </w:tc>
        <w:tc>
          <w:tcPr>
            <w:tcW w:type="dxa" w:w="1450"/>
            <w:tcMar>
              <w:top w:type="dxa" w:w="60"/>
              <w:left w:type="dxa" w:w="100"/>
              <w:bottom w:type="dxa" w:w="60"/>
              <w:right w:type="dxa" w:w="100"/>
            </w:tcMar>
            <w:vAlign w:val="center"/>
          </w:tcPr>
          <w:p>
            <w:pPr>
              <w:jc w:val="center"/>
            </w:pPr>
            <w:r>
              <w:rPr>
                <w:sz w:val="20"/>
                <w:szCs w:val="20"/>
              </w:rPr>
              <w:t xml:space="preserve">202 KB · 99.35</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196 KB · 99.40</w:t>
            </w:r>
          </w:p>
        </w:tc>
        <w:tc>
          <w:tcPr>
            <w:tcW w:type="dxa" w:w="1450"/>
            <w:tcMar>
              <w:top w:type="dxa" w:w="60"/>
              <w:left w:type="dxa" w:w="100"/>
              <w:bottom w:type="dxa" w:w="60"/>
              <w:right w:type="dxa" w:w="100"/>
            </w:tcMar>
            <w:vAlign w:val="center"/>
          </w:tcPr>
          <w:p>
            <w:pPr>
              <w:jc w:val="center"/>
            </w:pPr>
            <w:r>
              <w:rPr>
                <w:sz w:val="20"/>
                <w:szCs w:val="20"/>
              </w:rPr>
              <w:t xml:space="preserve">59 KB · 99.35</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363 KB · 99.40</w:t>
            </w:r>
          </w:p>
        </w:tc>
        <w:tc>
          <w:tcPr>
            <w:tcW w:type="dxa" w:w="1450"/>
            <w:tcMar>
              <w:top w:type="dxa" w:w="60"/>
              <w:left w:type="dxa" w:w="100"/>
              <w:bottom w:type="dxa" w:w="60"/>
              <w:right w:type="dxa" w:w="100"/>
            </w:tcMar>
            <w:vAlign w:val="center"/>
          </w:tcPr>
          <w:p>
            <w:pPr>
              <w:jc w:val="center"/>
            </w:pPr>
            <w:r>
              <w:rPr>
                <w:sz w:val="20"/>
                <w:szCs w:val="20"/>
              </w:rPr>
              <w:t xml:space="preserve">103 KB · 99.35</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206 KB · 91.24</w:t>
            </w:r>
          </w:p>
        </w:tc>
        <w:tc>
          <w:tcPr>
            <w:tcW w:type="dxa" w:w="1450"/>
            <w:tcMar>
              <w:top w:type="dxa" w:w="60"/>
              <w:left w:type="dxa" w:w="100"/>
              <w:bottom w:type="dxa" w:w="60"/>
              <w:right w:type="dxa" w:w="100"/>
            </w:tcMar>
            <w:vAlign w:val="center"/>
          </w:tcPr>
          <w:p>
            <w:pPr>
              <w:jc w:val="center"/>
            </w:pPr>
            <w:r>
              <w:rPr>
                <w:sz w:val="20"/>
                <w:szCs w:val="20"/>
              </w:rPr>
              <w:t xml:space="preserve">65 KB · 90.50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217 KB · 99.40</w:t>
            </w:r>
          </w:p>
        </w:tc>
        <w:tc>
          <w:tcPr>
            <w:tcW w:type="dxa" w:w="1450"/>
            <w:tcMar>
              <w:top w:type="dxa" w:w="60"/>
              <w:left w:type="dxa" w:w="100"/>
              <w:bottom w:type="dxa" w:w="60"/>
              <w:right w:type="dxa" w:w="100"/>
            </w:tcMar>
            <w:vAlign w:val="center"/>
          </w:tcPr>
          <w:p>
            <w:pPr>
              <w:jc w:val="center"/>
            </w:pPr>
            <w:r>
              <w:rPr>
                <w:sz w:val="20"/>
                <w:szCs w:val="20"/>
              </w:rPr>
              <w:t xml:space="preserve">70 KB · 99.35</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(deployed,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55 KB · 98.74</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14.3% and 14.0%;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8.2–8.9 F1 on TON_IoT, where FAR rises from 2.8% to 14%.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98.38 vs. 91.24). We therefore converted each federated model 45 more times, varying the calibration source (pooled data or any one of the four clients), the number of samples (100, 500, 2,000), and the random draw (three per setting). The source does not matter: for every source the median F1 is 98.97–99.30 on TON_IoT and 83.1–83.8 on CIC-IDS2017. The draw does (Table 7). On TON_IoT the same model ranges from F1 12.28 to 99.38, and on CIC-IDS2017 from 29.16 to 85.02. More calibration data makes it worse, not better: with 100 samples, 12 of 15 TON_IoT conversions are within one F1 point of FP32, with 2,000 samples only 3 of 15, and 10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99.31</w:t>
            </w:r>
          </w:p>
        </w:tc>
        <w:tc>
          <w:tcPr>
            <w:tcW w:type="dxa" w:w="1200"/>
            <w:tcMar>
              <w:top w:type="dxa" w:w="60"/>
              <w:left w:type="dxa" w:w="100"/>
              <w:bottom w:type="dxa" w:w="60"/>
              <w:right w:type="dxa" w:w="100"/>
            </w:tcMar>
            <w:vAlign w:val="center"/>
          </w:tcPr>
          <w:p>
            <w:pPr>
              <w:jc w:val="center"/>
            </w:pPr>
            <w:r>
              <w:rPr>
                <w:sz w:val="20"/>
                <w:szCs w:val="20"/>
              </w:rPr>
              <w:t xml:space="preserve">90.99</w:t>
            </w:r>
          </w:p>
        </w:tc>
        <w:tc>
          <w:tcPr>
            <w:tcW w:type="dxa" w:w="1500"/>
            <w:tcMar>
              <w:top w:type="dxa" w:w="60"/>
              <w:left w:type="dxa" w:w="100"/>
              <w:bottom w:type="dxa" w:w="60"/>
              <w:right w:type="dxa" w:w="100"/>
            </w:tcMar>
            <w:vAlign w:val="center"/>
          </w:tcPr>
          <w:p>
            <w:pPr>
              <w:jc w:val="center"/>
            </w:pPr>
            <w:r>
              <w:rPr>
                <w:sz w:val="20"/>
                <w:szCs w:val="20"/>
              </w:rPr>
              <w:t xml:space="preserve">12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99.30</w:t>
            </w:r>
          </w:p>
        </w:tc>
        <w:tc>
          <w:tcPr>
            <w:tcW w:type="dxa" w:w="1200"/>
            <w:tcMar>
              <w:top w:type="dxa" w:w="60"/>
              <w:left w:type="dxa" w:w="100"/>
              <w:bottom w:type="dxa" w:w="60"/>
              <w:right w:type="dxa" w:w="100"/>
            </w:tcMar>
            <w:vAlign w:val="center"/>
          </w:tcPr>
          <w:p>
            <w:pPr>
              <w:jc w:val="center"/>
            </w:pPr>
            <w:r>
              <w:rPr>
                <w:sz w:val="20"/>
                <w:szCs w:val="20"/>
              </w:rPr>
              <w:t xml:space="preserve">26.19</w:t>
            </w:r>
          </w:p>
        </w:tc>
        <w:tc>
          <w:tcPr>
            <w:tcW w:type="dxa" w:w="1500"/>
            <w:tcMar>
              <w:top w:type="dxa" w:w="60"/>
              <w:left w:type="dxa" w:w="100"/>
              <w:bottom w:type="dxa" w:w="60"/>
              <w:right w:type="dxa" w:w="100"/>
            </w:tcMar>
            <w:vAlign w:val="center"/>
          </w:tcPr>
          <w:p>
            <w:pPr>
              <w:jc w:val="center"/>
            </w:pPr>
            <w:r>
              <w:rPr>
                <w:sz w:val="20"/>
                <w:szCs w:val="20"/>
              </w:rPr>
              <w:t xml:space="preserve">11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91.23</w:t>
            </w:r>
          </w:p>
        </w:tc>
        <w:tc>
          <w:tcPr>
            <w:tcW w:type="dxa" w:w="1200"/>
            <w:tcMar>
              <w:top w:type="dxa" w:w="60"/>
              <w:left w:type="dxa" w:w="100"/>
              <w:bottom w:type="dxa" w:w="60"/>
              <w:right w:type="dxa" w:w="100"/>
            </w:tcMar>
            <w:vAlign w:val="center"/>
          </w:tcPr>
          <w:p>
            <w:pPr>
              <w:jc w:val="center"/>
            </w:pPr>
            <w:r>
              <w:rPr>
                <w:sz w:val="20"/>
                <w:szCs w:val="20"/>
              </w:rPr>
              <w:t xml:space="preserve">12.28</w:t>
            </w:r>
          </w:p>
        </w:tc>
        <w:tc>
          <w:tcPr>
            <w:tcW w:type="dxa" w:w="1500"/>
            <w:tcMar>
              <w:top w:type="dxa" w:w="60"/>
              <w:left w:type="dxa" w:w="100"/>
              <w:bottom w:type="dxa" w:w="60"/>
              <w:right w:type="dxa" w:w="100"/>
            </w:tcMar>
            <w:vAlign w:val="center"/>
          </w:tcPr>
          <w:p>
            <w:pPr>
              <w:jc w:val="center"/>
            </w:pPr>
            <w:r>
              <w:rPr>
                <w:sz w:val="20"/>
                <w:szCs w:val="20"/>
              </w:rPr>
              <w:t xml:space="preserve">3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99.34</w:t>
            </w:r>
          </w:p>
        </w:tc>
        <w:tc>
          <w:tcPr>
            <w:tcW w:type="dxa" w:w="1200"/>
            <w:tcMar>
              <w:top w:type="dxa" w:w="60"/>
              <w:left w:type="dxa" w:w="100"/>
              <w:bottom w:type="dxa" w:w="60"/>
              <w:right w:type="dxa" w:w="100"/>
            </w:tcMar>
            <w:vAlign w:val="center"/>
          </w:tcPr>
          <w:p>
            <w:pPr>
              <w:jc w:val="center"/>
            </w:pPr>
            <w:r>
              <w:rPr>
                <w:sz w:val="20"/>
                <w:szCs w:val="20"/>
              </w:rPr>
              <w:t xml:space="preserve">99.32</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three TON_IoT conversions with F1 12–22 all have a hidden-layer maximum near 500, and the worst CIC-IDS2017 conversion (F1 29.16) one of 9,609, against 52–230 for most of the others. The relation is not strictly monotonic (two TON_IoT conversions with small ranges land at F1 91.2),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99.32–99.35 on TON_IoT (FP32 99.40) and 83.02–84.85 on CIC-IDS2017 (FP32 85.70), against 12.28–99.35 and 29.16–84.99 without clipping (Table 7). Clipping at ±10 works equally well, while ±3 is too tight for TON_IoT (F1 96.7–96.9).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learns its activation ranges as moving averages during fine-tuning. It is more stable than PTQ but not independent of the fine-tuning draw. Repeating the deployed recipe with five different 10,000-sample fine-tuning draws from client 0 gives F1 98.74–99.38 on TON_IoT (PTQ of the same pruned models: 97.44–99.21)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64.9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99.35 / 99.31 / 98.90</w:t>
            </w:r>
          </w:p>
        </w:tc>
        <w:tc>
          <w:tcPr>
            <w:tcW w:type="dxa" w:w="1600"/>
            <w:tcMar>
              <w:top w:type="dxa" w:w="60"/>
              <w:left w:type="dxa" w:w="100"/>
              <w:bottom w:type="dxa" w:w="60"/>
              <w:right w:type="dxa" w:w="100"/>
            </w:tcMar>
            <w:vAlign w:val="center"/>
          </w:tcPr>
          <w:p>
            <w:pPr>
              <w:jc w:val="center"/>
            </w:pPr>
            <w:r>
              <w:rPr>
                <w:sz w:val="20"/>
                <w:szCs w:val="20"/>
              </w:rPr>
              <w:t xml:space="preserve">99.35 / 97.06 / 98.93</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24.1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99.35 / 99.24 / 99.01</w:t>
            </w:r>
          </w:p>
        </w:tc>
        <w:tc>
          <w:tcPr>
            <w:tcW w:type="dxa" w:w="1600"/>
            <w:tcMar>
              <w:top w:type="dxa" w:w="60"/>
              <w:left w:type="dxa" w:w="100"/>
              <w:bottom w:type="dxa" w:w="60"/>
              <w:right w:type="dxa" w:w="100"/>
            </w:tcMar>
            <w:vAlign w:val="center"/>
          </w:tcPr>
          <w:p>
            <w:pPr>
              <w:jc w:val="center"/>
            </w:pPr>
            <w:r>
              <w:rPr>
                <w:sz w:val="20"/>
                <w:szCs w:val="20"/>
              </w:rPr>
              <w:t xml:space="preserve">99.36 / 98.75 / 98.98</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11.2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99.16 / 99.16 / 98.82</w:t>
            </w:r>
          </w:p>
        </w:tc>
        <w:tc>
          <w:tcPr>
            <w:tcW w:type="dxa" w:w="1600"/>
            <w:tcMar>
              <w:top w:type="dxa" w:w="60"/>
              <w:left w:type="dxa" w:w="100"/>
              <w:bottom w:type="dxa" w:w="60"/>
              <w:right w:type="dxa" w:w="100"/>
            </w:tcMar>
            <w:vAlign w:val="center"/>
          </w:tcPr>
          <w:p>
            <w:pPr>
              <w:jc w:val="center"/>
            </w:pPr>
            <w:r>
              <w:rPr>
                <w:sz w:val="20"/>
                <w:szCs w:val="20"/>
              </w:rPr>
              <w:t xml:space="preserve">99.14 / 98.70 / 98.81</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720.6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99.40</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9.4 KB at 1/8 width).</w:t>
      </w:r>
    </w:p>
    <w:p>
      <w:pPr>
        <w:spacing w:after="160"/>
      </w:pPr>
      <w:r>
        <w:t xml:space="preserve">On TON_IoT, distillation gives the most compact models in this paper: the 1/8-width distilled student keeps F1 99.16 at 11.2 KB with plain INT8 PTQ (64× smaller than the FP32 federated model), and distillation makes the student robust to INT8 PTQ (at most 0.11 F1 lost, against up to 2.3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deployed model).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200"/>
        <w:gridCol w:w="1500"/>
        <w:gridCol w:w="1700"/>
        <w:gridCol w:w="1500"/>
      </w:tblGrid>
      <w:tr>
        <w:trPr>
          <w:tblHeader/>
        </w:trPr>
        <w:tc>
          <w:tcPr>
            <w:tcW w:type="dxa" w:w="19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2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1900"/>
            <w:tcMar>
              <w:top w:type="dxa" w:w="60"/>
              <w:left w:type="dxa" w:w="100"/>
              <w:bottom w:type="dxa" w:w="60"/>
              <w:right w:type="dxa" w:w="100"/>
            </w:tcMar>
            <w:vAlign w:val="center"/>
          </w:tcPr>
          <w:p>
            <w:pPr>
              <w:jc w:val="left"/>
            </w:pPr>
            <w:r>
              <w:rPr>
                <w:sz w:val="20"/>
                <w:szCs w:val="20"/>
              </w:rPr>
              <w:t xml:space="preserve">CIC near-IID, clients 0–3</w:t>
            </w:r>
          </w:p>
        </w:tc>
        <w:tc>
          <w:tcPr>
            <w:tcW w:type="dxa" w:w="1400"/>
            <w:tcMar>
              <w:top w:type="dxa" w:w="60"/>
              <w:left w:type="dxa" w:w="100"/>
              <w:bottom w:type="dxa" w:w="60"/>
              <w:right w:type="dxa" w:w="100"/>
            </w:tcMar>
            <w:vAlign w:val="center"/>
          </w:tcPr>
          <w:p>
            <w:pPr>
              <w:jc w:val="center"/>
            </w:pPr>
            <w:r>
              <w:rPr>
                <w:sz w:val="20"/>
                <w:szCs w:val="20"/>
              </w:rPr>
              <w:t xml:space="preserve">681k each (50%)</w:t>
            </w:r>
          </w:p>
        </w:tc>
        <w:tc>
          <w:tcPr>
            <w:tcW w:type="dxa" w:w="2200"/>
            <w:tcMar>
              <w:top w:type="dxa" w:w="60"/>
              <w:left w:type="dxa" w:w="100"/>
              <w:bottom w:type="dxa" w:w="60"/>
              <w:right w:type="dxa" w:w="100"/>
            </w:tcMar>
            <w:vAlign w:val="center"/>
          </w:tcPr>
          <w:p>
            <w:pPr>
              <w:jc w:val="center"/>
            </w:pPr>
            <w:r>
              <w:rPr>
                <w:sz w:val="20"/>
                <w:szCs w:val="20"/>
              </w:rPr>
              <w:t xml:space="preserve">88.3–90.0 / 98.85–99.78% / 4.5–5.2%</w:t>
            </w:r>
          </w:p>
        </w:tc>
        <w:tc>
          <w:tcPr>
            <w:tcW w:type="dxa" w:w="1500"/>
            <w:tcMar>
              <w:top w:type="dxa" w:w="60"/>
              <w:left w:type="dxa" w:w="100"/>
              <w:bottom w:type="dxa" w:w="60"/>
              <w:right w:type="dxa" w:w="100"/>
            </w:tcMar>
            <w:vAlign w:val="center"/>
          </w:tcPr>
          <w:p>
            <w:pPr>
              <w:jc w:val="center"/>
            </w:pPr>
            <w:r>
              <w:rPr>
                <w:sz w:val="20"/>
                <w:szCs w:val="20"/>
              </w:rPr>
              <w:t xml:space="preserve">185–982 / 85,173 (0.22–1.15%)</w:t>
            </w:r>
          </w:p>
        </w:tc>
        <w:tc>
          <w:tcPr>
            <w:tcW w:type="dxa" w:w="1700"/>
            <w:tcMar>
              <w:top w:type="dxa" w:w="60"/>
              <w:left w:type="dxa" w:w="100"/>
              <w:bottom w:type="dxa" w:w="60"/>
              <w:right w:type="dxa" w:w="100"/>
            </w:tcMar>
            <w:vAlign w:val="center"/>
          </w:tcPr>
          <w:p>
            <w:pPr>
              <w:jc w:val="center"/>
            </w:pPr>
            <w:r>
              <w:rPr>
                <w:sz w:val="20"/>
                <w:szCs w:val="20"/>
              </w:rPr>
              <w:t xml:space="preserve">85.70 / 99.94% / 6.84%</w:t>
            </w:r>
          </w:p>
        </w:tc>
        <w:tc>
          <w:tcPr>
            <w:tcW w:type="dxa" w:w="1500"/>
            <w:tcMar>
              <w:top w:type="dxa" w:w="60"/>
              <w:left w:type="dxa" w:w="100"/>
              <w:bottom w:type="dxa" w:w="60"/>
              <w:right w:type="dxa" w:w="100"/>
            </w:tcMar>
            <w:vAlign w:val="center"/>
          </w:tcPr>
          <w:p>
            <w:pPr>
              <w:jc w:val="center"/>
            </w:pPr>
            <w:r>
              <w:rPr>
                <w:sz w:val="20"/>
                <w:szCs w:val="20"/>
              </w:rPr>
              <w:t xml:space="preserve">52 / 85,173 (0.061%)</w:t>
            </w:r>
          </w:p>
        </w:tc>
      </w:tr>
      <w:tr>
        <w:tc>
          <w:tcPr>
            <w:tcW w:type="dxa" w:w="1900"/>
            <w:tcMar>
              <w:top w:type="dxa" w:w="60"/>
              <w:left w:type="dxa" w:w="100"/>
              <w:bottom w:type="dxa" w:w="60"/>
              <w:right w:type="dxa" w:w="100"/>
            </w:tcMar>
            <w:vAlign w:val="center"/>
          </w:tcPr>
          <w:p>
            <w:pPr>
              <w:jc w:val="left"/>
            </w:pPr>
            <w:r>
              <w:rPr>
                <w:sz w:val="20"/>
                <w:szCs w:val="20"/>
              </w:rPr>
              <w:t xml:space="preserve">CIC Dirichlet, client 0</w:t>
            </w:r>
          </w:p>
        </w:tc>
        <w:tc>
          <w:tcPr>
            <w:tcW w:type="dxa" w:w="1400"/>
            <w:tcMar>
              <w:top w:type="dxa" w:w="60"/>
              <w:left w:type="dxa" w:w="100"/>
              <w:bottom w:type="dxa" w:w="60"/>
              <w:right w:type="dxa" w:w="100"/>
            </w:tcMar>
            <w:vAlign w:val="center"/>
          </w:tcPr>
          <w:p>
            <w:pPr>
              <w:jc w:val="center"/>
            </w:pPr>
            <w:r>
              <w:rPr>
                <w:sz w:val="20"/>
                <w:szCs w:val="20"/>
              </w:rPr>
              <w:t xml:space="preserve">9.4k (0.1%)</w:t>
            </w:r>
          </w:p>
        </w:tc>
        <w:tc>
          <w:tcPr>
            <w:tcW w:type="dxa" w:w="2200"/>
            <w:tcMar>
              <w:top w:type="dxa" w:w="60"/>
              <w:left w:type="dxa" w:w="100"/>
              <w:bottom w:type="dxa" w:w="60"/>
              <w:right w:type="dxa" w:w="100"/>
            </w:tcMar>
            <w:vAlign w:val="center"/>
          </w:tcPr>
          <w:p>
            <w:pPr>
              <w:jc w:val="center"/>
            </w:pPr>
            <w:r>
              <w:rPr>
                <w:sz w:val="20"/>
                <w:szCs w:val="20"/>
              </w:rPr>
              <w:t xml:space="preserve">62.04 / 44.97% / 0.00%</w:t>
            </w:r>
          </w:p>
        </w:tc>
        <w:tc>
          <w:tcPr>
            <w:tcW w:type="dxa" w:w="1500"/>
            <w:tcMar>
              <w:top w:type="dxa" w:w="60"/>
              <w:left w:type="dxa" w:w="100"/>
              <w:bottom w:type="dxa" w:w="60"/>
              <w:right w:type="dxa" w:w="100"/>
            </w:tcMar>
            <w:vAlign w:val="center"/>
          </w:tcPr>
          <w:p>
            <w:pPr>
              <w:jc w:val="center"/>
            </w:pPr>
            <w:r>
              <w:rPr>
                <w:sz w:val="20"/>
                <w:szCs w:val="20"/>
              </w:rPr>
              <w:t xml:space="preserve">46,872 / 85,173 (55.03%)</w:t>
            </w:r>
          </w:p>
        </w:tc>
        <w:tc>
          <w:tcPr>
            <w:tcW w:type="dxa" w:w="1700"/>
            <w:tcMar>
              <w:top w:type="dxa" w:w="60"/>
              <w:left w:type="dxa" w:w="100"/>
              <w:bottom w:type="dxa" w:w="60"/>
              <w:right w:type="dxa" w:w="100"/>
            </w:tcMar>
            <w:vAlign w:val="center"/>
          </w:tcPr>
          <w:p>
            <w:pPr>
              <w:jc w:val="center"/>
            </w:pPr>
            <w:r>
              <w:rPr>
                <w:sz w:val="20"/>
                <w:szCs w:val="20"/>
              </w:rPr>
              <w:t xml:space="preserve">85.59 / 99.83% / 6.87%</w:t>
            </w:r>
          </w:p>
        </w:tc>
        <w:tc>
          <w:tcPr>
            <w:tcW w:type="dxa" w:w="1500"/>
            <w:tcMar>
              <w:top w:type="dxa" w:w="60"/>
              <w:left w:type="dxa" w:w="100"/>
              <w:bottom w:type="dxa" w:w="60"/>
              <w:right w:type="dxa" w:w="100"/>
            </w:tcMar>
            <w:vAlign w:val="center"/>
          </w:tcPr>
          <w:p>
            <w:pPr>
              <w:jc w:val="center"/>
            </w:pPr>
            <w:r>
              <w:rPr>
                <w:sz w:val="20"/>
                <w:szCs w:val="20"/>
              </w:rPr>
              <w:t xml:space="preserve">144 / 85,173 (0.17%)</w:t>
            </w:r>
          </w:p>
        </w:tc>
      </w:tr>
      <w:tr>
        <w:tc>
          <w:tcPr>
            <w:tcW w:type="dxa" w:w="1900"/>
            <w:tcMar>
              <w:top w:type="dxa" w:w="60"/>
              <w:left w:type="dxa" w:w="100"/>
              <w:bottom w:type="dxa" w:w="60"/>
              <w:right w:type="dxa" w:w="100"/>
            </w:tcMar>
            <w:vAlign w:val="center"/>
          </w:tcPr>
          <w:p>
            <w:pPr>
              <w:jc w:val="left"/>
            </w:pPr>
            <w:r>
              <w:rPr>
                <w:sz w:val="20"/>
                <w:szCs w:val="20"/>
              </w:rPr>
              <w:t xml:space="preserve">CIC Dirichlet, client 1</w:t>
            </w:r>
          </w:p>
        </w:tc>
        <w:tc>
          <w:tcPr>
            <w:tcW w:type="dxa" w:w="1400"/>
            <w:tcMar>
              <w:top w:type="dxa" w:w="60"/>
              <w:left w:type="dxa" w:w="100"/>
              <w:bottom w:type="dxa" w:w="60"/>
              <w:right w:type="dxa" w:w="100"/>
            </w:tcMar>
            <w:vAlign w:val="center"/>
          </w:tcPr>
          <w:p>
            <w:pPr>
              <w:jc w:val="center"/>
            </w:pPr>
            <w:r>
              <w:rPr>
                <w:sz w:val="20"/>
                <w:szCs w:val="20"/>
              </w:rPr>
              <w:t xml:space="preserve">1.98M (59.5%)</w:t>
            </w:r>
          </w:p>
        </w:tc>
        <w:tc>
          <w:tcPr>
            <w:tcW w:type="dxa" w:w="2200"/>
            <w:tcMar>
              <w:top w:type="dxa" w:w="60"/>
              <w:left w:type="dxa" w:w="100"/>
              <w:bottom w:type="dxa" w:w="60"/>
              <w:right w:type="dxa" w:w="100"/>
            </w:tcMar>
            <w:vAlign w:val="center"/>
          </w:tcPr>
          <w:p>
            <w:pPr>
              <w:jc w:val="center"/>
            </w:pPr>
            <w:r>
              <w:rPr>
                <w:sz w:val="20"/>
                <w:szCs w:val="20"/>
              </w:rPr>
              <w:t xml:space="preserve">90.70 / 99.75% / 4.15%</w:t>
            </w:r>
          </w:p>
        </w:tc>
        <w:tc>
          <w:tcPr>
            <w:tcW w:type="dxa" w:w="1500"/>
            <w:tcMar>
              <w:top w:type="dxa" w:w="60"/>
              <w:left w:type="dxa" w:w="100"/>
              <w:bottom w:type="dxa" w:w="60"/>
              <w:right w:type="dxa" w:w="100"/>
            </w:tcMar>
            <w:vAlign w:val="center"/>
          </w:tcPr>
          <w:p>
            <w:pPr>
              <w:jc w:val="center"/>
            </w:pPr>
            <w:r>
              <w:rPr>
                <w:sz w:val="20"/>
                <w:szCs w:val="20"/>
              </w:rPr>
              <w:t xml:space="preserve">214 / 85,173 (0.25%)</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2</w:t>
            </w:r>
          </w:p>
        </w:tc>
        <w:tc>
          <w:tcPr>
            <w:tcW w:type="dxa" w:w="1400"/>
            <w:tcMar>
              <w:top w:type="dxa" w:w="60"/>
              <w:left w:type="dxa" w:w="100"/>
              <w:bottom w:type="dxa" w:w="60"/>
              <w:right w:type="dxa" w:w="100"/>
            </w:tcMar>
            <w:vAlign w:val="center"/>
          </w:tcPr>
          <w:p>
            <w:pPr>
              <w:jc w:val="center"/>
            </w:pPr>
            <w:r>
              <w:rPr>
                <w:sz w:val="20"/>
                <w:szCs w:val="20"/>
              </w:rPr>
              <w:t xml:space="preserve">6.7k (2.6%)</w:t>
            </w:r>
          </w:p>
        </w:tc>
        <w:tc>
          <w:tcPr>
            <w:tcW w:type="dxa" w:w="2200"/>
            <w:tcMar>
              <w:top w:type="dxa" w:w="60"/>
              <w:left w:type="dxa" w:w="100"/>
              <w:bottom w:type="dxa" w:w="60"/>
              <w:right w:type="dxa" w:w="100"/>
            </w:tcMar>
            <w:vAlign w:val="center"/>
          </w:tcPr>
          <w:p>
            <w:pPr>
              <w:jc w:val="center"/>
            </w:pPr>
            <w:r>
              <w:rPr>
                <w:sz w:val="20"/>
                <w:szCs w:val="20"/>
              </w:rPr>
              <w:t xml:space="preserve">88.74 / 91.11% / 2.92%</w:t>
            </w:r>
          </w:p>
        </w:tc>
        <w:tc>
          <w:tcPr>
            <w:tcW w:type="dxa" w:w="1500"/>
            <w:tcMar>
              <w:top w:type="dxa" w:w="60"/>
              <w:left w:type="dxa" w:w="100"/>
              <w:bottom w:type="dxa" w:w="60"/>
              <w:right w:type="dxa" w:w="100"/>
            </w:tcMar>
            <w:vAlign w:val="center"/>
          </w:tcPr>
          <w:p>
            <w:pPr>
              <w:jc w:val="center"/>
            </w:pPr>
            <w:r>
              <w:rPr>
                <w:sz w:val="20"/>
                <w:szCs w:val="20"/>
              </w:rPr>
              <w:t xml:space="preserve">7,572 / 85,173 (8.89%)</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3</w:t>
            </w:r>
          </w:p>
        </w:tc>
        <w:tc>
          <w:tcPr>
            <w:tcW w:type="dxa" w:w="1400"/>
            <w:tcMar>
              <w:top w:type="dxa" w:w="60"/>
              <w:left w:type="dxa" w:w="100"/>
              <w:bottom w:type="dxa" w:w="60"/>
              <w:right w:type="dxa" w:w="100"/>
            </w:tcMar>
            <w:vAlign w:val="center"/>
          </w:tcPr>
          <w:p>
            <w:pPr>
              <w:jc w:val="center"/>
            </w:pPr>
            <w:r>
              <w:rPr>
                <w:sz w:val="20"/>
                <w:szCs w:val="20"/>
              </w:rPr>
              <w:t xml:space="preserve">728k (25.1%)</w:t>
            </w:r>
          </w:p>
        </w:tc>
        <w:tc>
          <w:tcPr>
            <w:tcW w:type="dxa" w:w="2200"/>
            <w:tcMar>
              <w:top w:type="dxa" w:w="60"/>
              <w:left w:type="dxa" w:w="100"/>
              <w:bottom w:type="dxa" w:w="60"/>
              <w:right w:type="dxa" w:w="100"/>
            </w:tcMar>
            <w:vAlign w:val="center"/>
          </w:tcPr>
          <w:p>
            <w:pPr>
              <w:jc w:val="center"/>
            </w:pPr>
            <w:r>
              <w:rPr>
                <w:sz w:val="20"/>
                <w:szCs w:val="20"/>
              </w:rPr>
              <w:t xml:space="preserve">89.80 / 99.60% / 4.56%</w:t>
            </w:r>
          </w:p>
        </w:tc>
        <w:tc>
          <w:tcPr>
            <w:tcW w:type="dxa" w:w="1500"/>
            <w:tcMar>
              <w:top w:type="dxa" w:w="60"/>
              <w:left w:type="dxa" w:w="100"/>
              <w:bottom w:type="dxa" w:w="60"/>
              <w:right w:type="dxa" w:w="100"/>
            </w:tcMar>
            <w:vAlign w:val="center"/>
          </w:tcPr>
          <w:p>
            <w:pPr>
              <w:jc w:val="center"/>
            </w:pPr>
            <w:r>
              <w:rPr>
                <w:sz w:val="20"/>
                <w:szCs w:val="20"/>
              </w:rPr>
              <w:t xml:space="preserve">339 / 85,173 (0.40%)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near-IID, clients 0–3</w:t>
            </w:r>
          </w:p>
        </w:tc>
        <w:tc>
          <w:tcPr>
            <w:tcW w:type="dxa" w:w="1400"/>
            <w:tcMar>
              <w:top w:type="dxa" w:w="60"/>
              <w:left w:type="dxa" w:w="100"/>
              <w:bottom w:type="dxa" w:w="60"/>
              <w:right w:type="dxa" w:w="100"/>
            </w:tcMar>
            <w:vAlign w:val="center"/>
          </w:tcPr>
          <w:p>
            <w:pPr>
              <w:jc w:val="center"/>
            </w:pPr>
            <w:r>
              <w:rPr>
                <w:sz w:val="20"/>
                <w:szCs w:val="20"/>
              </w:rPr>
              <w:t xml:space="preserve">32k each (50%)</w:t>
            </w:r>
          </w:p>
        </w:tc>
        <w:tc>
          <w:tcPr>
            <w:tcW w:type="dxa" w:w="2200"/>
            <w:tcMar>
              <w:top w:type="dxa" w:w="60"/>
              <w:left w:type="dxa" w:w="100"/>
              <w:bottom w:type="dxa" w:w="60"/>
              <w:right w:type="dxa" w:w="100"/>
            </w:tcMar>
            <w:vAlign w:val="center"/>
          </w:tcPr>
          <w:p>
            <w:pPr>
              <w:jc w:val="center"/>
            </w:pPr>
            <w:r>
              <w:rPr>
                <w:sz w:val="20"/>
                <w:szCs w:val="20"/>
              </w:rPr>
              <w:t xml:space="preserve">99.16–99.31 / 99.65–99.79% / 3.5–4.8%</w:t>
            </w:r>
          </w:p>
        </w:tc>
        <w:tc>
          <w:tcPr>
            <w:tcW w:type="dxa" w:w="1500"/>
            <w:tcMar>
              <w:top w:type="dxa" w:w="60"/>
              <w:left w:type="dxa" w:w="100"/>
              <w:bottom w:type="dxa" w:w="60"/>
              <w:right w:type="dxa" w:w="100"/>
            </w:tcMar>
            <w:vAlign w:val="center"/>
          </w:tcPr>
          <w:p>
            <w:pPr>
              <w:jc w:val="center"/>
            </w:pPr>
            <w:r>
              <w:rPr>
                <w:sz w:val="20"/>
                <w:szCs w:val="20"/>
              </w:rPr>
              <w:t xml:space="preserve">34–57 / 16,214 (0.21–0.35%)</w:t>
            </w:r>
          </w:p>
        </w:tc>
        <w:tc>
          <w:tcPr>
            <w:tcW w:type="dxa" w:w="1700"/>
            <w:tcMar>
              <w:top w:type="dxa" w:w="60"/>
              <w:left w:type="dxa" w:w="100"/>
              <w:bottom w:type="dxa" w:w="60"/>
              <w:right w:type="dxa" w:w="100"/>
            </w:tcMar>
            <w:vAlign w:val="center"/>
          </w:tcPr>
          <w:p>
            <w:pPr>
              <w:jc w:val="center"/>
            </w:pPr>
            <w:r>
              <w:rPr>
                <w:sz w:val="20"/>
                <w:szCs w:val="20"/>
              </w:rPr>
              <w:t xml:space="preserve">99.40 / 99.62% / 2.76%</w:t>
            </w:r>
          </w:p>
        </w:tc>
        <w:tc>
          <w:tcPr>
            <w:tcW w:type="dxa" w:w="1500"/>
            <w:tcMar>
              <w:top w:type="dxa" w:w="60"/>
              <w:left w:type="dxa" w:w="100"/>
              <w:bottom w:type="dxa" w:w="60"/>
              <w:right w:type="dxa" w:w="100"/>
            </w:tcMar>
            <w:vAlign w:val="center"/>
          </w:tcPr>
          <w:p>
            <w:pPr>
              <w:jc w:val="center"/>
            </w:pPr>
            <w:r>
              <w:rPr>
                <w:sz w:val="20"/>
                <w:szCs w:val="20"/>
              </w:rPr>
              <w:t xml:space="preserve">61 / 16,214 (0.38%)</w:t>
            </w:r>
          </w:p>
        </w:tc>
      </w:tr>
      <w:tr>
        <w:tc>
          <w:tcPr>
            <w:tcW w:type="dxa" w:w="1900"/>
            <w:tcMar>
              <w:top w:type="dxa" w:w="60"/>
              <w:left w:type="dxa" w:w="100"/>
              <w:bottom w:type="dxa" w:w="60"/>
              <w:right w:type="dxa" w:w="100"/>
            </w:tcMar>
            <w:vAlign w:val="center"/>
          </w:tcPr>
          <w:p>
            <w:pPr>
              <w:jc w:val="left"/>
            </w:pPr>
            <w:r>
              <w:rPr>
                <w:sz w:val="20"/>
                <w:szCs w:val="20"/>
              </w:rPr>
              <w:t xml:space="preserve">TON Dirichlet, client 0</w:t>
            </w:r>
          </w:p>
        </w:tc>
        <w:tc>
          <w:tcPr>
            <w:tcW w:type="dxa" w:w="1400"/>
            <w:tcMar>
              <w:top w:type="dxa" w:w="60"/>
              <w:left w:type="dxa" w:w="100"/>
              <w:bottom w:type="dxa" w:w="60"/>
              <w:right w:type="dxa" w:w="100"/>
            </w:tcMar>
            <w:vAlign w:val="center"/>
          </w:tcPr>
          <w:p>
            <w:pPr>
              <w:jc w:val="center"/>
            </w:pPr>
            <w:r>
              <w:rPr>
                <w:sz w:val="20"/>
                <w:szCs w:val="20"/>
              </w:rPr>
              <w:t xml:space="preserve">49.9k (0.4%)</w:t>
            </w:r>
          </w:p>
        </w:tc>
        <w:tc>
          <w:tcPr>
            <w:tcW w:type="dxa" w:w="2200"/>
            <w:tcMar>
              <w:top w:type="dxa" w:w="60"/>
              <w:left w:type="dxa" w:w="100"/>
              <w:bottom w:type="dxa" w:w="60"/>
              <w:right w:type="dxa" w:w="100"/>
            </w:tcMar>
            <w:vAlign w:val="center"/>
          </w:tcPr>
          <w:p>
            <w:pPr>
              <w:jc w:val="center"/>
            </w:pPr>
            <w:r>
              <w:rPr>
                <w:sz w:val="20"/>
                <w:szCs w:val="20"/>
              </w:rPr>
              <w:t xml:space="preserve">90.16 / 82.13% / 0.23%</w:t>
            </w:r>
          </w:p>
        </w:tc>
        <w:tc>
          <w:tcPr>
            <w:tcW w:type="dxa" w:w="1500"/>
            <w:tcMar>
              <w:top w:type="dxa" w:w="60"/>
              <w:left w:type="dxa" w:w="100"/>
              <w:bottom w:type="dxa" w:w="60"/>
              <w:right w:type="dxa" w:w="100"/>
            </w:tcMar>
            <w:vAlign w:val="center"/>
          </w:tcPr>
          <w:p>
            <w:pPr>
              <w:jc w:val="center"/>
            </w:pPr>
            <w:r>
              <w:rPr>
                <w:sz w:val="20"/>
                <w:szCs w:val="20"/>
              </w:rPr>
              <w:t xml:space="preserve">2,897 / 16,214 (17.87%)</w:t>
            </w:r>
          </w:p>
        </w:tc>
        <w:tc>
          <w:tcPr>
            <w:tcW w:type="dxa" w:w="1700"/>
            <w:tcMar>
              <w:top w:type="dxa" w:w="60"/>
              <w:left w:type="dxa" w:w="100"/>
              <w:bottom w:type="dxa" w:w="60"/>
              <w:right w:type="dxa" w:w="100"/>
            </w:tcMar>
            <w:vAlign w:val="center"/>
          </w:tcPr>
          <w:p>
            <w:pPr>
              <w:jc w:val="center"/>
            </w:pPr>
            <w:r>
              <w:rPr>
                <w:sz w:val="20"/>
                <w:szCs w:val="20"/>
              </w:rPr>
              <w:t xml:space="preserve">98.45 / 97.99% / 3.59%</w:t>
            </w:r>
          </w:p>
        </w:tc>
        <w:tc>
          <w:tcPr>
            <w:tcW w:type="dxa" w:w="1500"/>
            <w:tcMar>
              <w:top w:type="dxa" w:w="60"/>
              <w:left w:type="dxa" w:w="100"/>
              <w:bottom w:type="dxa" w:w="60"/>
              <w:right w:type="dxa" w:w="100"/>
            </w:tcMar>
            <w:vAlign w:val="center"/>
          </w:tcPr>
          <w:p>
            <w:pPr>
              <w:jc w:val="center"/>
            </w:pPr>
            <w:r>
              <w:rPr>
                <w:sz w:val="20"/>
                <w:szCs w:val="20"/>
              </w:rPr>
              <w:t xml:space="preserve">326 / 16,214 (2.01%)</w:t>
            </w:r>
          </w:p>
        </w:tc>
      </w:tr>
      <w:tr>
        <w:tc>
          <w:tcPr>
            <w:tcW w:type="dxa" w:w="1900"/>
            <w:tcMar>
              <w:top w:type="dxa" w:w="60"/>
              <w:left w:type="dxa" w:w="100"/>
              <w:bottom w:type="dxa" w:w="60"/>
              <w:right w:type="dxa" w:w="100"/>
            </w:tcMar>
            <w:vAlign w:val="center"/>
          </w:tcPr>
          <w:p>
            <w:pPr>
              <w:jc w:val="left"/>
            </w:pPr>
            <w:r>
              <w:rPr>
                <w:sz w:val="20"/>
                <w:szCs w:val="20"/>
              </w:rPr>
              <w:t xml:space="preserve">TON Dirichlet, client 1</w:t>
            </w:r>
          </w:p>
        </w:tc>
        <w:tc>
          <w:tcPr>
            <w:tcW w:type="dxa" w:w="1400"/>
            <w:tcMar>
              <w:top w:type="dxa" w:w="60"/>
              <w:left w:type="dxa" w:w="100"/>
              <w:bottom w:type="dxa" w:w="60"/>
              <w:right w:type="dxa" w:w="100"/>
            </w:tcMar>
            <w:vAlign w:val="center"/>
          </w:tcPr>
          <w:p>
            <w:pPr>
              <w:jc w:val="center"/>
            </w:pPr>
            <w:r>
              <w:rPr>
                <w:sz w:val="20"/>
                <w:szCs w:val="20"/>
              </w:rPr>
              <w:t xml:space="preserve">62.9k (92.8%)</w:t>
            </w:r>
          </w:p>
        </w:tc>
        <w:tc>
          <w:tcPr>
            <w:tcW w:type="dxa" w:w="2200"/>
            <w:tcMar>
              <w:top w:type="dxa" w:w="60"/>
              <w:left w:type="dxa" w:w="100"/>
              <w:bottom w:type="dxa" w:w="60"/>
              <w:right w:type="dxa" w:w="100"/>
            </w:tcMar>
            <w:vAlign w:val="center"/>
          </w:tcPr>
          <w:p>
            <w:pPr>
              <w:jc w:val="center"/>
            </w:pPr>
            <w:r>
              <w:rPr>
                <w:sz w:val="20"/>
                <w:szCs w:val="20"/>
              </w:rPr>
              <w:t xml:space="preserve">96.90 / 99.92% / 21.20%</w:t>
            </w:r>
          </w:p>
        </w:tc>
        <w:tc>
          <w:tcPr>
            <w:tcW w:type="dxa" w:w="1500"/>
            <w:tcMar>
              <w:top w:type="dxa" w:w="60"/>
              <w:left w:type="dxa" w:w="100"/>
              <w:bottom w:type="dxa" w:w="60"/>
              <w:right w:type="dxa" w:w="100"/>
            </w:tcMar>
            <w:vAlign w:val="center"/>
          </w:tcPr>
          <w:p>
            <w:pPr>
              <w:jc w:val="center"/>
            </w:pPr>
            <w:r>
              <w:rPr>
                <w:sz w:val="20"/>
                <w:szCs w:val="20"/>
              </w:rPr>
              <w:t xml:space="preserve">13 / 16,214 (0.080%)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2</w:t>
            </w:r>
          </w:p>
        </w:tc>
        <w:tc>
          <w:tcPr>
            <w:tcW w:type="dxa" w:w="1400"/>
            <w:tcMar>
              <w:top w:type="dxa" w:w="60"/>
              <w:left w:type="dxa" w:w="100"/>
              <w:bottom w:type="dxa" w:w="60"/>
              <w:right w:type="dxa" w:w="100"/>
            </w:tcMar>
            <w:vAlign w:val="center"/>
          </w:tcPr>
          <w:p>
            <w:pPr>
              <w:jc w:val="center"/>
            </w:pPr>
            <w:r>
              <w:rPr>
                <w:sz w:val="20"/>
                <w:szCs w:val="20"/>
              </w:rPr>
              <w:t xml:space="preserve">8.6k (65.5%)</w:t>
            </w:r>
          </w:p>
        </w:tc>
        <w:tc>
          <w:tcPr>
            <w:tcW w:type="dxa" w:w="2200"/>
            <w:tcMar>
              <w:top w:type="dxa" w:w="60"/>
              <w:left w:type="dxa" w:w="100"/>
              <w:bottom w:type="dxa" w:w="60"/>
              <w:right w:type="dxa" w:w="100"/>
            </w:tcMar>
            <w:vAlign w:val="center"/>
          </w:tcPr>
          <w:p>
            <w:pPr>
              <w:jc w:val="center"/>
            </w:pPr>
            <w:r>
              <w:rPr>
                <w:sz w:val="20"/>
                <w:szCs w:val="20"/>
              </w:rPr>
              <w:t xml:space="preserve">99.02 / 99.80% / 5.97%</w:t>
            </w:r>
          </w:p>
        </w:tc>
        <w:tc>
          <w:tcPr>
            <w:tcW w:type="dxa" w:w="1500"/>
            <w:tcMar>
              <w:top w:type="dxa" w:w="60"/>
              <w:left w:type="dxa" w:w="100"/>
              <w:bottom w:type="dxa" w:w="60"/>
              <w:right w:type="dxa" w:w="100"/>
            </w:tcMar>
            <w:vAlign w:val="center"/>
          </w:tcPr>
          <w:p>
            <w:pPr>
              <w:jc w:val="center"/>
            </w:pPr>
            <w:r>
              <w:rPr>
                <w:sz w:val="20"/>
                <w:szCs w:val="20"/>
              </w:rPr>
              <w:t xml:space="preserve">33 / 16,214 (0.20%)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3</w:t>
            </w:r>
          </w:p>
        </w:tc>
        <w:tc>
          <w:tcPr>
            <w:tcW w:type="dxa" w:w="1400"/>
            <w:tcMar>
              <w:top w:type="dxa" w:w="60"/>
              <w:left w:type="dxa" w:w="100"/>
              <w:bottom w:type="dxa" w:w="60"/>
              <w:right w:type="dxa" w:w="100"/>
            </w:tcMar>
            <w:vAlign w:val="center"/>
          </w:tcPr>
          <w:p>
            <w:pPr>
              <w:jc w:val="center"/>
            </w:pPr>
            <w:r>
              <w:rPr>
                <w:sz w:val="20"/>
                <w:szCs w:val="20"/>
              </w:rPr>
              <w:t xml:space="preserve">8.4k (8.5%)</w:t>
            </w:r>
          </w:p>
        </w:tc>
        <w:tc>
          <w:tcPr>
            <w:tcW w:type="dxa" w:w="2200"/>
            <w:tcMar>
              <w:top w:type="dxa" w:w="60"/>
              <w:left w:type="dxa" w:w="100"/>
              <w:bottom w:type="dxa" w:w="60"/>
              <w:right w:type="dxa" w:w="100"/>
            </w:tcMar>
            <w:vAlign w:val="center"/>
          </w:tcPr>
          <w:p>
            <w:pPr>
              <w:jc w:val="center"/>
            </w:pPr>
            <w:r>
              <w:rPr>
                <w:sz w:val="20"/>
                <w:szCs w:val="20"/>
              </w:rPr>
              <w:t xml:space="preserve">96.34 / 93.22% / 1.00%</w:t>
            </w:r>
          </w:p>
        </w:tc>
        <w:tc>
          <w:tcPr>
            <w:tcW w:type="dxa" w:w="1500"/>
            <w:tcMar>
              <w:top w:type="dxa" w:w="60"/>
              <w:left w:type="dxa" w:w="100"/>
              <w:bottom w:type="dxa" w:w="60"/>
              <w:right w:type="dxa" w:w="100"/>
            </w:tcMar>
            <w:vAlign w:val="center"/>
          </w:tcPr>
          <w:p>
            <w:pPr>
              <w:jc w:val="center"/>
            </w:pPr>
            <w:r>
              <w:rPr>
                <w:sz w:val="20"/>
                <w:szCs w:val="20"/>
              </w:rPr>
              <w:t xml:space="preserve">1,099 / 16,214 (6.78%)</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16,214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82.13% and client 3 (8.5%) 93.22%. On the same partitions the federated model detects 99.83% (CIC-IDS2017) and 97.99% (TON_IoT). The attack-heavy TON_IoT client 1 (92.8% attacks) has the opposite problem: alone, it flags 21.2% of benign records, against 3.59% for the federated model.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2"/>
        <w:spacing w:after="140" w:before="260"/>
      </w:pPr>
      <w:r>
        <w:t xml:space="preserve">5.12 Combining Pruning, PTQ, QAT, and Distillation</w:t>
      </w:r>
    </w:p>
    <w:p>
      <w:pPr>
        <w:spacing w:after="160"/>
      </w:pPr>
      <w:r>
        <w:t xml:space="preserve">Sections 5.3–5.10 vary one step of the compression pipeline at a time. Table 10 compares 16 complete pipelines that combine quantization (PTQ, PTQ with clipped calibration, QAT fine-tuning, QAT fine-tuning on clipped inputs), pruning (structured 50%, unstructured magnitude pruning at 50% and 80%, and both together), distillation fine-tuning, and the order of pruning and quantization. Every pipeline starts from the near-IID federated model, uses only client 0's data, and is repeated over three random 10,000-sample fine-tuning draws. We report the mean and the range over draws. Magnitude pruning ramps sparsity up during three fine-tuning epochs; sparsity-preserving QAT (PQAT) is tfmot's prune-preserving quantization scheme.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500"/>
        <w:gridCol w:w="1500"/>
        <w:gridCol w:w="10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Pipeline</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Flash KB (TON / CIC)</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gzip KB (TON / CIC)</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mean (range)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mean (range)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missed of 85,173</w:t>
            </w:r>
          </w:p>
        </w:tc>
      </w:tr>
      <w:tr>
        <w:tc>
          <w:tcPr>
            <w:tcW w:type="dxa" w:w="3300"/>
            <w:tcMar>
              <w:top w:type="dxa" w:w="60"/>
              <w:left w:type="dxa" w:w="100"/>
              <w:bottom w:type="dxa" w:w="60"/>
              <w:right w:type="dxa" w:w="100"/>
            </w:tcMar>
            <w:vAlign w:val="center"/>
          </w:tcPr>
          <w:p>
            <w:pPr>
              <w:jc w:val="left"/>
            </w:pPr>
            <w:r>
              <w:rPr>
                <w:sz w:val="20"/>
                <w:szCs w:val="20"/>
              </w:rPr>
              <w:t xml:space="preserve">FP32 federated model (reference)</w:t>
            </w:r>
          </w:p>
        </w:tc>
        <w:tc>
          <w:tcPr>
            <w:tcW w:type="dxa" w:w="1250"/>
            <w:tcMar>
              <w:top w:type="dxa" w:w="60"/>
              <w:left w:type="dxa" w:w="100"/>
              <w:bottom w:type="dxa" w:w="60"/>
              <w:right w:type="dxa" w:w="100"/>
            </w:tcMar>
            <w:vAlign w:val="center"/>
          </w:tcPr>
          <w:p>
            <w:pPr>
              <w:jc w:val="center"/>
            </w:pPr>
            <w:r>
              <w:rPr>
                <w:sz w:val="20"/>
                <w:szCs w:val="20"/>
              </w:rPr>
              <w:t xml:space="preserve">720 / 803</w:t>
            </w:r>
          </w:p>
        </w:tc>
        <w:tc>
          <w:tcPr>
            <w:tcW w:type="dxa" w:w="1250"/>
            <w:tcMar>
              <w:top w:type="dxa" w:w="60"/>
              <w:left w:type="dxa" w:w="100"/>
              <w:bottom w:type="dxa" w:w="60"/>
              <w:right w:type="dxa" w:w="100"/>
            </w:tcMar>
            <w:vAlign w:val="center"/>
          </w:tcPr>
          <w:p>
            <w:pPr>
              <w:jc w:val="center"/>
            </w:pPr>
            <w:r>
              <w:rPr>
                <w:sz w:val="20"/>
                <w:szCs w:val="20"/>
              </w:rPr>
              <w:t xml:space="preserve">672 / 755</w:t>
            </w:r>
          </w:p>
        </w:tc>
        <w:tc>
          <w:tcPr>
            <w:tcW w:type="dxa" w:w="1500"/>
            <w:tcMar>
              <w:top w:type="dxa" w:w="60"/>
              <w:left w:type="dxa" w:w="100"/>
              <w:bottom w:type="dxa" w:w="60"/>
              <w:right w:type="dxa" w:w="100"/>
            </w:tcMar>
            <w:vAlign w:val="center"/>
          </w:tcPr>
          <w:p>
            <w:pPr>
              <w:jc w:val="center"/>
            </w:pPr>
            <w:r>
              <w:rPr>
                <w:sz w:val="20"/>
                <w:szCs w:val="20"/>
              </w:rPr>
              <w:t xml:space="preserve">99.40</w:t>
            </w:r>
          </w:p>
        </w:tc>
        <w:tc>
          <w:tcPr>
            <w:tcW w:type="dxa" w:w="15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52 (0.061%)</w:t>
            </w:r>
          </w:p>
        </w:tc>
      </w:tr>
      <w:tr>
        <w:tc>
          <w:tcPr>
            <w:tcW w:type="dxa" w:w="3300"/>
            <w:tcMar>
              <w:top w:type="dxa" w:w="60"/>
              <w:left w:type="dxa" w:w="100"/>
              <w:bottom w:type="dxa" w:w="60"/>
              <w:right w:type="dxa" w:w="100"/>
            </w:tcMar>
            <w:vAlign w:val="center"/>
          </w:tcPr>
          <w:p>
            <w:pPr>
              <w:jc w:val="left"/>
            </w:pPr>
            <w:r>
              <w:rPr>
                <w:sz w:val="20"/>
                <w:szCs w:val="20"/>
              </w:rPr>
              <w:t xml:space="preserve">INT8 PTQ</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98.87 (98.37–99.26)</w:t>
            </w:r>
          </w:p>
        </w:tc>
        <w:tc>
          <w:tcPr>
            <w:tcW w:type="dxa" w:w="1500"/>
            <w:tcMar>
              <w:top w:type="dxa" w:w="60"/>
              <w:left w:type="dxa" w:w="100"/>
              <w:bottom w:type="dxa" w:w="60"/>
              <w:right w:type="dxa" w:w="100"/>
            </w:tcMar>
            <w:vAlign w:val="center"/>
          </w:tcPr>
          <w:p>
            <w:pPr>
              <w:jc w:val="center"/>
            </w:pPr>
            <w:r>
              <w:rPr>
                <w:sz w:val="20"/>
                <w:szCs w:val="20"/>
              </w:rPr>
              <w:t xml:space="preserve">82.36 (81.04–83.21)</w:t>
            </w:r>
          </w:p>
        </w:tc>
        <w:tc>
          <w:tcPr>
            <w:tcW w:type="dxa" w:w="1000"/>
            <w:tcMar>
              <w:top w:type="dxa" w:w="60"/>
              <w:left w:type="dxa" w:w="100"/>
              <w:bottom w:type="dxa" w:w="60"/>
              <w:right w:type="dxa" w:w="100"/>
            </w:tcMar>
            <w:vAlign w:val="center"/>
          </w:tcPr>
          <w:p>
            <w:pPr>
              <w:jc w:val="center"/>
            </w:pPr>
            <w:r>
              <w:rPr>
                <w:sz w:val="20"/>
                <w:szCs w:val="20"/>
              </w:rPr>
              <w:t xml:space="preserve">163 (0.19%)</w:t>
            </w:r>
          </w:p>
        </w:tc>
      </w:tr>
      <w:tr>
        <w:tc>
          <w:tcPr>
            <w:tcW w:type="dxa" w:w="3300"/>
            <w:tcMar>
              <w:top w:type="dxa" w:w="60"/>
              <w:left w:type="dxa" w:w="100"/>
              <w:bottom w:type="dxa" w:w="60"/>
              <w:right w:type="dxa" w:w="100"/>
            </w:tcMar>
            <w:vAlign w:val="center"/>
          </w:tcPr>
          <w:p>
            <w:pPr>
              <w:jc w:val="left"/>
            </w:pPr>
            <w:r>
              <w:rPr>
                <w:sz w:val="20"/>
                <w:szCs w:val="20"/>
              </w:rPr>
              <w:t xml:space="preserve">INT8 PTQ, clipped calibration</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99.34 (99.34–99.34)</w:t>
            </w:r>
          </w:p>
        </w:tc>
        <w:tc>
          <w:tcPr>
            <w:tcW w:type="dxa" w:w="1500"/>
            <w:tcMar>
              <w:top w:type="dxa" w:w="60"/>
              <w:left w:type="dxa" w:w="100"/>
              <w:bottom w:type="dxa" w:w="60"/>
              <w:right w:type="dxa" w:w="100"/>
            </w:tcMar>
            <w:vAlign w:val="center"/>
          </w:tcPr>
          <w:p>
            <w:pPr>
              <w:jc w:val="center"/>
            </w:pPr>
            <w:r>
              <w:rPr>
                <w:sz w:val="20"/>
                <w:szCs w:val="20"/>
              </w:rPr>
              <w:t xml:space="preserve">83.97 (83.27–84.35)</w:t>
            </w:r>
          </w:p>
        </w:tc>
        <w:tc>
          <w:tcPr>
            <w:tcW w:type="dxa" w:w="1000"/>
            <w:tcMar>
              <w:top w:type="dxa" w:w="60"/>
              <w:left w:type="dxa" w:w="100"/>
              <w:bottom w:type="dxa" w:w="60"/>
              <w:right w:type="dxa" w:w="100"/>
            </w:tcMar>
            <w:vAlign w:val="center"/>
          </w:tcPr>
          <w:p>
            <w:pPr>
              <w:jc w:val="center"/>
            </w:pPr>
            <w:r>
              <w:rPr>
                <w:sz w:val="20"/>
                <w:szCs w:val="20"/>
              </w:rPr>
              <w:t xml:space="preserve">57 (0.067%)</w:t>
            </w:r>
          </w:p>
        </w:tc>
      </w:tr>
      <w:tr>
        <w:tc>
          <w:tcPr>
            <w:tcW w:type="dxa" w:w="3300"/>
            <w:tcMar>
              <w:top w:type="dxa" w:w="60"/>
              <w:left w:type="dxa" w:w="100"/>
              <w:bottom w:type="dxa" w:w="60"/>
              <w:right w:type="dxa" w:w="100"/>
            </w:tcMar>
            <w:vAlign w:val="center"/>
          </w:tcPr>
          <w:p>
            <w:pPr>
              <w:jc w:val="left"/>
            </w:pPr>
            <w:r>
              <w:rPr>
                <w:sz w:val="20"/>
                <w:szCs w:val="20"/>
              </w:rPr>
              <w:t xml:space="preserve">QAT fine-tuning</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125 / 99</w:t>
            </w:r>
          </w:p>
        </w:tc>
        <w:tc>
          <w:tcPr>
            <w:tcW w:type="dxa" w:w="1500"/>
            <w:tcMar>
              <w:top w:type="dxa" w:w="60"/>
              <w:left w:type="dxa" w:w="100"/>
              <w:bottom w:type="dxa" w:w="60"/>
              <w:right w:type="dxa" w:w="100"/>
            </w:tcMar>
            <w:vAlign w:val="center"/>
          </w:tcPr>
          <w:p>
            <w:pPr>
              <w:jc w:val="center"/>
            </w:pPr>
            <w:r>
              <w:rPr>
                <w:sz w:val="20"/>
                <w:szCs w:val="20"/>
              </w:rPr>
              <w:t xml:space="preserve">99.10 (98.98–99.33)</w:t>
            </w:r>
          </w:p>
        </w:tc>
        <w:tc>
          <w:tcPr>
            <w:tcW w:type="dxa" w:w="1500"/>
            <w:tcMar>
              <w:top w:type="dxa" w:w="60"/>
              <w:left w:type="dxa" w:w="100"/>
              <w:bottom w:type="dxa" w:w="60"/>
              <w:right w:type="dxa" w:w="100"/>
            </w:tcMar>
            <w:vAlign w:val="center"/>
          </w:tcPr>
          <w:p>
            <w:pPr>
              <w:jc w:val="center"/>
            </w:pPr>
            <w:r>
              <w:rPr>
                <w:sz w:val="20"/>
                <w:szCs w:val="20"/>
              </w:rPr>
              <w:t xml:space="preserve">90.51 (89.27–91.99)</w:t>
            </w:r>
          </w:p>
        </w:tc>
        <w:tc>
          <w:tcPr>
            <w:tcW w:type="dxa" w:w="1000"/>
            <w:tcMar>
              <w:top w:type="dxa" w:w="60"/>
              <w:left w:type="dxa" w:w="100"/>
              <w:bottom w:type="dxa" w:w="60"/>
              <w:right w:type="dxa" w:w="100"/>
            </w:tcMar>
            <w:vAlign w:val="center"/>
          </w:tcPr>
          <w:p>
            <w:pPr>
              <w:jc w:val="center"/>
            </w:pPr>
            <w:r>
              <w:rPr>
                <w:sz w:val="20"/>
                <w:szCs w:val="20"/>
              </w:rPr>
              <w:t xml:space="preserve">580 (0.68%)</w:t>
            </w:r>
          </w:p>
        </w:tc>
      </w:tr>
      <w:tr>
        <w:tc>
          <w:tcPr>
            <w:tcW w:type="dxa" w:w="3300"/>
            <w:tcMar>
              <w:top w:type="dxa" w:w="60"/>
              <w:left w:type="dxa" w:w="100"/>
              <w:bottom w:type="dxa" w:w="60"/>
              <w:right w:type="dxa" w:w="100"/>
            </w:tcMar>
            <w:vAlign w:val="center"/>
          </w:tcPr>
          <w:p>
            <w:pPr>
              <w:jc w:val="left"/>
            </w:pPr>
            <w:r>
              <w:rPr>
                <w:sz w:val="20"/>
                <w:szCs w:val="20"/>
              </w:rPr>
              <w:t xml:space="preserve">Structured 50% → FT → PTQ</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98.50 (97.44–99.21)</w:t>
            </w:r>
          </w:p>
        </w:tc>
        <w:tc>
          <w:tcPr>
            <w:tcW w:type="dxa" w:w="1500"/>
            <w:tcMar>
              <w:top w:type="dxa" w:w="60"/>
              <w:left w:type="dxa" w:w="100"/>
              <w:bottom w:type="dxa" w:w="60"/>
              <w:right w:type="dxa" w:w="100"/>
            </w:tcMar>
            <w:vAlign w:val="center"/>
          </w:tcPr>
          <w:p>
            <w:pPr>
              <w:jc w:val="center"/>
            </w:pPr>
            <w:r>
              <w:rPr>
                <w:sz w:val="20"/>
                <w:szCs w:val="20"/>
              </w:rPr>
              <w:t xml:space="preserve">84.39 (79.37–87.27)</w:t>
            </w:r>
          </w:p>
        </w:tc>
        <w:tc>
          <w:tcPr>
            <w:tcW w:type="dxa" w:w="1000"/>
            <w:tcMar>
              <w:top w:type="dxa" w:w="60"/>
              <w:left w:type="dxa" w:w="100"/>
              <w:bottom w:type="dxa" w:w="60"/>
              <w:right w:type="dxa" w:w="100"/>
            </w:tcMar>
            <w:vAlign w:val="center"/>
          </w:tcPr>
          <w:p>
            <w:pPr>
              <w:jc w:val="center"/>
            </w:pPr>
            <w:r>
              <w:rPr>
                <w:sz w:val="20"/>
                <w:szCs w:val="20"/>
              </w:rPr>
              <w:t xml:space="preserve">500 (0.59%)</w:t>
            </w:r>
          </w:p>
        </w:tc>
      </w:tr>
      <w:tr>
        <w:tc>
          <w:tcPr>
            <w:tcW w:type="dxa" w:w="3300"/>
            <w:tcMar>
              <w:top w:type="dxa" w:w="60"/>
              <w:left w:type="dxa" w:w="100"/>
              <w:bottom w:type="dxa" w:w="60"/>
              <w:right w:type="dxa" w:w="100"/>
            </w:tcMar>
            <w:vAlign w:val="center"/>
          </w:tcPr>
          <w:p>
            <w:pPr>
              <w:jc w:val="left"/>
            </w:pPr>
            <w:r>
              <w:rPr>
                <w:sz w:val="20"/>
                <w:szCs w:val="20"/>
              </w:rPr>
              <w:t xml:space="preserve">Structured 50% → FT → PTQ, clipped calibration</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(99.34–99.39)</w:t>
            </w:r>
          </w:p>
        </w:tc>
        <w:tc>
          <w:tcPr>
            <w:tcW w:type="dxa" w:w="1500"/>
            <w:tcMar>
              <w:top w:type="dxa" w:w="60"/>
              <w:left w:type="dxa" w:w="100"/>
              <w:bottom w:type="dxa" w:w="60"/>
              <w:right w:type="dxa" w:w="100"/>
            </w:tcMar>
            <w:vAlign w:val="center"/>
          </w:tcPr>
          <w:p>
            <w:pPr>
              <w:jc w:val="center"/>
            </w:pPr>
            <w:r>
              <w:rPr>
                <w:sz w:val="20"/>
                <w:szCs w:val="20"/>
              </w:rPr>
              <w:t xml:space="preserve">87.67 (86.86–88.09)</w:t>
            </w:r>
          </w:p>
        </w:tc>
        <w:tc>
          <w:tcPr>
            <w:tcW w:type="dxa" w:w="1000"/>
            <w:tcMar>
              <w:top w:type="dxa" w:w="60"/>
              <w:left w:type="dxa" w:w="100"/>
              <w:bottom w:type="dxa" w:w="60"/>
              <w:right w:type="dxa" w:w="100"/>
            </w:tcMar>
            <w:vAlign w:val="center"/>
          </w:tcPr>
          <w:p>
            <w:pPr>
              <w:jc w:val="center"/>
            </w:pPr>
            <w:r>
              <w:rPr>
                <w:sz w:val="20"/>
                <w:szCs w:val="20"/>
              </w:rPr>
              <w:t xml:space="preserve">830 (0.97%)</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(deployed recipe)</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99.08 (98.88–99.38)</w:t>
            </w:r>
          </w:p>
        </w:tc>
        <w:tc>
          <w:tcPr>
            <w:tcW w:type="dxa" w:w="1500"/>
            <w:tcMar>
              <w:top w:type="dxa" w:w="60"/>
              <w:left w:type="dxa" w:w="100"/>
              <w:bottom w:type="dxa" w:w="60"/>
              <w:right w:type="dxa" w:w="100"/>
            </w:tcMar>
            <w:vAlign w:val="center"/>
          </w:tcPr>
          <w:p>
            <w:pPr>
              <w:jc w:val="center"/>
            </w:pPr>
            <w:r>
              <w:rPr>
                <w:sz w:val="20"/>
                <w:szCs w:val="20"/>
              </w:rPr>
              <w:t xml:space="preserve">88.37 (87.64–89.28)</w:t>
            </w:r>
          </w:p>
        </w:tc>
        <w:tc>
          <w:tcPr>
            <w:tcW w:type="dxa" w:w="1000"/>
            <w:tcMar>
              <w:top w:type="dxa" w:w="60"/>
              <w:left w:type="dxa" w:w="100"/>
              <w:bottom w:type="dxa" w:w="60"/>
              <w:right w:type="dxa" w:w="100"/>
            </w:tcMar>
            <w:vAlign w:val="center"/>
          </w:tcPr>
          <w:p>
            <w:pPr>
              <w:jc w:val="center"/>
            </w:pPr>
            <w:r>
              <w:rPr>
                <w:sz w:val="20"/>
                <w:szCs w:val="20"/>
              </w:rPr>
              <w:t xml:space="preserve">498 (0.58%)</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on clipped inputs</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35</w:t>
            </w:r>
          </w:p>
        </w:tc>
        <w:tc>
          <w:tcPr>
            <w:tcW w:type="dxa" w:w="1500"/>
            <w:tcMar>
              <w:top w:type="dxa" w:w="60"/>
              <w:left w:type="dxa" w:w="100"/>
              <w:bottom w:type="dxa" w:w="60"/>
              <w:right w:type="dxa" w:w="100"/>
            </w:tcMar>
            <w:vAlign w:val="center"/>
          </w:tcPr>
          <w:p>
            <w:pPr>
              <w:jc w:val="center"/>
            </w:pPr>
            <w:r>
              <w:rPr>
                <w:sz w:val="20"/>
                <w:szCs w:val="20"/>
              </w:rPr>
              <w:t xml:space="preserve">99.40 (99.34–99.44)</w:t>
            </w:r>
          </w:p>
        </w:tc>
        <w:tc>
          <w:tcPr>
            <w:tcW w:type="dxa" w:w="1500"/>
            <w:tcMar>
              <w:top w:type="dxa" w:w="60"/>
              <w:left w:type="dxa" w:w="100"/>
              <w:bottom w:type="dxa" w:w="60"/>
              <w:right w:type="dxa" w:w="100"/>
            </w:tcMar>
            <w:vAlign w:val="center"/>
          </w:tcPr>
          <w:p>
            <w:pPr>
              <w:jc w:val="center"/>
            </w:pPr>
            <w:r>
              <w:rPr>
                <w:sz w:val="20"/>
                <w:szCs w:val="20"/>
              </w:rPr>
              <w:t xml:space="preserve">90.36 (88.54–92.44)</w:t>
            </w:r>
          </w:p>
        </w:tc>
        <w:tc>
          <w:tcPr>
            <w:tcW w:type="dxa" w:w="1000"/>
            <w:tcMar>
              <w:top w:type="dxa" w:w="60"/>
              <w:left w:type="dxa" w:w="100"/>
              <w:bottom w:type="dxa" w:w="60"/>
              <w:right w:type="dxa" w:w="100"/>
            </w:tcMar>
            <w:vAlign w:val="center"/>
          </w:tcPr>
          <w:p>
            <w:pPr>
              <w:jc w:val="center"/>
            </w:pPr>
            <w:r>
              <w:rPr>
                <w:sz w:val="20"/>
                <w:szCs w:val="20"/>
              </w:rPr>
              <w:t xml:space="preserve">1,163 (1.37%)</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99.13 (98.97–99.43)</w:t>
            </w:r>
          </w:p>
        </w:tc>
        <w:tc>
          <w:tcPr>
            <w:tcW w:type="dxa" w:w="1500"/>
            <w:tcMar>
              <w:top w:type="dxa" w:w="60"/>
              <w:left w:type="dxa" w:w="100"/>
              <w:bottom w:type="dxa" w:w="60"/>
              <w:right w:type="dxa" w:w="100"/>
            </w:tcMar>
            <w:vAlign w:val="center"/>
          </w:tcPr>
          <w:p>
            <w:pPr>
              <w:jc w:val="center"/>
            </w:pPr>
            <w:r>
              <w:rPr>
                <w:sz w:val="20"/>
                <w:szCs w:val="20"/>
              </w:rPr>
              <w:t xml:space="preserve">86.04 (85.61–86.56)</w:t>
            </w:r>
          </w:p>
        </w:tc>
        <w:tc>
          <w:tcPr>
            <w:tcW w:type="dxa" w:w="1000"/>
            <w:tcMar>
              <w:top w:type="dxa" w:w="60"/>
              <w:left w:type="dxa" w:w="100"/>
              <w:bottom w:type="dxa" w:w="60"/>
              <w:right w:type="dxa" w:w="100"/>
            </w:tcMar>
            <w:vAlign w:val="center"/>
          </w:tcPr>
          <w:p>
            <w:pPr>
              <w:jc w:val="center"/>
            </w:pPr>
            <w:r>
              <w:rPr>
                <w:sz w:val="20"/>
                <w:szCs w:val="20"/>
              </w:rPr>
              <w:t xml:space="preserve">274 (0.32%)</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PTQ, clipped</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(99.36–99.38)</w:t>
            </w:r>
          </w:p>
        </w:tc>
        <w:tc>
          <w:tcPr>
            <w:tcW w:type="dxa" w:w="1500"/>
            <w:tcMar>
              <w:top w:type="dxa" w:w="60"/>
              <w:left w:type="dxa" w:w="100"/>
              <w:bottom w:type="dxa" w:w="60"/>
              <w:right w:type="dxa" w:w="100"/>
            </w:tcMar>
            <w:vAlign w:val="center"/>
          </w:tcPr>
          <w:p>
            <w:pPr>
              <w:jc w:val="center"/>
            </w:pPr>
            <w:r>
              <w:rPr>
                <w:sz w:val="20"/>
                <w:szCs w:val="20"/>
              </w:rPr>
              <w:t xml:space="preserve">84.85 (84.23–85.16)</w:t>
            </w:r>
          </w:p>
        </w:tc>
        <w:tc>
          <w:tcPr>
            <w:tcW w:type="dxa" w:w="1000"/>
            <w:tcMar>
              <w:top w:type="dxa" w:w="60"/>
              <w:left w:type="dxa" w:w="100"/>
              <w:bottom w:type="dxa" w:w="60"/>
              <w:right w:type="dxa" w:w="100"/>
            </w:tcMar>
            <w:vAlign w:val="center"/>
          </w:tcPr>
          <w:p>
            <w:pPr>
              <w:jc w:val="center"/>
            </w:pPr>
            <w:r>
              <w:rPr>
                <w:sz w:val="20"/>
                <w:szCs w:val="20"/>
              </w:rPr>
              <w:t xml:space="preserve">237 (0.28%)</w:t>
            </w:r>
          </w:p>
        </w:tc>
      </w:tr>
      <w:tr>
        <w:tc>
          <w:tcPr>
            <w:tcW w:type="dxa" w:w="3300"/>
            <w:tcMar>
              <w:top w:type="dxa" w:w="60"/>
              <w:left w:type="dxa" w:w="100"/>
              <w:bottom w:type="dxa" w:w="60"/>
              <w:right w:type="dxa" w:w="100"/>
            </w:tcMar>
            <w:vAlign w:val="center"/>
          </w:tcPr>
          <w:p>
            <w:pPr>
              <w:jc w:val="left"/>
            </w:pPr>
            <w:r>
              <w:rPr>
                <w:sz w:val="20"/>
                <w:szCs w:val="20"/>
              </w:rPr>
              <w:t xml:space="preserve">QAT first → structured 50% → FT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99.12 (98.98–99.36)</w:t>
            </w:r>
          </w:p>
        </w:tc>
        <w:tc>
          <w:tcPr>
            <w:tcW w:type="dxa" w:w="1500"/>
            <w:tcMar>
              <w:top w:type="dxa" w:w="60"/>
              <w:left w:type="dxa" w:w="100"/>
              <w:bottom w:type="dxa" w:w="60"/>
              <w:right w:type="dxa" w:w="100"/>
            </w:tcMar>
            <w:vAlign w:val="center"/>
          </w:tcPr>
          <w:p>
            <w:pPr>
              <w:jc w:val="center"/>
            </w:pPr>
            <w:r>
              <w:rPr>
                <w:sz w:val="20"/>
                <w:szCs w:val="20"/>
              </w:rPr>
              <w:t xml:space="preserve">88.64 (86.65–90.58)</w:t>
            </w:r>
          </w:p>
        </w:tc>
        <w:tc>
          <w:tcPr>
            <w:tcW w:type="dxa" w:w="1000"/>
            <w:tcMar>
              <w:top w:type="dxa" w:w="60"/>
              <w:left w:type="dxa" w:w="100"/>
              <w:bottom w:type="dxa" w:w="60"/>
              <w:right w:type="dxa" w:w="100"/>
            </w:tcMar>
            <w:vAlign w:val="center"/>
          </w:tcPr>
          <w:p>
            <w:pPr>
              <w:jc w:val="center"/>
            </w:pPr>
            <w:r>
              <w:rPr>
                <w:sz w:val="20"/>
                <w:szCs w:val="20"/>
              </w:rPr>
              <w:t xml:space="preserve">687 (0.81%)</w:t>
            </w:r>
          </w:p>
        </w:tc>
      </w:tr>
      <w:tr>
        <w:tc>
          <w:tcPr>
            <w:tcW w:type="dxa" w:w="3300"/>
            <w:tcMar>
              <w:top w:type="dxa" w:w="60"/>
              <w:left w:type="dxa" w:w="100"/>
              <w:bottom w:type="dxa" w:w="60"/>
              <w:right w:type="dxa" w:w="100"/>
            </w:tcMar>
            <w:vAlign w:val="center"/>
          </w:tcPr>
          <w:p>
            <w:pPr>
              <w:jc w:val="left"/>
            </w:pPr>
            <w:r>
              <w:rPr>
                <w:sz w:val="20"/>
                <w:szCs w:val="20"/>
              </w:rPr>
              <w:t xml:space="preserve">Magnitude 50%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124 / 128</w:t>
            </w:r>
          </w:p>
        </w:tc>
        <w:tc>
          <w:tcPr>
            <w:tcW w:type="dxa" w:w="1500"/>
            <w:tcMar>
              <w:top w:type="dxa" w:w="60"/>
              <w:left w:type="dxa" w:w="100"/>
              <w:bottom w:type="dxa" w:w="60"/>
              <w:right w:type="dxa" w:w="100"/>
            </w:tcMar>
            <w:vAlign w:val="center"/>
          </w:tcPr>
          <w:p>
            <w:pPr>
              <w:jc w:val="center"/>
            </w:pPr>
            <w:r>
              <w:rPr>
                <w:sz w:val="20"/>
                <w:szCs w:val="20"/>
              </w:rPr>
              <w:t xml:space="preserve">99.40 (99.39–99.41)</w:t>
            </w:r>
          </w:p>
        </w:tc>
        <w:tc>
          <w:tcPr>
            <w:tcW w:type="dxa" w:w="1500"/>
            <w:tcMar>
              <w:top w:type="dxa" w:w="60"/>
              <w:left w:type="dxa" w:w="100"/>
              <w:bottom w:type="dxa" w:w="60"/>
              <w:right w:type="dxa" w:w="100"/>
            </w:tcMar>
            <w:vAlign w:val="center"/>
          </w:tcPr>
          <w:p>
            <w:pPr>
              <w:jc w:val="center"/>
            </w:pPr>
            <w:r>
              <w:rPr>
                <w:sz w:val="20"/>
                <w:szCs w:val="20"/>
              </w:rPr>
              <w:t xml:space="preserve">89.72 (89.48–89.95)</w:t>
            </w:r>
          </w:p>
        </w:tc>
        <w:tc>
          <w:tcPr>
            <w:tcW w:type="dxa" w:w="1000"/>
            <w:tcMar>
              <w:top w:type="dxa" w:w="60"/>
              <w:left w:type="dxa" w:w="100"/>
              <w:bottom w:type="dxa" w:w="60"/>
              <w:right w:type="dxa" w:w="100"/>
            </w:tcMar>
            <w:vAlign w:val="center"/>
          </w:tcPr>
          <w:p>
            <w:pPr>
              <w:jc w:val="center"/>
            </w:pPr>
            <w:r>
              <w:rPr>
                <w:sz w:val="20"/>
                <w:szCs w:val="20"/>
              </w:rPr>
              <w:t xml:space="preserve">491 (0.58%)</w:t>
            </w:r>
          </w:p>
        </w:tc>
      </w:tr>
      <w:tr>
        <w:tc>
          <w:tcPr>
            <w:tcW w:type="dxa" w:w="3300"/>
            <w:tcMar>
              <w:top w:type="dxa" w:w="60"/>
              <w:left w:type="dxa" w:w="100"/>
              <w:bottom w:type="dxa" w:w="60"/>
              <w:right w:type="dxa" w:w="100"/>
            </w:tcMar>
            <w:vAlign w:val="center"/>
          </w:tcPr>
          <w:p>
            <w:pPr>
              <w:jc w:val="left"/>
            </w:pPr>
            <w:r>
              <w:rPr>
                <w:sz w:val="20"/>
                <w:szCs w:val="20"/>
              </w:rPr>
              <w:t xml:space="preserve">Magnitude 50%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100 / 90</w:t>
            </w:r>
          </w:p>
        </w:tc>
        <w:tc>
          <w:tcPr>
            <w:tcW w:type="dxa" w:w="1500"/>
            <w:tcMar>
              <w:top w:type="dxa" w:w="60"/>
              <w:left w:type="dxa" w:w="100"/>
              <w:bottom w:type="dxa" w:w="60"/>
              <w:right w:type="dxa" w:w="100"/>
            </w:tcMar>
            <w:vAlign w:val="center"/>
          </w:tcPr>
          <w:p>
            <w:pPr>
              <w:jc w:val="center"/>
            </w:pPr>
            <w:r>
              <w:rPr>
                <w:sz w:val="20"/>
                <w:szCs w:val="20"/>
              </w:rPr>
              <w:t xml:space="preserve">99.12 (99.00–99.35)</w:t>
            </w:r>
          </w:p>
        </w:tc>
        <w:tc>
          <w:tcPr>
            <w:tcW w:type="dxa" w:w="1500"/>
            <w:tcMar>
              <w:top w:type="dxa" w:w="60"/>
              <w:left w:type="dxa" w:w="100"/>
              <w:bottom w:type="dxa" w:w="60"/>
              <w:right w:type="dxa" w:w="100"/>
            </w:tcMar>
            <w:vAlign w:val="center"/>
          </w:tcPr>
          <w:p>
            <w:pPr>
              <w:jc w:val="center"/>
            </w:pPr>
            <w:r>
              <w:rPr>
                <w:sz w:val="20"/>
                <w:szCs w:val="20"/>
              </w:rPr>
              <w:t xml:space="preserve">90.70 (89.95–91.71)</w:t>
            </w:r>
          </w:p>
        </w:tc>
        <w:tc>
          <w:tcPr>
            <w:tcW w:type="dxa" w:w="1000"/>
            <w:tcMar>
              <w:top w:type="dxa" w:w="60"/>
              <w:left w:type="dxa" w:w="100"/>
              <w:bottom w:type="dxa" w:w="60"/>
              <w:right w:type="dxa" w:w="100"/>
            </w:tcMar>
            <w:vAlign w:val="center"/>
          </w:tcPr>
          <w:p>
            <w:pPr>
              <w:jc w:val="center"/>
            </w:pPr>
            <w:r>
              <w:rPr>
                <w:sz w:val="20"/>
                <w:szCs w:val="20"/>
              </w:rPr>
              <w:t xml:space="preserve">487 (0.57%)</w:t>
            </w:r>
          </w:p>
        </w:tc>
      </w:tr>
      <w:tr>
        <w:tc>
          <w:tcPr>
            <w:tcW w:type="dxa" w:w="3300"/>
            <w:tcMar>
              <w:top w:type="dxa" w:w="60"/>
              <w:left w:type="dxa" w:w="100"/>
              <w:bottom w:type="dxa" w:w="60"/>
              <w:right w:type="dxa" w:w="100"/>
            </w:tcMar>
            <w:vAlign w:val="center"/>
          </w:tcPr>
          <w:p>
            <w:pPr>
              <w:jc w:val="left"/>
            </w:pPr>
            <w:r>
              <w:rPr>
                <w:sz w:val="20"/>
                <w:szCs w:val="20"/>
              </w:rPr>
              <w:t xml:space="preserve">Magnitude 80%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71 / 76</w:t>
            </w:r>
          </w:p>
        </w:tc>
        <w:tc>
          <w:tcPr>
            <w:tcW w:type="dxa" w:w="1500"/>
            <w:tcMar>
              <w:top w:type="dxa" w:w="60"/>
              <w:left w:type="dxa" w:w="100"/>
              <w:bottom w:type="dxa" w:w="60"/>
              <w:right w:type="dxa" w:w="100"/>
            </w:tcMar>
            <w:vAlign w:val="center"/>
          </w:tcPr>
          <w:p>
            <w:pPr>
              <w:jc w:val="center"/>
            </w:pPr>
            <w:r>
              <w:rPr>
                <w:sz w:val="20"/>
                <w:szCs w:val="20"/>
              </w:rPr>
              <w:t xml:space="preserve">99.34 (99.31–99.37)</w:t>
            </w:r>
          </w:p>
        </w:tc>
        <w:tc>
          <w:tcPr>
            <w:tcW w:type="dxa" w:w="1500"/>
            <w:tcMar>
              <w:top w:type="dxa" w:w="60"/>
              <w:left w:type="dxa" w:w="100"/>
              <w:bottom w:type="dxa" w:w="60"/>
              <w:right w:type="dxa" w:w="100"/>
            </w:tcMar>
            <w:vAlign w:val="center"/>
          </w:tcPr>
          <w:p>
            <w:pPr>
              <w:jc w:val="center"/>
            </w:pPr>
            <w:r>
              <w:rPr>
                <w:sz w:val="20"/>
                <w:szCs w:val="20"/>
              </w:rPr>
              <w:t xml:space="preserve">87.98 (87.57–88.18)</w:t>
            </w:r>
          </w:p>
        </w:tc>
        <w:tc>
          <w:tcPr>
            <w:tcW w:type="dxa" w:w="1000"/>
            <w:tcMar>
              <w:top w:type="dxa" w:w="60"/>
              <w:left w:type="dxa" w:w="100"/>
              <w:bottom w:type="dxa" w:w="60"/>
              <w:right w:type="dxa" w:w="100"/>
            </w:tcMar>
            <w:vAlign w:val="center"/>
          </w:tcPr>
          <w:p>
            <w:pPr>
              <w:jc w:val="center"/>
            </w:pPr>
            <w:r>
              <w:rPr>
                <w:sz w:val="20"/>
                <w:szCs w:val="20"/>
              </w:rPr>
              <w:t xml:space="preserve">923 (1.08%)</w:t>
            </w:r>
          </w:p>
        </w:tc>
      </w:tr>
      <w:tr>
        <w:tc>
          <w:tcPr>
            <w:tcW w:type="dxa" w:w="3300"/>
            <w:tcMar>
              <w:top w:type="dxa" w:w="60"/>
              <w:left w:type="dxa" w:w="100"/>
              <w:bottom w:type="dxa" w:w="60"/>
              <w:right w:type="dxa" w:w="100"/>
            </w:tcMar>
            <w:vAlign w:val="center"/>
          </w:tcPr>
          <w:p>
            <w:pPr>
              <w:jc w:val="left"/>
            </w:pPr>
            <w:r>
              <w:rPr>
                <w:sz w:val="20"/>
                <w:szCs w:val="20"/>
              </w:rPr>
              <w:t xml:space="preserve">Magnitude 80%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56 / 57</w:t>
            </w:r>
          </w:p>
        </w:tc>
        <w:tc>
          <w:tcPr>
            <w:tcW w:type="dxa" w:w="1500"/>
            <w:tcMar>
              <w:top w:type="dxa" w:w="60"/>
              <w:left w:type="dxa" w:w="100"/>
              <w:bottom w:type="dxa" w:w="60"/>
              <w:right w:type="dxa" w:w="100"/>
            </w:tcMar>
            <w:vAlign w:val="center"/>
          </w:tcPr>
          <w:p>
            <w:pPr>
              <w:jc w:val="center"/>
            </w:pPr>
            <w:r>
              <w:rPr>
                <w:sz w:val="20"/>
                <w:szCs w:val="20"/>
              </w:rPr>
              <w:t xml:space="preserve">98.85 (98.51–99.36)</w:t>
            </w:r>
          </w:p>
        </w:tc>
        <w:tc>
          <w:tcPr>
            <w:tcW w:type="dxa" w:w="1500"/>
            <w:tcMar>
              <w:top w:type="dxa" w:w="60"/>
              <w:left w:type="dxa" w:w="100"/>
              <w:bottom w:type="dxa" w:w="60"/>
              <w:right w:type="dxa" w:w="100"/>
            </w:tcMar>
            <w:vAlign w:val="center"/>
          </w:tcPr>
          <w:p>
            <w:pPr>
              <w:jc w:val="center"/>
            </w:pPr>
            <w:r>
              <w:rPr>
                <w:sz w:val="20"/>
                <w:szCs w:val="20"/>
              </w:rPr>
              <w:t xml:space="preserve">89.77 (88.99–91.10)</w:t>
            </w:r>
          </w:p>
        </w:tc>
        <w:tc>
          <w:tcPr>
            <w:tcW w:type="dxa" w:w="1000"/>
            <w:tcMar>
              <w:top w:type="dxa" w:w="60"/>
              <w:left w:type="dxa" w:w="100"/>
              <w:bottom w:type="dxa" w:w="60"/>
              <w:right w:type="dxa" w:w="100"/>
            </w:tcMar>
            <w:vAlign w:val="center"/>
          </w:tcPr>
          <w:p>
            <w:pPr>
              <w:jc w:val="center"/>
            </w:pPr>
            <w:r>
              <w:rPr>
                <w:sz w:val="20"/>
                <w:szCs w:val="20"/>
              </w:rPr>
              <w:t xml:space="preserve">609 (0.72%)</w:t>
            </w:r>
          </w:p>
        </w:tc>
      </w:tr>
      <w:tr>
        <w:tc>
          <w:tcPr>
            <w:tcW w:type="dxa" w:w="3300"/>
            <w:tcMar>
              <w:top w:type="dxa" w:w="60"/>
              <w:left w:type="dxa" w:w="100"/>
              <w:bottom w:type="dxa" w:w="60"/>
              <w:right w:type="dxa" w:w="100"/>
            </w:tcMar>
            <w:vAlign w:val="center"/>
          </w:tcPr>
          <w:p>
            <w:pPr>
              <w:jc w:val="left"/>
            </w:pPr>
            <w:r>
              <w:rPr>
                <w:sz w:val="20"/>
                <w:szCs w:val="20"/>
              </w:rPr>
              <w:t xml:space="preserve">Magnitude 80% → standard 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76 / 62</w:t>
            </w:r>
          </w:p>
        </w:tc>
        <w:tc>
          <w:tcPr>
            <w:tcW w:type="dxa" w:w="1500"/>
            <w:tcMar>
              <w:top w:type="dxa" w:w="60"/>
              <w:left w:type="dxa" w:w="100"/>
              <w:bottom w:type="dxa" w:w="60"/>
              <w:right w:type="dxa" w:w="100"/>
            </w:tcMar>
            <w:vAlign w:val="center"/>
          </w:tcPr>
          <w:p>
            <w:pPr>
              <w:jc w:val="center"/>
            </w:pPr>
            <w:r>
              <w:rPr>
                <w:sz w:val="20"/>
                <w:szCs w:val="20"/>
              </w:rPr>
              <w:t xml:space="preserve">99.07 (98.89–99.33)</w:t>
            </w:r>
          </w:p>
        </w:tc>
        <w:tc>
          <w:tcPr>
            <w:tcW w:type="dxa" w:w="1500"/>
            <w:tcMar>
              <w:top w:type="dxa" w:w="60"/>
              <w:left w:type="dxa" w:w="100"/>
              <w:bottom w:type="dxa" w:w="60"/>
              <w:right w:type="dxa" w:w="100"/>
            </w:tcMar>
            <w:vAlign w:val="center"/>
          </w:tcPr>
          <w:p>
            <w:pPr>
              <w:jc w:val="center"/>
            </w:pPr>
            <w:r>
              <w:rPr>
                <w:sz w:val="20"/>
                <w:szCs w:val="20"/>
              </w:rPr>
              <w:t xml:space="preserve">89.77 (89.31–90.52)</w:t>
            </w:r>
          </w:p>
        </w:tc>
        <w:tc>
          <w:tcPr>
            <w:tcW w:type="dxa" w:w="1000"/>
            <w:tcMar>
              <w:top w:type="dxa" w:w="60"/>
              <w:left w:type="dxa" w:w="100"/>
              <w:bottom w:type="dxa" w:w="60"/>
              <w:right w:type="dxa" w:w="100"/>
            </w:tcMar>
            <w:vAlign w:val="center"/>
          </w:tcPr>
          <w:p>
            <w:pPr>
              <w:jc w:val="center"/>
            </w:pPr>
            <w:r>
              <w:rPr>
                <w:sz w:val="20"/>
                <w:szCs w:val="20"/>
              </w:rPr>
              <w:t xml:space="preserve">571 (0.67%)</w:t>
            </w:r>
          </w:p>
        </w:tc>
      </w:tr>
      <w:tr>
        <w:tc>
          <w:tcPr>
            <w:tcW w:type="dxa" w:w="3300"/>
            <w:tcMar>
              <w:top w:type="dxa" w:w="60"/>
              <w:left w:type="dxa" w:w="100"/>
              <w:bottom w:type="dxa" w:w="60"/>
              <w:right w:type="dxa" w:w="100"/>
            </w:tcMar>
            <w:vAlign w:val="center"/>
          </w:tcPr>
          <w:p>
            <w:pPr>
              <w:jc w:val="left"/>
            </w:pPr>
            <w:r>
              <w:rPr>
                <w:sz w:val="20"/>
                <w:szCs w:val="20"/>
              </w:rPr>
              <w:t xml:space="preserve">Structured 50% → FT → magnitude 50% → PQAT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31 / 31</w:t>
            </w:r>
          </w:p>
        </w:tc>
        <w:tc>
          <w:tcPr>
            <w:tcW w:type="dxa" w:w="1500"/>
            <w:tcMar>
              <w:top w:type="dxa" w:w="60"/>
              <w:left w:type="dxa" w:w="100"/>
              <w:bottom w:type="dxa" w:w="60"/>
              <w:right w:type="dxa" w:w="100"/>
            </w:tcMar>
            <w:vAlign w:val="center"/>
          </w:tcPr>
          <w:p>
            <w:pPr>
              <w:jc w:val="center"/>
            </w:pPr>
            <w:r>
              <w:rPr>
                <w:sz w:val="20"/>
                <w:szCs w:val="20"/>
              </w:rPr>
              <w:t xml:space="preserve">98.95 (98.70–99.37)</w:t>
            </w:r>
          </w:p>
        </w:tc>
        <w:tc>
          <w:tcPr>
            <w:tcW w:type="dxa" w:w="1500"/>
            <w:tcMar>
              <w:top w:type="dxa" w:w="60"/>
              <w:left w:type="dxa" w:w="100"/>
              <w:bottom w:type="dxa" w:w="60"/>
              <w:right w:type="dxa" w:w="100"/>
            </w:tcMar>
            <w:vAlign w:val="center"/>
          </w:tcPr>
          <w:p>
            <w:pPr>
              <w:jc w:val="center"/>
            </w:pPr>
            <w:r>
              <w:rPr>
                <w:sz w:val="20"/>
                <w:szCs w:val="20"/>
              </w:rPr>
              <w:t xml:space="preserve">88.66 (88.05–89.86)</w:t>
            </w:r>
          </w:p>
        </w:tc>
        <w:tc>
          <w:tcPr>
            <w:tcW w:type="dxa" w:w="1000"/>
            <w:tcMar>
              <w:top w:type="dxa" w:w="60"/>
              <w:left w:type="dxa" w:w="100"/>
              <w:bottom w:type="dxa" w:w="60"/>
              <w:right w:type="dxa" w:w="100"/>
            </w:tcMar>
            <w:vAlign w:val="center"/>
          </w:tcPr>
          <w:p>
            <w:pPr>
              <w:jc w:val="center"/>
            </w:pPr>
            <w:r>
              <w:rPr>
                <w:sz w:val="20"/>
                <w:szCs w:val="20"/>
              </w:rPr>
              <w:t xml:space="preserve">699 (0.82%)</w:t>
            </w:r>
          </w:p>
        </w:tc>
      </w:tr>
    </w:tbl>
    <w:p>
      <w:pPr>
        <w:spacing w:after="240" w:before="80"/>
      </w:pPr>
      <w:r>
        <w:rPr>
          <w:i/>
          <w:iCs/>
          <w:sz w:val="20"/>
          <w:szCs w:val="20"/>
        </w:rPr>
        <w:t xml:space="preserve">Table 10. Complete compression pipelines from the near-IID federated model, using only client 0's data; mean and range over three fine-tuning draws (test split, threshold 0.3). Flash is the TFLite file that TensorFlow Lite Micro stores; gzip shows what a compressed weight format or an over-the-air update would transfer. Clipping is at ±5 standard deviations. CIC-IDS2017 missed attacks are means over draws (85,173 test attacks). Table 3's single draw of the deployed recipe (F1 85.59) lies below this table's range for the same pipeline.</w:t>
      </w:r>
    </w:p>
    <w:p>
      <w:pPr>
        <w:spacing w:after="160"/>
      </w:pPr>
      <w:r>
        <w:t xml:space="preserve">Only structured pruning shrinks what the microcontroller stores. TensorFlow Lite Micro keeps weights dense, so magnitude pruning leaves the flash size at that of the unpruned INT8 model (186–227 KB) even at 80% sparsity; it only reduces the gzip size (to 56–76 KB at 80%), which matters for transferring model updates but not for flash. Adding magnitude pruning on top of structured pruning likewise leaves flash at 55–65 KB and reduces gzip to 31 KB. PQAT keeps the target sparsity (50% and 80%; slightly more on CIC-IDS2017, where INT8 rounding adds zeros), whereas standard QAT after 80% magnitude pruning lets part of the pruned weights grow back (to 62% zeros on TON_IoT and 75% on CIC-IDS2017, where INT8 rounding alone already zeroes 33–40% of the QAT-fine-tuned weights).</w:t>
      </w:r>
    </w:p>
    <w:p>
      <w:pPr>
        <w:spacing w:after="160"/>
      </w:pPr>
      <w:r>
        <w:t xml:space="preserve">Clipping the inputs at ±5 standard deviations helps every pipeline on TON_IoT. PTQ becomes stable (structured + PTQ: range 97.44–99.21 → 99.34–99.39), and QAT fine-tuning on clipped inputs matches the FP32 model at 55 KB (F1 99.40, range 99.34–99.44, 73 missed attacks against 158 for the deployed recipe). On CIC-IDS2017, clipped calibration also removes the PTQ collapses (structured + PTQ: 79.37–87.27 → 86.86–88.09) and, for the unpruned model, lowers both FAR and missed attacks. After pruning and fine-tuning, however, clipping raises F1 by moving the operating point toward precision: QAT on clipped inputs reaches the highest structured-pruning F1 (90.36) but misses 1,163 attacks on average (one draw 2,747), against 498 for the deployed recipe. Distillation fine-tuning goes the other way: it lowers CIC-IDS2017 F1 to 86.04 but misses the fewest attacks of any 65 KB pipeline (274), because the student inherits the teacher's recall-heavy operating point (Section 5.10). Quantizing before pruning changes nothing beyond the draw-to-draw spread (99.12 vs. 99.08 and 88.64 vs. 88.37).</w:t>
      </w:r>
    </w:p>
    <w:p>
      <w:pPr>
        <w:spacing w:after="160"/>
      </w:pPr>
      <w:r>
        <w:t xml:space="preserve">Three recommendations follow. First, always clip calibration inputs for PTQ; it costs nothing and removes the failures of Section 5.9. Second, for a TensorFlow Lite Micro target, use structured pruning; unstructured sparsity helps only if the runtime or the update channel compresses weights. Third, on CIC-IDS2017 no pipeline dominates: at 65 KB the choice between QAT on clipped inputs (higher F1, more missed attacks), the deployed recipe, and distillation fine-tuning (fewest missed attacks) is a choice of operating point, which should be made with a validation-set threshold rather than by picking a pipeline (Section 5.13). On TON_IoT, structured pruning followed by QAT fine-tuning on clipped inputs is the best 55 KB model we found and loses nothing relative to the federated FP32 model.</w:t>
      </w:r>
    </w:p>
    <w:p>
      <w:pPr>
        <w:pStyle w:val="Heading2"/>
        <w:spacing w:after="140" w:before="260"/>
      </w:pPr>
      <w:r>
        <w:t xml:space="preserve">5.13 Recall-Priority Deployment</w:t>
      </w:r>
    </w:p>
    <w:p>
      <w:pPr>
        <w:spacing w:after="160"/>
      </w:pPr>
      <w:r>
        <w:t xml:space="preserve">For intrusion detection a missed attack usually costs more than a false alarm. The FP32 federated model misses 52 of 85,173 CIC-IDS2017 test attacks at the 0.3 threshold, whereas the 65 KB deployed model misses 463 on average over three fine-tuning draws (Table 10 setting). We therefore ask how close the 65 KB model can get to the FP32 model's missed-attack count without pooled data. Two levers are combined: fine-tuning targets that preserve the teacher's recall (distillation from the federated model with α = 0.5 or α = 0, or a 4× loss weight on attacks), and a decision threshold chosen on client 0's own held-out data (20,000 samples disjoint from every fine-tuning draw) as the largest threshold that reaches a target Attack Recall there. The test split is never used for selection.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(CIC-IDS2017)</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52 / 85,173</w:t>
            </w:r>
          </w:p>
        </w:tc>
        <w:tc>
          <w:tcPr>
            <w:tcW w:type="dxa" w:w="900"/>
            <w:tcMar>
              <w:top w:type="dxa" w:w="60"/>
              <w:left w:type="dxa" w:w="100"/>
              <w:bottom w:type="dxa" w:w="60"/>
              <w:right w:type="dxa" w:w="100"/>
            </w:tcMar>
            <w:vAlign w:val="center"/>
          </w:tcPr>
          <w:p>
            <w:pPr>
              <w:jc w:val="center"/>
            </w:pPr>
            <w:r>
              <w:rPr>
                <w:sz w:val="20"/>
                <w:szCs w:val="20"/>
              </w:rPr>
              <w:t xml:space="preserve">0.061%</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6.84%</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0.269</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0.043%</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7.56%</w:t>
            </w:r>
          </w:p>
        </w:tc>
      </w:tr>
      <w:tr>
        <w:tc>
          <w:tcPr>
            <w:tcW w:type="dxa" w:w="2700"/>
            <w:tcMar>
              <w:top w:type="dxa" w:w="60"/>
              <w:left w:type="dxa" w:w="100"/>
              <w:bottom w:type="dxa" w:w="60"/>
              <w:right w:type="dxa" w:w="100"/>
            </w:tcMar>
            <w:vAlign w:val="center"/>
          </w:tcPr>
          <w:p>
            <w:pPr>
              <w:jc w:val="left"/>
            </w:pPr>
            <w:r>
              <w:rPr>
                <w:sz w:val="20"/>
                <w:szCs w:val="20"/>
              </w:rPr>
              <w:t xml:space="preserve">65 KB, deployed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463 / 85,173</w:t>
            </w:r>
          </w:p>
        </w:tc>
        <w:tc>
          <w:tcPr>
            <w:tcW w:type="dxa" w:w="900"/>
            <w:tcMar>
              <w:top w:type="dxa" w:w="60"/>
              <w:left w:type="dxa" w:w="100"/>
              <w:bottom w:type="dxa" w:w="60"/>
              <w:right w:type="dxa" w:w="100"/>
            </w:tcMar>
            <w:vAlign w:val="center"/>
          </w:tcPr>
          <w:p>
            <w:pPr>
              <w:jc w:val="center"/>
            </w:pPr>
            <w:r>
              <w:rPr>
                <w:sz w:val="20"/>
                <w:szCs w:val="20"/>
              </w:rPr>
              <w:t xml:space="preserve">0.54%</w:t>
            </w:r>
          </w:p>
        </w:tc>
        <w:tc>
          <w:tcPr>
            <w:tcW w:type="dxa" w:w="900"/>
            <w:tcMar>
              <w:top w:type="dxa" w:w="60"/>
              <w:left w:type="dxa" w:w="100"/>
              <w:bottom w:type="dxa" w:w="60"/>
              <w:right w:type="dxa" w:w="100"/>
            </w:tcMar>
            <w:vAlign w:val="center"/>
          </w:tcPr>
          <w:p>
            <w:pPr>
              <w:jc w:val="center"/>
            </w:pPr>
            <w:r>
              <w:rPr>
                <w:sz w:val="20"/>
                <w:szCs w:val="20"/>
              </w:rPr>
              <w:t xml:space="preserve">483</w:t>
            </w:r>
          </w:p>
        </w:tc>
        <w:tc>
          <w:tcPr>
            <w:tcW w:type="dxa" w:w="800"/>
            <w:tcMar>
              <w:top w:type="dxa" w:w="60"/>
              <w:left w:type="dxa" w:w="100"/>
              <w:bottom w:type="dxa" w:w="60"/>
              <w:right w:type="dxa" w:w="100"/>
            </w:tcMar>
            <w:vAlign w:val="center"/>
          </w:tcPr>
          <w:p>
            <w:pPr>
              <w:jc w:val="center"/>
            </w:pPr>
            <w:r>
              <w:rPr>
                <w:sz w:val="20"/>
                <w:szCs w:val="20"/>
              </w:rPr>
              <w:t xml:space="preserve">5.97%</w:t>
            </w:r>
          </w:p>
        </w:tc>
      </w:tr>
      <w:tr>
        <w:tc>
          <w:tcPr>
            <w:tcW w:type="dxa" w:w="2700"/>
            <w:tcMar>
              <w:top w:type="dxa" w:w="60"/>
              <w:left w:type="dxa" w:w="100"/>
              <w:bottom w:type="dxa" w:w="60"/>
              <w:right w:type="dxa" w:w="100"/>
            </w:tcMar>
            <w:vAlign w:val="center"/>
          </w:tcPr>
          <w:p>
            <w:pPr>
              <w:jc w:val="left"/>
            </w:pPr>
            <w:r>
              <w:rPr>
                <w:sz w:val="20"/>
                <w:szCs w:val="20"/>
              </w:rPr>
              <w:t xml:space="preserve">65 KB, deployed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0.005</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800"/>
            <w:tcMar>
              <w:top w:type="dxa" w:w="60"/>
              <w:left w:type="dxa" w:w="100"/>
              <w:bottom w:type="dxa" w:w="60"/>
              <w:right w:type="dxa" w:w="100"/>
            </w:tcMar>
            <w:vAlign w:val="center"/>
          </w:tcPr>
          <w:p>
            <w:pPr>
              <w:jc w:val="center"/>
            </w:pPr>
            <w:r>
              <w:rPr>
                <w:sz w:val="20"/>
                <w:szCs w:val="20"/>
              </w:rPr>
              <w:t xml:space="preserve">23.39%</w:t>
            </w:r>
          </w:p>
        </w:tc>
      </w:tr>
      <w:tr>
        <w:tc>
          <w:tcPr>
            <w:tcW w:type="dxa" w:w="2700"/>
            <w:tcMar>
              <w:top w:type="dxa" w:w="60"/>
              <w:left w:type="dxa" w:w="100"/>
              <w:bottom w:type="dxa" w:w="60"/>
              <w:right w:type="dxa" w:w="100"/>
            </w:tcMar>
            <w:vAlign w:val="center"/>
          </w:tcPr>
          <w:p>
            <w:pPr>
              <w:jc w:val="left"/>
            </w:pPr>
            <w:r>
              <w:rPr>
                <w:sz w:val="20"/>
                <w:szCs w:val="20"/>
              </w:rPr>
              <w:t xml:space="preserve">65 KB, attack weight 4×</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0.027</w:t>
            </w:r>
          </w:p>
        </w:tc>
        <w:tc>
          <w:tcPr>
            <w:tcW w:type="dxa" w:w="1500"/>
            <w:tcMar>
              <w:top w:type="dxa" w:w="60"/>
              <w:left w:type="dxa" w:w="100"/>
              <w:bottom w:type="dxa" w:w="60"/>
              <w:right w:type="dxa" w:w="100"/>
            </w:tcMar>
            <w:vAlign w:val="center"/>
          </w:tcPr>
          <w:p>
            <w:pPr>
              <w:jc w:val="center"/>
            </w:pPr>
            <w:r>
              <w:rPr>
                <w:sz w:val="20"/>
                <w:szCs w:val="20"/>
              </w:rPr>
              <w:t xml:space="preserve">63 / 85,173</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81</w:t>
            </w:r>
          </w:p>
        </w:tc>
        <w:tc>
          <w:tcPr>
            <w:tcW w:type="dxa" w:w="800"/>
            <w:tcMar>
              <w:top w:type="dxa" w:w="60"/>
              <w:left w:type="dxa" w:w="100"/>
              <w:bottom w:type="dxa" w:w="60"/>
              <w:right w:type="dxa" w:w="100"/>
            </w:tcMar>
            <w:vAlign w:val="center"/>
          </w:tcPr>
          <w:p>
            <w:pPr>
              <w:jc w:val="center"/>
            </w:pPr>
            <w:r>
              <w:rPr>
                <w:sz w:val="20"/>
                <w:szCs w:val="20"/>
              </w:rPr>
              <w:t xml:space="preserve">20.31%</w:t>
            </w:r>
          </w:p>
        </w:tc>
      </w:tr>
      <w:tr>
        <w:tc>
          <w:tcPr>
            <w:tcW w:type="dxa" w:w="2700"/>
            <w:tcMar>
              <w:top w:type="dxa" w:w="60"/>
              <w:left w:type="dxa" w:w="100"/>
              <w:bottom w:type="dxa" w:w="60"/>
              <w:right w:type="dxa" w:w="100"/>
            </w:tcMar>
            <w:vAlign w:val="center"/>
          </w:tcPr>
          <w:p>
            <w:pPr>
              <w:jc w:val="left"/>
            </w:pPr>
            <w:r>
              <w:rPr>
                <w:sz w:val="20"/>
                <w:szCs w:val="20"/>
              </w:rPr>
              <w:t xml:space="preserve">65 KB, distillation α = 0.5</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0.164</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0.044%</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19.92%</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231 / 85,173</w:t>
            </w:r>
          </w:p>
        </w:tc>
        <w:tc>
          <w:tcPr>
            <w:tcW w:type="dxa" w:w="900"/>
            <w:tcMar>
              <w:top w:type="dxa" w:w="60"/>
              <w:left w:type="dxa" w:w="100"/>
              <w:bottom w:type="dxa" w:w="60"/>
              <w:right w:type="dxa" w:w="100"/>
            </w:tcMar>
            <w:vAlign w:val="center"/>
          </w:tcPr>
          <w:p>
            <w:pPr>
              <w:jc w:val="center"/>
            </w:pPr>
            <w:r>
              <w:rPr>
                <w:sz w:val="20"/>
                <w:szCs w:val="20"/>
              </w:rPr>
              <w:t xml:space="preserve">0.27%</w:t>
            </w:r>
          </w:p>
        </w:tc>
        <w:tc>
          <w:tcPr>
            <w:tcW w:type="dxa" w:w="900"/>
            <w:tcMar>
              <w:top w:type="dxa" w:w="60"/>
              <w:left w:type="dxa" w:w="100"/>
              <w:bottom w:type="dxa" w:w="60"/>
              <w:right w:type="dxa" w:w="100"/>
            </w:tcMar>
            <w:vAlign w:val="center"/>
          </w:tcPr>
          <w:p>
            <w:pPr>
              <w:jc w:val="center"/>
            </w:pPr>
            <w:r>
              <w:rPr>
                <w:sz w:val="20"/>
                <w:szCs w:val="20"/>
              </w:rPr>
              <w:t xml:space="preserve">292</w:t>
            </w:r>
          </w:p>
        </w:tc>
        <w:tc>
          <w:tcPr>
            <w:tcW w:type="dxa" w:w="800"/>
            <w:tcMar>
              <w:top w:type="dxa" w:w="60"/>
              <w:left w:type="dxa" w:w="100"/>
              <w:bottom w:type="dxa" w:w="60"/>
              <w:right w:type="dxa" w:w="100"/>
            </w:tcMar>
            <w:vAlign w:val="center"/>
          </w:tcPr>
          <w:p>
            <w:pPr>
              <w:jc w:val="center"/>
            </w:pPr>
            <w:r>
              <w:rPr>
                <w:sz w:val="20"/>
                <w:szCs w:val="20"/>
              </w:rPr>
              <w:t xml:space="preserve">6.04%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0.213</w:t>
            </w:r>
          </w:p>
        </w:tc>
        <w:tc>
          <w:tcPr>
            <w:tcW w:type="dxa" w:w="1500"/>
            <w:tcMar>
              <w:top w:type="dxa" w:w="60"/>
              <w:left w:type="dxa" w:w="100"/>
              <w:bottom w:type="dxa" w:w="60"/>
              <w:right w:type="dxa" w:w="100"/>
            </w:tcMar>
            <w:vAlign w:val="center"/>
          </w:tcPr>
          <w:p>
            <w:pPr>
              <w:jc w:val="center"/>
            </w:pPr>
            <w:r>
              <w:rPr>
                <w:sz w:val="20"/>
                <w:szCs w:val="20"/>
              </w:rPr>
              <w:t xml:space="preserve">77 / 85,173</w:t>
            </w:r>
          </w:p>
        </w:tc>
        <w:tc>
          <w:tcPr>
            <w:tcW w:type="dxa" w:w="900"/>
            <w:tcMar>
              <w:top w:type="dxa" w:w="60"/>
              <w:left w:type="dxa" w:w="100"/>
              <w:bottom w:type="dxa" w:w="60"/>
              <w:right w:type="dxa" w:w="100"/>
            </w:tcMar>
            <w:vAlign w:val="center"/>
          </w:tcPr>
          <w:p>
            <w:pPr>
              <w:jc w:val="center"/>
            </w:pPr>
            <w:r>
              <w:rPr>
                <w:sz w:val="20"/>
                <w:szCs w:val="20"/>
              </w:rPr>
              <w:t xml:space="preserve">0.090%</w:t>
            </w:r>
          </w:p>
        </w:tc>
        <w:tc>
          <w:tcPr>
            <w:tcW w:type="dxa" w:w="900"/>
            <w:tcMar>
              <w:top w:type="dxa" w:w="60"/>
              <w:left w:type="dxa" w:w="100"/>
              <w:bottom w:type="dxa" w:w="60"/>
              <w:right w:type="dxa" w:w="100"/>
            </w:tcMar>
            <w:vAlign w:val="center"/>
          </w:tcPr>
          <w:p>
            <w:pPr>
              <w:jc w:val="center"/>
            </w:pPr>
            <w:r>
              <w:rPr>
                <w:sz w:val="20"/>
                <w:szCs w:val="20"/>
              </w:rPr>
              <w:t xml:space="preserve">133</w:t>
            </w:r>
          </w:p>
        </w:tc>
        <w:tc>
          <w:tcPr>
            <w:tcW w:type="dxa" w:w="800"/>
            <w:tcMar>
              <w:top w:type="dxa" w:w="60"/>
              <w:left w:type="dxa" w:w="100"/>
              <w:bottom w:type="dxa" w:w="60"/>
              <w:right w:type="dxa" w:w="100"/>
            </w:tcMar>
            <w:vAlign w:val="center"/>
          </w:tcPr>
          <w:p>
            <w:pPr>
              <w:jc w:val="center"/>
            </w:pPr>
            <w:r>
              <w:rPr>
                <w:sz w:val="20"/>
                <w:szCs w:val="20"/>
              </w:rPr>
              <w:t xml:space="preserve">9.54%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0.198</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800"/>
            <w:tcMar>
              <w:top w:type="dxa" w:w="60"/>
              <w:left w:type="dxa" w:w="100"/>
              <w:bottom w:type="dxa" w:w="60"/>
              <w:right w:type="dxa" w:w="100"/>
            </w:tcMar>
            <w:vAlign w:val="center"/>
          </w:tcPr>
          <w:p>
            <w:pPr>
              <w:jc w:val="center"/>
            </w:pPr>
            <w:r>
              <w:rPr>
                <w:sz w:val="20"/>
                <w:szCs w:val="20"/>
              </w:rPr>
              <w:t xml:space="preserve">10.43%</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24 / 85,173</w:t>
            </w:r>
          </w:p>
        </w:tc>
        <w:tc>
          <w:tcPr>
            <w:tcW w:type="dxa" w:w="900"/>
            <w:tcMar>
              <w:top w:type="dxa" w:w="60"/>
              <w:left w:type="dxa" w:w="100"/>
              <w:bottom w:type="dxa" w:w="60"/>
              <w:right w:type="dxa" w:w="100"/>
            </w:tcMar>
            <w:vAlign w:val="center"/>
          </w:tcPr>
          <w:p>
            <w:pPr>
              <w:jc w:val="center"/>
            </w:pPr>
            <w:r>
              <w:rPr>
                <w:sz w:val="20"/>
                <w:szCs w:val="20"/>
              </w:rPr>
              <w:t xml:space="preserve">0.028%</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14.33%</w:t>
            </w:r>
          </w:p>
        </w:tc>
      </w:tr>
      <w:tr>
        <w:tc>
          <w:tcPr>
            <w:tcW w:type="dxa" w:w="2700"/>
            <w:tcMar>
              <w:top w:type="dxa" w:w="60"/>
              <w:left w:type="dxa" w:w="100"/>
              <w:bottom w:type="dxa" w:w="60"/>
              <w:right w:type="dxa" w:w="100"/>
            </w:tcMar>
            <w:vAlign w:val="center"/>
          </w:tcPr>
          <w:p>
            <w:pPr>
              <w:jc w:val="left"/>
            </w:pPr>
            <w:r>
              <w:rPr>
                <w:sz w:val="20"/>
                <w:szCs w:val="20"/>
              </w:rPr>
              <w:t xml:space="preserve">65 KB, same + longer fine-tuning (6 + 4 ep)</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0.184</w:t>
            </w:r>
          </w:p>
        </w:tc>
        <w:tc>
          <w:tcPr>
            <w:tcW w:type="dxa" w:w="1500"/>
            <w:tcMar>
              <w:top w:type="dxa" w:w="60"/>
              <w:left w:type="dxa" w:w="100"/>
              <w:bottom w:type="dxa" w:w="60"/>
              <w:right w:type="dxa" w:w="100"/>
            </w:tcMar>
            <w:vAlign w:val="center"/>
          </w:tcPr>
          <w:p>
            <w:pPr>
              <w:jc w:val="center"/>
            </w:pPr>
            <w:r>
              <w:rPr>
                <w:sz w:val="20"/>
                <w:szCs w:val="20"/>
              </w:rPr>
              <w:t xml:space="preserve">31 / 85,173</w:t>
            </w:r>
          </w:p>
        </w:tc>
        <w:tc>
          <w:tcPr>
            <w:tcW w:type="dxa" w:w="900"/>
            <w:tcMar>
              <w:top w:type="dxa" w:w="60"/>
              <w:left w:type="dxa" w:w="100"/>
              <w:bottom w:type="dxa" w:w="60"/>
              <w:right w:type="dxa" w:w="100"/>
            </w:tcMar>
            <w:vAlign w:val="center"/>
          </w:tcPr>
          <w:p>
            <w:pPr>
              <w:jc w:val="center"/>
            </w:pPr>
            <w:r>
              <w:rPr>
                <w:sz w:val="20"/>
                <w:szCs w:val="20"/>
              </w:rPr>
              <w:t xml:space="preserve">0.036%</w:t>
            </w:r>
          </w:p>
        </w:tc>
        <w:tc>
          <w:tcPr>
            <w:tcW w:type="dxa" w:w="900"/>
            <w:tcMar>
              <w:top w:type="dxa" w:w="60"/>
              <w:left w:type="dxa" w:w="100"/>
              <w:bottom w:type="dxa" w:w="60"/>
              <w:right w:type="dxa" w:w="100"/>
            </w:tcMar>
            <w:vAlign w:val="center"/>
          </w:tcPr>
          <w:p>
            <w:pPr>
              <w:jc w:val="center"/>
            </w:pPr>
            <w:r>
              <w:rPr>
                <w:sz w:val="20"/>
                <w:szCs w:val="20"/>
              </w:rPr>
              <w:t xml:space="preserve">45</w:t>
            </w:r>
          </w:p>
        </w:tc>
        <w:tc>
          <w:tcPr>
            <w:tcW w:type="dxa" w:w="800"/>
            <w:tcMar>
              <w:top w:type="dxa" w:w="60"/>
              <w:left w:type="dxa" w:w="100"/>
              <w:bottom w:type="dxa" w:w="60"/>
              <w:right w:type="dxa" w:w="100"/>
            </w:tcMar>
            <w:vAlign w:val="center"/>
          </w:tcPr>
          <w:p>
            <w:pPr>
              <w:jc w:val="center"/>
            </w:pPr>
            <w:r>
              <w:rPr>
                <w:sz w:val="20"/>
                <w:szCs w:val="20"/>
              </w:rPr>
              <w:t xml:space="preserve">10.94%</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0.204</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79</w:t>
            </w:r>
          </w:p>
        </w:tc>
        <w:tc>
          <w:tcPr>
            <w:tcW w:type="dxa" w:w="800"/>
            <w:tcMar>
              <w:top w:type="dxa" w:w="60"/>
              <w:left w:type="dxa" w:w="100"/>
              <w:bottom w:type="dxa" w:w="60"/>
              <w:right w:type="dxa" w:w="100"/>
            </w:tcMar>
            <w:vAlign w:val="center"/>
          </w:tcPr>
          <w:p>
            <w:pPr>
              <w:jc w:val="center"/>
            </w:pPr>
            <w:r>
              <w:rPr>
                <w:sz w:val="20"/>
                <w:szCs w:val="20"/>
              </w:rPr>
              <w:t xml:space="preserve">9.31%</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0.180</w:t>
            </w:r>
          </w:p>
        </w:tc>
        <w:tc>
          <w:tcPr>
            <w:tcW w:type="dxa" w:w="1500"/>
            <w:tcMar>
              <w:top w:type="dxa" w:w="60"/>
              <w:left w:type="dxa" w:w="100"/>
              <w:bottom w:type="dxa" w:w="60"/>
              <w:right w:type="dxa" w:w="100"/>
            </w:tcMar>
            <w:vAlign w:val="center"/>
          </w:tcPr>
          <w:p>
            <w:pPr>
              <w:jc w:val="center"/>
            </w:pPr>
            <w:r>
              <w:rPr>
                <w:sz w:val="20"/>
                <w:szCs w:val="20"/>
              </w:rPr>
              <w:t xml:space="preserve">27 / 85,173</w:t>
            </w:r>
          </w:p>
        </w:tc>
        <w:tc>
          <w:tcPr>
            <w:tcW w:type="dxa" w:w="900"/>
            <w:tcMar>
              <w:top w:type="dxa" w:w="60"/>
              <w:left w:type="dxa" w:w="100"/>
              <w:bottom w:type="dxa" w:w="60"/>
              <w:right w:type="dxa" w:w="100"/>
            </w:tcMar>
            <w:vAlign w:val="center"/>
          </w:tcPr>
          <w:p>
            <w:pPr>
              <w:jc w:val="center"/>
            </w:pPr>
            <w:r>
              <w:rPr>
                <w:sz w:val="20"/>
                <w:szCs w:val="20"/>
              </w:rPr>
              <w:t xml:space="preserve">0.032%</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800"/>
            <w:tcMar>
              <w:top w:type="dxa" w:w="60"/>
              <w:left w:type="dxa" w:w="100"/>
              <w:bottom w:type="dxa" w:w="60"/>
              <w:right w:type="dxa" w:w="100"/>
            </w:tcMar>
            <w:vAlign w:val="center"/>
          </w:tcPr>
          <w:p>
            <w:pPr>
              <w:jc w:val="center"/>
            </w:pPr>
            <w:r>
              <w:rPr>
                <w:sz w:val="20"/>
                <w:szCs w:val="20"/>
              </w:rPr>
              <w:t xml:space="preserve">11.28%</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0.221</w:t>
            </w:r>
          </w:p>
        </w:tc>
        <w:tc>
          <w:tcPr>
            <w:tcW w:type="dxa" w:w="1500"/>
            <w:tcMar>
              <w:top w:type="dxa" w:w="60"/>
              <w:left w:type="dxa" w:w="100"/>
              <w:bottom w:type="dxa" w:w="60"/>
              <w:right w:type="dxa" w:w="100"/>
            </w:tcMar>
            <w:vAlign w:val="center"/>
          </w:tcPr>
          <w:p>
            <w:pPr>
              <w:jc w:val="center"/>
            </w:pPr>
            <w:r>
              <w:rPr>
                <w:sz w:val="20"/>
                <w:szCs w:val="20"/>
              </w:rPr>
              <w:t xml:space="preserve">54 / 85,173</w:t>
            </w:r>
          </w:p>
        </w:tc>
        <w:tc>
          <w:tcPr>
            <w:tcW w:type="dxa" w:w="900"/>
            <w:tcMar>
              <w:top w:type="dxa" w:w="60"/>
              <w:left w:type="dxa" w:w="100"/>
              <w:bottom w:type="dxa" w:w="60"/>
              <w:right w:type="dxa" w:w="100"/>
            </w:tcMar>
            <w:vAlign w:val="center"/>
          </w:tcPr>
          <w:p>
            <w:pPr>
              <w:jc w:val="center"/>
            </w:pPr>
            <w:r>
              <w:rPr>
                <w:sz w:val="20"/>
                <w:szCs w:val="20"/>
              </w:rPr>
              <w:t xml:space="preserve">0.063%</w:t>
            </w:r>
          </w:p>
        </w:tc>
        <w:tc>
          <w:tcPr>
            <w:tcW w:type="dxa" w:w="900"/>
            <w:tcMar>
              <w:top w:type="dxa" w:w="60"/>
              <w:left w:type="dxa" w:w="100"/>
              <w:bottom w:type="dxa" w:w="60"/>
              <w:right w:type="dxa" w:w="100"/>
            </w:tcMar>
            <w:vAlign w:val="center"/>
          </w:tcPr>
          <w:p>
            <w:pPr>
              <w:jc w:val="center"/>
            </w:pPr>
            <w:r>
              <w:rPr>
                <w:sz w:val="20"/>
                <w:szCs w:val="20"/>
              </w:rPr>
              <w:t xml:space="preserve">73</w:t>
            </w:r>
          </w:p>
        </w:tc>
        <w:tc>
          <w:tcPr>
            <w:tcW w:type="dxa" w:w="800"/>
            <w:tcMar>
              <w:top w:type="dxa" w:w="60"/>
              <w:left w:type="dxa" w:w="100"/>
              <w:bottom w:type="dxa" w:w="60"/>
              <w:right w:type="dxa" w:w="100"/>
            </w:tcMar>
            <w:vAlign w:val="center"/>
          </w:tcPr>
          <w:p>
            <w:pPr>
              <w:jc w:val="center"/>
            </w:pPr>
            <w:r>
              <w:rPr>
                <w:sz w:val="20"/>
                <w:szCs w:val="20"/>
              </w:rPr>
              <w:t xml:space="preserve">7.63%</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0.189</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800"/>
            <w:tcMar>
              <w:top w:type="dxa" w:w="60"/>
              <w:left w:type="dxa" w:w="100"/>
              <w:bottom w:type="dxa" w:w="60"/>
              <w:right w:type="dxa" w:w="100"/>
            </w:tcMar>
            <w:vAlign w:val="center"/>
          </w:tcPr>
          <w:p>
            <w:pPr>
              <w:jc w:val="center"/>
            </w:pPr>
            <w:r>
              <w:rPr>
                <w:sz w:val="20"/>
                <w:szCs w:val="20"/>
              </w:rPr>
              <w:t xml:space="preserve">9.65%</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0.229</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6.71%</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0.182</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10.39%</w:t>
            </w:r>
          </w:p>
        </w:tc>
      </w:tr>
    </w:tbl>
    <w:p>
      <w:pPr>
        <w:spacing w:after="240" w:before="80"/>
      </w:pPr>
      <w:r>
        <w:rPr>
          <w:i/>
          <w:iCs/>
          <w:sz w:val="20"/>
          <w:szCs w:val="20"/>
        </w:rPr>
        <w:t xml:space="preserve">Table 11. Recall-priority deployment on CIC-IDS2017 (85,173 test attacks). All models: structured pruning (50% unless stated) → fine-tuning → QAT fine-tuning → INT8, on client 0's data unless "federated fine-tuning" (FedAvg over all four clients' local data after every epoch); means over three fine-tuning draws. "Client val.": threshold chosen on 20,000 held-out samples of client 0 to reach the stated recall there.</w:t>
      </w:r>
    </w:p>
    <w:p>
      <w:pPr>
        <w:spacing w:after="160"/>
      </w:pPr>
      <w:r>
        <w:t xml:space="preserve">Lowering the threshold of the deployed model alone does reach the FP32 model's missed-attack count (44), but only at a 23.4% FAR. The hard-label QAT model pushes most attack and benign scores into the lowest output levels, and the selected thresholds (0.004–0.012) are one to three steps of the INT8 output's 1/256 resolution, so the threshold cannot be tuned finely. Distillation keeps the student's scores in the middle of the range, where the INT8 output has resolution (selected thresholds 0.15–0.26), and clipping the inputs during fine-tuning (Section 5.12) separates the classes further. Together they let the 65 KB model miss 44 attacks, fewer than the FP32 model at 0.3, at a 10.4% FAR, or 24 attacks at a 14.3% FAR. A 4× attack weight, pure teacher targets (α = 0; 66 missed at 18.5% FAR), and five times more fine-tuning data (50,000 samples; 40 missed at 17.9% FAR) do not do better. Measured at equal recall, compression still costs FAR: on the test sweep the FP32 model misses 22 attacks at an 11.0% FAR, against 24 at 14.3% for the best 65 KB model.</w:t>
      </w:r>
    </w:p>
    <w:p>
      <w:pPr>
        <w:spacing w:after="160"/>
      </w:pPr>
      <w:r>
        <w:t xml:space="preserve">The client's own held-out data is a reliable guide. Its FAR predicts the test FAR to within 0.35 points in every draw, and the 99.9% and 99.95% recall targets are met on the test split on average (99.91% and 99.95%). The 99.99% target is not (99.97%): with about 10,000 attacks in the client validation set it allows a single miss, and the client data are SMOTE-augmented, so very high recall targets need a larger validation set.</w:t>
      </w:r>
    </w:p>
    <w:p>
      <w:pPr>
        <w:spacing w:after="160"/>
      </w:pPr>
      <w:r>
        <w:t xml:space="preserve">Three further levers improve the trade-off (lower rows of Table 11). Federated fine-tuning, in which all four clients fine-tune on their own data and the server averages the weights after every fine-tuning and QAT epoch, gives the best 65 KB operating points: 27 missed attacks at an 11.3% FAR, against 24 at 14.3% when client 0 fine-tunes alone, or 51 at 9.3%. It also removes the dependence on a single fine-tuning client (Section 5.4) without moving any data. Longer fine-tuning helps to a similar degree (31 missed at 10.9%), whereas a higher distillation temperature (T = 4) is worse (39 missed at 13.0%). Pruning less trades flash for false alarms: at 112 KB (30% pruning) the model misses 23 attacks at a 9.7% FAR, and at 207 KB (no pruning) 51 at 6.7%. The larger models thus reach the FP32 model's missed-attack counts at a lower FAR than the FP32 model itself (52 missed at 6.84%, 22 at 11.0% on the test sweep), because distillation on clipped inputs moves the whole recall–FAR curve and not only the operating point.</w:t>
      </w:r>
    </w:p>
    <w:p>
      <w:pPr>
        <w:spacing w:after="160"/>
      </w:pPr>
      <w:r>
        <w:t xml:space="preserve">The remaining misses show where the ceiling is. At the 99.99% target the best models miss 22–31 attacks, of which about six are Bot, four to eight Infiltration, two to four PortScan, and up to three Heartbleed flows. Infiltration and Heartbleed are the two smallest attack classes in CIC-IDS2017 (36 and 11 flows in the raw data), and the FP32 federated model itself misses seven Infiltration flows at each of the three thresholds for which we recorded attack types. These residual misses are therefore a property of the federated model and of the data, not of compression; Engelen et al. [24] also report labelling errors in CIC-IDS2017, including attack-labelled flows without malicious content, which we did not check for these flows. Fewer misses would require a better federated model (for example, class-aware objectives for rare attack types or corrected labels), not a better compression pipeline. For a recall-priority deployment on a 65 KB budget we recommend distillation from the federated model, QAT fine-tuning on clipped inputs with federated fine-tuning across clients, and a threshold chosen on client-held data; the price is about one benign flow in nine raising an alert. Where 112 KB of flash is available, 30% pruning lowers that to about one in ten at the same recall.</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an FP32 model and an INT8 deployment model of the architecture used here. It checks on-device outputs against the host TFLite interpreter on fixed inputs and times 100 inferences per model. A host build against the same TensorFlow Lite Micro library reproduces the interpreter outputs exactly (FP32) and within one quantization step (INT8). Tensor-arena use is 2–4 KB, well within ESP32 SRAM. </w:t>
      </w:r>
      <w:r>
        <w:rPr>
          <w:b/>
          <w:bCs/>
          <w:color w:val="C00000"/>
        </w:rPr>
        <w:t xml:space="preserve">[PENDING: ESP32 latency, arena use and parity for the final deployment models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nearly insensitive to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Differences below about one F1 point (e.g. near-IID vs. Dirichlet on CIC-IDS2017) should not be over-interpreted until seed variance is measured.</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Federated fine-tuning over all clients removes this dependence in the recall-priority setting (Section 5.13), but we have not repeated Table 4 with it.</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Threshold selection data. </w:t>
      </w:r>
      <w:r>
        <w:t xml:space="preserve">Recall-target thresholds (Section 5.13) are chosen on the fine-tuning client's SMOTE-augmented training data; targets above 99.95% need a larger, non-augmented validation set.</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fine-tuning for the other compression settings (Section 5.13 applies it to the recall-priority case only), threshold selection against an explicit alert budget (Section 5.13 selects for a recall target only),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is robust to a strongly non-IID partition. It can be compressed to a 65 KB INT8 TensorFlow Lite model (12.3×) without loss using only one participating client's data, provided that client's class mix is representative, and with distillation, federated fine-tuning and a client-chosen threshold the 65 KB model misses about half as many attacks as the FP32 model at its default threshold (27 vs. 52 of 85,173) at an 11.3% false-alarm rate; the remaining misses are concentrated in the rarest attack classes, which the FP32 model also misses.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an FP32 model and an INT8 deployment model (models/*.tflite), converted to 16-byte-aligned C arrays at build time (esp32_tflite_project/gen_model_data.py). scripts/prepare_esp32_benchmark.py swaps in any model pair and regenerates the parity vectors.</w:t>
      </w:r>
    </w:p>
    <w:p>
      <w:pPr>
        <w:spacing w:after="120"/>
      </w:pPr>
      <w:r>
        <w:rPr>
          <w:b/>
          <w:bCs/>
        </w:rPr>
        <w:t xml:space="preserve">2. </w:t>
      </w:r>
      <w:r>
        <w:t xml:space="preserve">Build and flash (PlatformIO, TensorFlowLite_ESP32 1.0.0, huge_app partition table so the FP32 model fits): pio run -e &lt;esp32dev | esp32-s3-devkitc-1 | esp32-c3-devkitm-1&gt; -t upload.</w:t>
      </w:r>
    </w:p>
    <w:p>
      <w:pPr>
        <w:spacing w:after="120"/>
      </w:pPr>
      <w:r>
        <w:rPr>
          <w:b/>
          <w:bCs/>
        </w:rPr>
        <w:t xml:space="preserve">3. </w:t>
      </w:r>
      <w:r>
        <w:t xml:space="preserve">Parity check: for 8 fixed standardized input vectors, the firmware compares each model's on-device output with the host TFLite output (include/test_vectors.h) and reports the maximum absolute difference and decision agreement. A host build against the same TensorFlow Lite Micro library matched exactly (FP32) and within one quantization step (INT8, 1/256).</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2–4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swap in the final deployment models (Table 3) and run on hardware]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eb305f688a360755d9176e6d390edb9a71266b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2026-10-05T05:57:53.123Z</dcterms:created>
  <dcterms:modified xsi:type="dcterms:W3CDTF">2026-10-05T05:57:53.136Z</dcterms:modified>
</cp:coreProperties>
</file>

<file path=docProps/custom.xml><?xml version="1.0" encoding="utf-8"?>
<Properties xmlns="http://schemas.openxmlformats.org/officeDocument/2006/custom-properties" xmlns:vt="http://schemas.openxmlformats.org/officeDocument/2006/docPropsVTypes"/>
</file>