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12 and 99 for the same TON_IoT model), whereas QAT fine-tuning gave consistent results. A local-only baseline shows where federation pays off: clients with few local attacks detect 45–93% of attacks alone and 98–99.8%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and we test against clients training alone to show where federation helps (Sections 5.9–5.11).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and more calibration data makes it worse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1150"/>
        <w:gridCol w:w="1150"/>
        <w:gridCol w:w="1150"/>
        <w:gridCol w:w="1150"/>
        <w:gridCol w:w="11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000"/>
            <w:tcMar>
              <w:top w:type="dxa" w:w="60"/>
              <w:left w:type="dxa" w:w="100"/>
              <w:bottom w:type="dxa" w:w="60"/>
              <w:right w:type="dxa" w:w="100"/>
            </w:tcMar>
            <w:vAlign w:val="center"/>
          </w:tcPr>
          <w:p>
            <w:pPr>
              <w:jc w:val="left"/>
            </w:pPr>
            <w:r>
              <w:rPr>
                <w:sz w:val="20"/>
                <w:szCs w:val="20"/>
              </w:rPr>
              <w:t xml:space="preserve">CIC-IDS2017 — centralized</w:t>
            </w:r>
          </w:p>
        </w:tc>
        <w:tc>
          <w:tcPr>
            <w:tcW w:type="dxa" w:w="1150"/>
            <w:tcMar>
              <w:top w:type="dxa" w:w="60"/>
              <w:left w:type="dxa" w:w="100"/>
              <w:bottom w:type="dxa" w:w="60"/>
              <w:right w:type="dxa" w:w="100"/>
            </w:tcMar>
            <w:vAlign w:val="center"/>
          </w:tcPr>
          <w:p>
            <w:pPr>
              <w:jc w:val="center"/>
            </w:pPr>
            <w:r>
              <w:rPr>
                <w:sz w:val="20"/>
                <w:szCs w:val="20"/>
              </w:rPr>
              <w:t xml:space="preserve">95.07%</w:t>
            </w:r>
          </w:p>
        </w:tc>
        <w:tc>
          <w:tcPr>
            <w:tcW w:type="dxa" w:w="1150"/>
            <w:tcMar>
              <w:top w:type="dxa" w:w="60"/>
              <w:left w:type="dxa" w:w="100"/>
              <w:bottom w:type="dxa" w:w="60"/>
              <w:right w:type="dxa" w:w="100"/>
            </w:tcMar>
            <w:vAlign w:val="center"/>
          </w:tcPr>
          <w:p>
            <w:pPr>
              <w:jc w:val="center"/>
            </w:pPr>
            <w:r>
              <w:rPr>
                <w:sz w:val="20"/>
                <w:szCs w:val="20"/>
              </w:rPr>
              <w:t xml:space="preserve">77.60%</w:t>
            </w:r>
          </w:p>
        </w:tc>
        <w:tc>
          <w:tcPr>
            <w:tcW w:type="dxa" w:w="1150"/>
            <w:tcMar>
              <w:top w:type="dxa" w:w="60"/>
              <w:left w:type="dxa" w:w="100"/>
              <w:bottom w:type="dxa" w:w="60"/>
              <w:right w:type="dxa" w:w="100"/>
            </w:tcMar>
            <w:vAlign w:val="center"/>
          </w:tcPr>
          <w:p>
            <w:pPr>
              <w:jc w:val="center"/>
            </w:pPr>
            <w:r>
              <w:rPr>
                <w:sz w:val="20"/>
                <w:szCs w:val="20"/>
              </w:rPr>
              <w:t xml:space="preserve">99.90%</w:t>
            </w:r>
          </w:p>
        </w:tc>
        <w:tc>
          <w:tcPr>
            <w:tcW w:type="dxa" w:w="1150"/>
            <w:tcMar>
              <w:top w:type="dxa" w:w="60"/>
              <w:left w:type="dxa" w:w="100"/>
              <w:bottom w:type="dxa" w:w="60"/>
              <w:right w:type="dxa" w:w="100"/>
            </w:tcMar>
            <w:vAlign w:val="center"/>
          </w:tcPr>
          <w:p>
            <w:pPr>
              <w:jc w:val="center"/>
            </w:pPr>
            <w:r>
              <w:rPr>
                <w:sz w:val="20"/>
                <w:szCs w:val="20"/>
              </w:rPr>
              <w:t xml:space="preserve">87.35%</w:t>
            </w:r>
          </w:p>
        </w:tc>
        <w:tc>
          <w:tcPr>
            <w:tcW w:type="dxa" w:w="1100"/>
            <w:tcMar>
              <w:top w:type="dxa" w:w="60"/>
              <w:left w:type="dxa" w:w="100"/>
              <w:bottom w:type="dxa" w:w="60"/>
              <w:right w:type="dxa" w:w="100"/>
            </w:tcMar>
            <w:vAlign w:val="center"/>
          </w:tcPr>
          <w:p>
            <w:pPr>
              <w:jc w:val="center"/>
            </w:pPr>
            <w:r>
              <w:rPr>
                <w:sz w:val="20"/>
                <w:szCs w:val="20"/>
              </w:rPr>
              <w:t xml:space="preserve">5.92%</w:t>
            </w:r>
          </w:p>
        </w:tc>
      </w:tr>
      <w:tr>
        <w:tc>
          <w:tcPr>
            <w:tcW w:type="dxa" w:w="3000"/>
            <w:tcMar>
              <w:top w:type="dxa" w:w="60"/>
              <w:left w:type="dxa" w:w="100"/>
              <w:bottom w:type="dxa" w:w="60"/>
              <w:right w:type="dxa" w:w="100"/>
            </w:tcMar>
            <w:vAlign w:val="center"/>
          </w:tcPr>
          <w:p>
            <w:pPr>
              <w:jc w:val="left"/>
            </w:pPr>
            <w:r>
              <w:rPr>
                <w:sz w:val="20"/>
                <w:szCs w:val="20"/>
              </w:rPr>
              <w:t xml:space="preserve">CIC-IDS2017 — federated (near-IID)</w:t>
            </w:r>
          </w:p>
        </w:tc>
        <w:tc>
          <w:tcPr>
            <w:tcW w:type="dxa" w:w="1150"/>
            <w:tcMar>
              <w:top w:type="dxa" w:w="60"/>
              <w:left w:type="dxa" w:w="100"/>
              <w:bottom w:type="dxa" w:w="60"/>
              <w:right w:type="dxa" w:w="100"/>
            </w:tcMar>
            <w:vAlign w:val="center"/>
          </w:tcPr>
          <w:p>
            <w:pPr>
              <w:jc w:val="center"/>
            </w:pPr>
            <w:r>
              <w:rPr>
                <w:sz w:val="20"/>
                <w:szCs w:val="20"/>
              </w:rPr>
              <w:t xml:space="preserve">94.32%</w:t>
            </w:r>
          </w:p>
        </w:tc>
        <w:tc>
          <w:tcPr>
            <w:tcW w:type="dxa" w:w="1150"/>
            <w:tcMar>
              <w:top w:type="dxa" w:w="60"/>
              <w:left w:type="dxa" w:w="100"/>
              <w:bottom w:type="dxa" w:w="60"/>
              <w:right w:type="dxa" w:w="100"/>
            </w:tcMar>
            <w:vAlign w:val="center"/>
          </w:tcPr>
          <w:p>
            <w:pPr>
              <w:jc w:val="center"/>
            </w:pPr>
            <w:r>
              <w:rPr>
                <w:sz w:val="20"/>
                <w:szCs w:val="20"/>
              </w:rPr>
              <w:t xml:space="preserve">75.01%</w:t>
            </w:r>
          </w:p>
        </w:tc>
        <w:tc>
          <w:tcPr>
            <w:tcW w:type="dxa" w:w="1150"/>
            <w:tcMar>
              <w:top w:type="dxa" w:w="60"/>
              <w:left w:type="dxa" w:w="100"/>
              <w:bottom w:type="dxa" w:w="60"/>
              <w:right w:type="dxa" w:w="100"/>
            </w:tcMar>
            <w:vAlign w:val="center"/>
          </w:tcPr>
          <w:p>
            <w:pPr>
              <w:jc w:val="center"/>
            </w:pPr>
            <w:r>
              <w:rPr>
                <w:sz w:val="20"/>
                <w:szCs w:val="20"/>
              </w:rPr>
              <w:t xml:space="preserve">99.94%</w:t>
            </w:r>
          </w:p>
        </w:tc>
        <w:tc>
          <w:tcPr>
            <w:tcW w:type="dxa" w:w="115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6.84%</w:t>
            </w:r>
          </w:p>
        </w:tc>
      </w:tr>
      <w:tr>
        <w:tc>
          <w:tcPr>
            <w:tcW w:type="dxa" w:w="3000"/>
            <w:tcMar>
              <w:top w:type="dxa" w:w="60"/>
              <w:left w:type="dxa" w:w="100"/>
              <w:bottom w:type="dxa" w:w="60"/>
              <w:right w:type="dxa" w:w="100"/>
            </w:tcMar>
            <w:vAlign w:val="center"/>
          </w:tcPr>
          <w:p>
            <w:pPr>
              <w:jc w:val="left"/>
            </w:pPr>
            <w:r>
              <w:rPr>
                <w:sz w:val="20"/>
                <w:szCs w:val="20"/>
              </w:rPr>
              <w:t xml:space="preserve">CIC-IDS2017 — federated, fixed LR</w:t>
            </w:r>
          </w:p>
        </w:tc>
        <w:tc>
          <w:tcPr>
            <w:tcW w:type="dxa" w:w="1150"/>
            <w:tcMar>
              <w:top w:type="dxa" w:w="60"/>
              <w:left w:type="dxa" w:w="100"/>
              <w:bottom w:type="dxa" w:w="60"/>
              <w:right w:type="dxa" w:w="100"/>
            </w:tcMar>
            <w:vAlign w:val="center"/>
          </w:tcPr>
          <w:p>
            <w:pPr>
              <w:jc w:val="center"/>
            </w:pPr>
            <w:r>
              <w:rPr>
                <w:sz w:val="20"/>
                <w:szCs w:val="20"/>
              </w:rPr>
              <w:t xml:space="preserve">95.01%</w:t>
            </w:r>
          </w:p>
        </w:tc>
        <w:tc>
          <w:tcPr>
            <w:tcW w:type="dxa" w:w="1150"/>
            <w:tcMar>
              <w:top w:type="dxa" w:w="60"/>
              <w:left w:type="dxa" w:w="100"/>
              <w:bottom w:type="dxa" w:w="60"/>
              <w:right w:type="dxa" w:w="100"/>
            </w:tcMar>
            <w:vAlign w:val="center"/>
          </w:tcPr>
          <w:p>
            <w:pPr>
              <w:jc w:val="center"/>
            </w:pPr>
            <w:r>
              <w:rPr>
                <w:sz w:val="20"/>
                <w:szCs w:val="20"/>
              </w:rPr>
              <w:t xml:space="preserve">77.40%</w:t>
            </w:r>
          </w:p>
        </w:tc>
        <w:tc>
          <w:tcPr>
            <w:tcW w:type="dxa" w:w="1150"/>
            <w:tcMar>
              <w:top w:type="dxa" w:w="60"/>
              <w:left w:type="dxa" w:w="100"/>
              <w:bottom w:type="dxa" w:w="60"/>
              <w:right w:type="dxa" w:w="100"/>
            </w:tcMar>
            <w:vAlign w:val="center"/>
          </w:tcPr>
          <w:p>
            <w:pPr>
              <w:jc w:val="center"/>
            </w:pPr>
            <w:r>
              <w:rPr>
                <w:sz w:val="20"/>
                <w:szCs w:val="20"/>
              </w:rPr>
              <w:t xml:space="preserve">99.84%</w:t>
            </w:r>
          </w:p>
        </w:tc>
        <w:tc>
          <w:tcPr>
            <w:tcW w:type="dxa" w:w="1150"/>
            <w:tcMar>
              <w:top w:type="dxa" w:w="60"/>
              <w:left w:type="dxa" w:w="100"/>
              <w:bottom w:type="dxa" w:w="60"/>
              <w:right w:type="dxa" w:w="100"/>
            </w:tcMar>
            <w:vAlign w:val="center"/>
          </w:tcPr>
          <w:p>
            <w:pPr>
              <w:jc w:val="center"/>
            </w:pPr>
            <w:r>
              <w:rPr>
                <w:sz w:val="20"/>
                <w:szCs w:val="20"/>
              </w:rPr>
              <w:t xml:space="preserve">87.20%</w:t>
            </w:r>
          </w:p>
        </w:tc>
        <w:tc>
          <w:tcPr>
            <w:tcW w:type="dxa" w:w="1100"/>
            <w:tcMar>
              <w:top w:type="dxa" w:w="60"/>
              <w:left w:type="dxa" w:w="100"/>
              <w:bottom w:type="dxa" w:w="60"/>
              <w:right w:type="dxa" w:w="100"/>
            </w:tcMar>
            <w:vAlign w:val="center"/>
          </w:tcPr>
          <w:p>
            <w:pPr>
              <w:jc w:val="center"/>
            </w:pPr>
            <w:r>
              <w:rPr>
                <w:sz w:val="20"/>
                <w:szCs w:val="20"/>
              </w:rPr>
              <w:t xml:space="preserve">5.99%</w:t>
            </w:r>
          </w:p>
        </w:tc>
      </w:tr>
      <w:tr>
        <w:tc>
          <w:tcPr>
            <w:tcW w:type="dxa" w:w="3000"/>
            <w:tcMar>
              <w:top w:type="dxa" w:w="60"/>
              <w:left w:type="dxa" w:w="100"/>
              <w:bottom w:type="dxa" w:w="60"/>
              <w:right w:type="dxa" w:w="100"/>
            </w:tcMar>
            <w:vAlign w:val="center"/>
          </w:tcPr>
          <w:p>
            <w:pPr>
              <w:jc w:val="left"/>
            </w:pPr>
            <w:r>
              <w:rPr>
                <w:sz w:val="20"/>
                <w:szCs w:val="20"/>
              </w:rPr>
              <w:t xml:space="preserve">TON_IoT — centralized</w:t>
            </w:r>
          </w:p>
        </w:tc>
        <w:tc>
          <w:tcPr>
            <w:tcW w:type="dxa" w:w="1150"/>
            <w:tcMar>
              <w:top w:type="dxa" w:w="60"/>
              <w:left w:type="dxa" w:w="100"/>
              <w:bottom w:type="dxa" w:w="60"/>
              <w:right w:type="dxa" w:w="100"/>
            </w:tcMar>
            <w:vAlign w:val="center"/>
          </w:tcPr>
          <w:p>
            <w:pPr>
              <w:jc w:val="center"/>
            </w:pPr>
            <w:r>
              <w:rPr>
                <w:sz w:val="20"/>
                <w:szCs w:val="20"/>
              </w:rPr>
              <w:t xml:space="preserve">99.20%</w:t>
            </w:r>
          </w:p>
        </w:tc>
        <w:tc>
          <w:tcPr>
            <w:tcW w:type="dxa" w:w="1150"/>
            <w:tcMar>
              <w:top w:type="dxa" w:w="60"/>
              <w:left w:type="dxa" w:w="100"/>
              <w:bottom w:type="dxa" w:w="60"/>
              <w:right w:type="dxa" w:w="100"/>
            </w:tcMar>
            <w:vAlign w:val="center"/>
          </w:tcPr>
          <w:p>
            <w:pPr>
              <w:jc w:val="center"/>
            </w:pPr>
            <w:r>
              <w:rPr>
                <w:sz w:val="20"/>
                <w:szCs w:val="20"/>
              </w:rPr>
              <w:t xml:space="preserve">99.32%</w:t>
            </w:r>
          </w:p>
        </w:tc>
        <w:tc>
          <w:tcPr>
            <w:tcW w:type="dxa" w:w="1150"/>
            <w:tcMar>
              <w:top w:type="dxa" w:w="60"/>
              <w:left w:type="dxa" w:w="100"/>
              <w:bottom w:type="dxa" w:w="60"/>
              <w:right w:type="dxa" w:w="100"/>
            </w:tcMar>
            <w:vAlign w:val="center"/>
          </w:tcPr>
          <w:p>
            <w:pPr>
              <w:jc w:val="center"/>
            </w:pPr>
            <w:r>
              <w:rPr>
                <w:sz w:val="20"/>
                <w:szCs w:val="20"/>
              </w:rPr>
              <w:t xml:space="preserve">99.64%</w:t>
            </w:r>
          </w:p>
        </w:tc>
        <w:tc>
          <w:tcPr>
            <w:tcW w:type="dxa" w:w="1150"/>
            <w:tcMar>
              <w:top w:type="dxa" w:w="60"/>
              <w:left w:type="dxa" w:w="100"/>
              <w:bottom w:type="dxa" w:w="60"/>
              <w:right w:type="dxa" w:w="100"/>
            </w:tcMar>
            <w:vAlign w:val="center"/>
          </w:tcPr>
          <w:p>
            <w:pPr>
              <w:jc w:val="center"/>
            </w:pPr>
            <w:r>
              <w:rPr>
                <w:sz w:val="20"/>
                <w:szCs w:val="20"/>
              </w:rPr>
              <w:t xml:space="preserve">99.48%</w:t>
            </w:r>
          </w:p>
        </w:tc>
        <w:tc>
          <w:tcPr>
            <w:tcW w:type="dxa" w:w="1100"/>
            <w:tcMar>
              <w:top w:type="dxa" w:w="60"/>
              <w:left w:type="dxa" w:w="100"/>
              <w:bottom w:type="dxa" w:w="60"/>
              <w:right w:type="dxa" w:w="100"/>
            </w:tcMar>
            <w:vAlign w:val="center"/>
          </w:tcPr>
          <w:p>
            <w:pPr>
              <w:jc w:val="center"/>
            </w:pPr>
            <w:r>
              <w:rPr>
                <w:sz w:val="20"/>
                <w:szCs w:val="20"/>
              </w:rPr>
              <w:t xml:space="preserve">2.28%</w:t>
            </w:r>
          </w:p>
        </w:tc>
      </w:tr>
      <w:tr>
        <w:tc>
          <w:tcPr>
            <w:tcW w:type="dxa" w:w="3000"/>
            <w:tcMar>
              <w:top w:type="dxa" w:w="60"/>
              <w:left w:type="dxa" w:w="100"/>
              <w:bottom w:type="dxa" w:w="60"/>
              <w:right w:type="dxa" w:w="100"/>
            </w:tcMar>
            <w:vAlign w:val="center"/>
          </w:tcPr>
          <w:p>
            <w:pPr>
              <w:jc w:val="left"/>
            </w:pPr>
            <w:r>
              <w:rPr>
                <w:sz w:val="20"/>
                <w:szCs w:val="20"/>
              </w:rPr>
              <w:t xml:space="preserve">TON_IoT — federated (near-IID)</w:t>
            </w:r>
          </w:p>
        </w:tc>
        <w:tc>
          <w:tcPr>
            <w:tcW w:type="dxa" w:w="1150"/>
            <w:tcMar>
              <w:top w:type="dxa" w:w="60"/>
              <w:left w:type="dxa" w:w="100"/>
              <w:bottom w:type="dxa" w:w="60"/>
              <w:right w:type="dxa" w:w="100"/>
            </w:tcMar>
            <w:vAlign w:val="center"/>
          </w:tcPr>
          <w:p>
            <w:pPr>
              <w:jc w:val="center"/>
            </w:pPr>
            <w:r>
              <w:rPr>
                <w:sz w:val="20"/>
                <w:szCs w:val="20"/>
              </w:rPr>
              <w:t xml:space="preserve">99.08%</w:t>
            </w:r>
          </w:p>
        </w:tc>
        <w:tc>
          <w:tcPr>
            <w:tcW w:type="dxa" w:w="1150"/>
            <w:tcMar>
              <w:top w:type="dxa" w:w="60"/>
              <w:left w:type="dxa" w:w="100"/>
              <w:bottom w:type="dxa" w:w="60"/>
              <w:right w:type="dxa" w:w="100"/>
            </w:tcMar>
            <w:vAlign w:val="center"/>
          </w:tcPr>
          <w:p>
            <w:pPr>
              <w:jc w:val="center"/>
            </w:pPr>
            <w:r>
              <w:rPr>
                <w:sz w:val="20"/>
                <w:szCs w:val="20"/>
              </w:rPr>
              <w:t xml:space="preserve">99.18%</w:t>
            </w:r>
          </w:p>
        </w:tc>
        <w:tc>
          <w:tcPr>
            <w:tcW w:type="dxa" w:w="1150"/>
            <w:tcMar>
              <w:top w:type="dxa" w:w="60"/>
              <w:left w:type="dxa" w:w="100"/>
              <w:bottom w:type="dxa" w:w="60"/>
              <w:right w:type="dxa" w:w="100"/>
            </w:tcMar>
            <w:vAlign w:val="center"/>
          </w:tcPr>
          <w:p>
            <w:pPr>
              <w:jc w:val="center"/>
            </w:pPr>
            <w:r>
              <w:rPr>
                <w:sz w:val="20"/>
                <w:szCs w:val="20"/>
              </w:rPr>
              <w:t xml:space="preserve">99.62%</w:t>
            </w:r>
          </w:p>
        </w:tc>
        <w:tc>
          <w:tcPr>
            <w:tcW w:type="dxa" w:w="1150"/>
            <w:tcMar>
              <w:top w:type="dxa" w:w="60"/>
              <w:left w:type="dxa" w:w="100"/>
              <w:bottom w:type="dxa" w:w="60"/>
              <w:right w:type="dxa" w:w="100"/>
            </w:tcMar>
            <w:vAlign w:val="center"/>
          </w:tcPr>
          <w:p>
            <w:pPr>
              <w:jc w:val="center"/>
            </w:pPr>
            <w:r>
              <w:rPr>
                <w:sz w:val="20"/>
                <w:szCs w:val="20"/>
              </w:rPr>
              <w:t xml:space="preserve">99.40%</w:t>
            </w:r>
          </w:p>
        </w:tc>
        <w:tc>
          <w:tcPr>
            <w:tcW w:type="dxa" w:w="1100"/>
            <w:tcMar>
              <w:top w:type="dxa" w:w="60"/>
              <w:left w:type="dxa" w:w="100"/>
              <w:bottom w:type="dxa" w:w="60"/>
              <w:right w:type="dxa" w:w="100"/>
            </w:tcMar>
            <w:vAlign w:val="center"/>
          </w:tcPr>
          <w:p>
            <w:pPr>
              <w:jc w:val="center"/>
            </w:pPr>
            <w:r>
              <w:rPr>
                <w:sz w:val="20"/>
                <w:szCs w:val="20"/>
              </w:rPr>
              <w:t xml:space="preserve">2.76%</w:t>
            </w:r>
          </w:p>
        </w:tc>
      </w:tr>
      <w:tr>
        <w:tc>
          <w:tcPr>
            <w:tcW w:type="dxa" w:w="3000"/>
            <w:tcMar>
              <w:top w:type="dxa" w:w="60"/>
              <w:left w:type="dxa" w:w="100"/>
              <w:bottom w:type="dxa" w:w="60"/>
              <w:right w:type="dxa" w:w="100"/>
            </w:tcMar>
            <w:vAlign w:val="center"/>
          </w:tcPr>
          <w:p>
            <w:pPr>
              <w:jc w:val="left"/>
            </w:pPr>
            <w:r>
              <w:rPr>
                <w:sz w:val="20"/>
                <w:szCs w:val="20"/>
              </w:rPr>
              <w:t xml:space="preserve">TON_IoT — federated, fixed LR</w:t>
            </w:r>
          </w:p>
        </w:tc>
        <w:tc>
          <w:tcPr>
            <w:tcW w:type="dxa" w:w="1150"/>
            <w:tcMar>
              <w:top w:type="dxa" w:w="60"/>
              <w:left w:type="dxa" w:w="100"/>
              <w:bottom w:type="dxa" w:w="60"/>
              <w:right w:type="dxa" w:w="100"/>
            </w:tcMar>
            <w:vAlign w:val="center"/>
          </w:tcPr>
          <w:p>
            <w:pPr>
              <w:jc w:val="center"/>
            </w:pPr>
            <w:r>
              <w:rPr>
                <w:sz w:val="20"/>
                <w:szCs w:val="20"/>
              </w:rPr>
              <w:t xml:space="preserve">99.02%</w:t>
            </w:r>
          </w:p>
        </w:tc>
        <w:tc>
          <w:tcPr>
            <w:tcW w:type="dxa" w:w="1150"/>
            <w:tcMar>
              <w:top w:type="dxa" w:w="60"/>
              <w:left w:type="dxa" w:w="100"/>
              <w:bottom w:type="dxa" w:w="60"/>
              <w:right w:type="dxa" w:w="100"/>
            </w:tcMar>
            <w:vAlign w:val="center"/>
          </w:tcPr>
          <w:p>
            <w:pPr>
              <w:jc w:val="center"/>
            </w:pPr>
            <w:r>
              <w:rPr>
                <w:sz w:val="20"/>
                <w:szCs w:val="20"/>
              </w:rPr>
              <w:t xml:space="preserve">99.00%</w:t>
            </w:r>
          </w:p>
        </w:tc>
        <w:tc>
          <w:tcPr>
            <w:tcW w:type="dxa" w:w="1150"/>
            <w:tcMar>
              <w:top w:type="dxa" w:w="60"/>
              <w:left w:type="dxa" w:w="100"/>
              <w:bottom w:type="dxa" w:w="60"/>
              <w:right w:type="dxa" w:w="100"/>
            </w:tcMar>
            <w:vAlign w:val="center"/>
          </w:tcPr>
          <w:p>
            <w:pPr>
              <w:jc w:val="center"/>
            </w:pPr>
            <w:r>
              <w:rPr>
                <w:sz w:val="20"/>
                <w:szCs w:val="20"/>
              </w:rPr>
              <w:t xml:space="preserve">99.73%</w:t>
            </w:r>
          </w:p>
        </w:tc>
        <w:tc>
          <w:tcPr>
            <w:tcW w:type="dxa" w:w="1150"/>
            <w:tcMar>
              <w:top w:type="dxa" w:w="60"/>
              <w:left w:type="dxa" w:w="100"/>
              <w:bottom w:type="dxa" w:w="60"/>
              <w:right w:type="dxa" w:w="100"/>
            </w:tcMar>
            <w:vAlign w:val="center"/>
          </w:tcPr>
          <w:p>
            <w:pPr>
              <w:jc w:val="center"/>
            </w:pPr>
            <w:r>
              <w:rPr>
                <w:sz w:val="20"/>
                <w:szCs w:val="20"/>
              </w:rPr>
              <w:t xml:space="preserve">99.36%</w:t>
            </w:r>
          </w:p>
        </w:tc>
        <w:tc>
          <w:tcPr>
            <w:tcW w:type="dxa" w:w="1100"/>
            <w:tcMar>
              <w:top w:type="dxa" w:w="60"/>
              <w:left w:type="dxa" w:w="100"/>
              <w:bottom w:type="dxa" w:w="60"/>
              <w:right w:type="dxa" w:w="100"/>
            </w:tcMar>
            <w:vAlign w:val="center"/>
          </w:tcPr>
          <w:p>
            <w:pPr>
              <w:jc w:val="center"/>
            </w:pPr>
            <w:r>
              <w:rPr>
                <w:sz w:val="20"/>
                <w:szCs w:val="20"/>
              </w:rPr>
              <w:t xml:space="preserve">3.38%</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A fixed learning rate (10⁻³ throughout) does as well as the cosine schedule on both datasets: F1 87.20 vs. 85.70 on CIC-IDS2017 and 99.36 vs. 99.40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000"/>
        <w:gridCol w:w="900"/>
        <w:gridCol w:w="1200"/>
        <w:gridCol w:w="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30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600"/>
            <w:tcMar>
              <w:top w:type="dxa" w:w="60"/>
              <w:left w:type="dxa" w:w="100"/>
              <w:bottom w:type="dxa" w:w="60"/>
              <w:right w:type="dxa" w:w="100"/>
            </w:tcMar>
            <w:vAlign w:val="center"/>
          </w:tcPr>
          <w:p>
            <w:pPr>
              <w:jc w:val="left"/>
            </w:pPr>
            <w:r>
              <w:rPr>
                <w:sz w:val="20"/>
                <w:szCs w:val="20"/>
              </w:rPr>
              <w:t xml:space="preserve">CIC-IDS2017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94.32%</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12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6.84%</w:t>
            </w:r>
          </w:p>
        </w:tc>
      </w:tr>
      <w:tr>
        <w:tc>
          <w:tcPr>
            <w:tcW w:type="dxa" w:w="2600"/>
            <w:tcMar>
              <w:top w:type="dxa" w:w="60"/>
              <w:left w:type="dxa" w:w="100"/>
              <w:bottom w:type="dxa" w:w="60"/>
              <w:right w:type="dxa" w:w="100"/>
            </w:tcMar>
            <w:vAlign w:val="center"/>
          </w:tcPr>
          <w:p>
            <w:pPr>
              <w:jc w:val="left"/>
            </w:pPr>
            <w:r>
              <w:rPr>
                <w:sz w:val="20"/>
                <w:szCs w:val="20"/>
              </w:rPr>
              <w:t xml:space="preserve">CIC-IDS2017 — Dirichlet(0.3)</w:t>
            </w:r>
          </w:p>
        </w:tc>
        <w:tc>
          <w:tcPr>
            <w:tcW w:type="dxa" w:w="30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1000"/>
            <w:tcMar>
              <w:top w:type="dxa" w:w="60"/>
              <w:left w:type="dxa" w:w="100"/>
              <w:bottom w:type="dxa" w:w="60"/>
              <w:right w:type="dxa" w:w="100"/>
            </w:tcMar>
            <w:vAlign w:val="center"/>
          </w:tcPr>
          <w:p>
            <w:pPr>
              <w:jc w:val="center"/>
            </w:pPr>
            <w:r>
              <w:rPr>
                <w:sz w:val="20"/>
                <w:szCs w:val="20"/>
              </w:rPr>
              <w:t xml:space="preserve">94.27%</w:t>
            </w:r>
          </w:p>
        </w:tc>
        <w:tc>
          <w:tcPr>
            <w:tcW w:type="dxa" w:w="900"/>
            <w:tcMar>
              <w:top w:type="dxa" w:w="60"/>
              <w:left w:type="dxa" w:w="100"/>
              <w:bottom w:type="dxa" w:w="60"/>
              <w:right w:type="dxa" w:w="100"/>
            </w:tcMar>
            <w:vAlign w:val="center"/>
          </w:tcPr>
          <w:p>
            <w:pPr>
              <w:jc w:val="center"/>
            </w:pPr>
            <w:r>
              <w:rPr>
                <w:sz w:val="20"/>
                <w:szCs w:val="20"/>
              </w:rPr>
              <w:t xml:space="preserve">85.59%</w:t>
            </w:r>
          </w:p>
        </w:tc>
        <w:tc>
          <w:tcPr>
            <w:tcW w:type="dxa" w:w="1200"/>
            <w:tcMar>
              <w:top w:type="dxa" w:w="60"/>
              <w:left w:type="dxa" w:w="100"/>
              <w:bottom w:type="dxa" w:w="60"/>
              <w:right w:type="dxa" w:w="100"/>
            </w:tcMar>
            <w:vAlign w:val="center"/>
          </w:tcPr>
          <w:p>
            <w:pPr>
              <w:jc w:val="center"/>
            </w:pPr>
            <w:r>
              <w:rPr>
                <w:sz w:val="20"/>
                <w:szCs w:val="20"/>
              </w:rPr>
              <w:t xml:space="preserve">99.83%</w:t>
            </w:r>
          </w:p>
        </w:tc>
        <w:tc>
          <w:tcPr>
            <w:tcW w:type="dxa" w:w="900"/>
            <w:tcMar>
              <w:top w:type="dxa" w:w="60"/>
              <w:left w:type="dxa" w:w="100"/>
              <w:bottom w:type="dxa" w:w="60"/>
              <w:right w:type="dxa" w:w="100"/>
            </w:tcMar>
            <w:vAlign w:val="center"/>
          </w:tcPr>
          <w:p>
            <w:pPr>
              <w:jc w:val="center"/>
            </w:pPr>
            <w:r>
              <w:rPr>
                <w:sz w:val="20"/>
                <w:szCs w:val="20"/>
              </w:rPr>
              <w:t xml:space="preserve">6.87%</w:t>
            </w:r>
          </w:p>
        </w:tc>
      </w:tr>
      <w:tr>
        <w:tc>
          <w:tcPr>
            <w:tcW w:type="dxa" w:w="2600"/>
            <w:tcMar>
              <w:top w:type="dxa" w:w="60"/>
              <w:left w:type="dxa" w:w="100"/>
              <w:bottom w:type="dxa" w:w="60"/>
              <w:right w:type="dxa" w:w="100"/>
            </w:tcMar>
            <w:vAlign w:val="center"/>
          </w:tcPr>
          <w:p>
            <w:pPr>
              <w:jc w:val="left"/>
            </w:pPr>
            <w:r>
              <w:rPr>
                <w:sz w:val="20"/>
                <w:szCs w:val="20"/>
              </w:rPr>
              <w:t xml:space="preserve">TON_IoT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99.08%</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2.76%</w:t>
            </w:r>
          </w:p>
        </w:tc>
      </w:tr>
      <w:tr>
        <w:tc>
          <w:tcPr>
            <w:tcW w:type="dxa" w:w="2600"/>
            <w:tcMar>
              <w:top w:type="dxa" w:w="60"/>
              <w:left w:type="dxa" w:w="100"/>
              <w:bottom w:type="dxa" w:w="60"/>
              <w:right w:type="dxa" w:w="100"/>
            </w:tcMar>
            <w:vAlign w:val="center"/>
          </w:tcPr>
          <w:p>
            <w:pPr>
              <w:jc w:val="left"/>
            </w:pPr>
            <w:r>
              <w:rPr>
                <w:sz w:val="20"/>
                <w:szCs w:val="20"/>
              </w:rPr>
              <w:t xml:space="preserve">TON_IoT — Dirichlet(0.3)</w:t>
            </w:r>
          </w:p>
        </w:tc>
        <w:tc>
          <w:tcPr>
            <w:tcW w:type="dxa" w:w="30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1000"/>
            <w:tcMar>
              <w:top w:type="dxa" w:w="60"/>
              <w:left w:type="dxa" w:w="100"/>
              <w:bottom w:type="dxa" w:w="60"/>
              <w:right w:type="dxa" w:w="100"/>
            </w:tcMar>
            <w:vAlign w:val="center"/>
          </w:tcPr>
          <w:p>
            <w:pPr>
              <w:jc w:val="center"/>
            </w:pPr>
            <w:r>
              <w:rPr>
                <w:sz w:val="20"/>
                <w:szCs w:val="20"/>
              </w:rPr>
              <w:t xml:space="preserve">97.63%</w:t>
            </w:r>
          </w:p>
        </w:tc>
        <w:tc>
          <w:tcPr>
            <w:tcW w:type="dxa" w:w="900"/>
            <w:tcMar>
              <w:top w:type="dxa" w:w="60"/>
              <w:left w:type="dxa" w:w="100"/>
              <w:bottom w:type="dxa" w:w="60"/>
              <w:right w:type="dxa" w:w="100"/>
            </w:tcMar>
            <w:vAlign w:val="center"/>
          </w:tcPr>
          <w:p>
            <w:pPr>
              <w:jc w:val="center"/>
            </w:pPr>
            <w:r>
              <w:rPr>
                <w:sz w:val="20"/>
                <w:szCs w:val="20"/>
              </w:rPr>
              <w:t xml:space="preserve">98.45%</w:t>
            </w:r>
          </w:p>
        </w:tc>
        <w:tc>
          <w:tcPr>
            <w:tcW w:type="dxa" w:w="1200"/>
            <w:tcMar>
              <w:top w:type="dxa" w:w="60"/>
              <w:left w:type="dxa" w:w="100"/>
              <w:bottom w:type="dxa" w:w="60"/>
              <w:right w:type="dxa" w:w="100"/>
            </w:tcMar>
            <w:vAlign w:val="center"/>
          </w:tcPr>
          <w:p>
            <w:pPr>
              <w:jc w:val="center"/>
            </w:pPr>
            <w:r>
              <w:rPr>
                <w:sz w:val="20"/>
                <w:szCs w:val="20"/>
              </w:rPr>
              <w:t xml:space="preserve">97.99%</w:t>
            </w:r>
          </w:p>
        </w:tc>
        <w:tc>
          <w:tcPr>
            <w:tcW w:type="dxa" w:w="900"/>
            <w:tcMar>
              <w:top w:type="dxa" w:w="60"/>
              <w:left w:type="dxa" w:w="100"/>
              <w:bottom w:type="dxa" w:w="60"/>
              <w:right w:type="dxa" w:w="100"/>
            </w:tcMar>
            <w:vAlign w:val="center"/>
          </w:tcPr>
          <w:p>
            <w:pPr>
              <w:jc w:val="center"/>
            </w:pPr>
            <w:r>
              <w:rPr>
                <w:sz w:val="20"/>
                <w:szCs w:val="20"/>
              </w:rPr>
              <w:t xml:space="preserve">3.59%</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700"/>
        <w:gridCol w:w="1000"/>
        <w:gridCol w:w="1500"/>
        <w:gridCol w:w="1000"/>
        <w:gridCol w:w="1500"/>
      </w:tblGrid>
      <w:tr>
        <w:trPr>
          <w:tblHeader/>
        </w:trPr>
        <w:tc>
          <w:tcPr>
            <w:tcW w:type="dxa" w:w="37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 FAR</w:t>
            </w:r>
          </w:p>
        </w:tc>
      </w:tr>
      <w:tr>
        <w:tc>
          <w:tcPr>
            <w:tcW w:type="dxa" w:w="3700"/>
            <w:tcMar>
              <w:top w:type="dxa" w:w="60"/>
              <w:left w:type="dxa" w:w="100"/>
              <w:bottom w:type="dxa" w:w="60"/>
              <w:right w:type="dxa" w:w="100"/>
            </w:tcMar>
            <w:vAlign w:val="center"/>
          </w:tcPr>
          <w:p>
            <w:pPr>
              <w:jc w:val="left"/>
            </w:pPr>
            <w:r>
              <w:rPr>
                <w:sz w:val="20"/>
                <w:szCs w:val="20"/>
              </w:rPr>
              <w:t xml:space="preserve">FP32 federated model (TFLite)</w:t>
            </w:r>
          </w:p>
        </w:tc>
        <w:tc>
          <w:tcPr>
            <w:tcW w:type="dxa" w:w="1000"/>
            <w:tcMar>
              <w:top w:type="dxa" w:w="60"/>
              <w:left w:type="dxa" w:w="100"/>
              <w:bottom w:type="dxa" w:w="60"/>
              <w:right w:type="dxa" w:w="100"/>
            </w:tcMar>
            <w:vAlign w:val="center"/>
          </w:tcPr>
          <w:p>
            <w:pPr>
              <w:jc w:val="center"/>
            </w:pPr>
            <w:r>
              <w:rPr>
                <w:sz w:val="20"/>
                <w:szCs w:val="20"/>
              </w:rPr>
              <w:t xml:space="preserve">802.5 KB</w:t>
            </w:r>
          </w:p>
        </w:tc>
        <w:tc>
          <w:tcPr>
            <w:tcW w:type="dxa" w:w="1500"/>
            <w:tcMar>
              <w:top w:type="dxa" w:w="60"/>
              <w:left w:type="dxa" w:w="100"/>
              <w:bottom w:type="dxa" w:w="60"/>
              <w:right w:type="dxa" w:w="100"/>
            </w:tcMar>
            <w:vAlign w:val="center"/>
          </w:tcPr>
          <w:p>
            <w:pPr>
              <w:jc w:val="center"/>
            </w:pPr>
            <w:r>
              <w:rPr>
                <w:sz w:val="20"/>
                <w:szCs w:val="20"/>
              </w:rPr>
              <w:t xml:space="preserve">85.70 / 6.84%</w:t>
            </w:r>
          </w:p>
        </w:tc>
        <w:tc>
          <w:tcPr>
            <w:tcW w:type="dxa" w:w="1000"/>
            <w:tcMar>
              <w:top w:type="dxa" w:w="60"/>
              <w:left w:type="dxa" w:w="100"/>
              <w:bottom w:type="dxa" w:w="60"/>
              <w:right w:type="dxa" w:w="100"/>
            </w:tcMar>
            <w:vAlign w:val="center"/>
          </w:tcPr>
          <w:p>
            <w:pPr>
              <w:jc w:val="center"/>
            </w:pPr>
            <w:r>
              <w:rPr>
                <w:sz w:val="20"/>
                <w:szCs w:val="20"/>
              </w:rPr>
              <w:t xml:space="preserve">720.6 KB</w:t>
            </w:r>
          </w:p>
        </w:tc>
        <w:tc>
          <w:tcPr>
            <w:tcW w:type="dxa" w:w="1500"/>
            <w:tcMar>
              <w:top w:type="dxa" w:w="60"/>
              <w:left w:type="dxa" w:w="100"/>
              <w:bottom w:type="dxa" w:w="60"/>
              <w:right w:type="dxa" w:w="100"/>
            </w:tcMar>
            <w:vAlign w:val="center"/>
          </w:tcPr>
          <w:p>
            <w:pPr>
              <w:jc w:val="center"/>
            </w:pPr>
            <w:r>
              <w:rPr>
                <w:sz w:val="20"/>
                <w:szCs w:val="20"/>
              </w:rPr>
              <w:t xml:space="preserve">99.40 / 2.76%</w:t>
            </w:r>
          </w:p>
        </w:tc>
      </w:tr>
      <w:tr>
        <w:tc>
          <w:tcPr>
            <w:tcW w:type="dxa" w:w="3700"/>
            <w:tcMar>
              <w:top w:type="dxa" w:w="60"/>
              <w:left w:type="dxa" w:w="100"/>
              <w:bottom w:type="dxa" w:w="60"/>
              <w:right w:type="dxa" w:w="100"/>
            </w:tcMar>
            <w:vAlign w:val="center"/>
          </w:tcPr>
          <w:p>
            <w:pPr>
              <w:jc w:val="left"/>
            </w:pPr>
            <w:r>
              <w:rPr>
                <w:sz w:val="20"/>
                <w:szCs w:val="20"/>
              </w:rPr>
              <w:t xml:space="preserve">INT8 PTQ only (no pruning)</w:t>
            </w:r>
          </w:p>
        </w:tc>
        <w:tc>
          <w:tcPr>
            <w:tcW w:type="dxa" w:w="1000"/>
            <w:tcMar>
              <w:top w:type="dxa" w:w="60"/>
              <w:left w:type="dxa" w:w="100"/>
              <w:bottom w:type="dxa" w:w="60"/>
              <w:right w:type="dxa" w:w="100"/>
            </w:tcMar>
            <w:vAlign w:val="center"/>
          </w:tcPr>
          <w:p>
            <w:pPr>
              <w:jc w:val="center"/>
            </w:pPr>
            <w:r>
              <w:rPr>
                <w:sz w:val="20"/>
                <w:szCs w:val="20"/>
              </w:rPr>
              <w:t xml:space="preserve">226.9 KB</w:t>
            </w:r>
          </w:p>
        </w:tc>
        <w:tc>
          <w:tcPr>
            <w:tcW w:type="dxa" w:w="1500"/>
            <w:tcMar>
              <w:top w:type="dxa" w:w="60"/>
              <w:left w:type="dxa" w:w="100"/>
              <w:bottom w:type="dxa" w:w="60"/>
              <w:right w:type="dxa" w:w="100"/>
            </w:tcMar>
            <w:vAlign w:val="center"/>
          </w:tcPr>
          <w:p>
            <w:pPr>
              <w:jc w:val="center"/>
            </w:pPr>
            <w:r>
              <w:rPr>
                <w:sz w:val="20"/>
                <w:szCs w:val="20"/>
              </w:rPr>
              <w:t xml:space="preserve">84.75 / 7.37%</w:t>
            </w:r>
          </w:p>
        </w:tc>
        <w:tc>
          <w:tcPr>
            <w:tcW w:type="dxa" w:w="1000"/>
            <w:tcMar>
              <w:top w:type="dxa" w:w="60"/>
              <w:left w:type="dxa" w:w="100"/>
              <w:bottom w:type="dxa" w:w="60"/>
              <w:right w:type="dxa" w:w="100"/>
            </w:tcMar>
            <w:vAlign w:val="center"/>
          </w:tcPr>
          <w:p>
            <w:pPr>
              <w:jc w:val="center"/>
            </w:pPr>
            <w:r>
              <w:rPr>
                <w:sz w:val="20"/>
                <w:szCs w:val="20"/>
              </w:rPr>
              <w:t xml:space="preserve">206.4 KB</w:t>
            </w:r>
          </w:p>
        </w:tc>
        <w:tc>
          <w:tcPr>
            <w:tcW w:type="dxa" w:w="1500"/>
            <w:tcMar>
              <w:top w:type="dxa" w:w="60"/>
              <w:left w:type="dxa" w:w="100"/>
              <w:bottom w:type="dxa" w:w="60"/>
              <w:right w:type="dxa" w:w="100"/>
            </w:tcMar>
            <w:vAlign w:val="center"/>
          </w:tcPr>
          <w:p>
            <w:pPr>
              <w:jc w:val="center"/>
            </w:pPr>
            <w:r>
              <w:rPr>
                <w:sz w:val="20"/>
                <w:szCs w:val="20"/>
              </w:rPr>
              <w:t xml:space="preserve">98.38 / 2.70%</w:t>
            </w:r>
          </w:p>
        </w:tc>
      </w:tr>
      <w:tr>
        <w:tc>
          <w:tcPr>
            <w:tcW w:type="dxa" w:w="3700"/>
            <w:tcMar>
              <w:top w:type="dxa" w:w="60"/>
              <w:left w:type="dxa" w:w="100"/>
              <w:bottom w:type="dxa" w:w="60"/>
              <w:right w:type="dxa" w:w="100"/>
            </w:tcMar>
            <w:vAlign w:val="center"/>
          </w:tcPr>
          <w:p>
            <w:pPr>
              <w:jc w:val="left"/>
            </w:pPr>
            <w:r>
              <w:rPr>
                <w:sz w:val="20"/>
                <w:szCs w:val="20"/>
              </w:rPr>
              <w:t xml:space="preserve">Prune 50%, no fine-tuning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42.28 / 56.04%</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96.78 / 18.15%</w:t>
            </w:r>
          </w:p>
        </w:tc>
      </w:tr>
      <w:tr>
        <w:tc>
          <w:tcPr>
            <w:tcW w:type="dxa" w:w="3700"/>
            <w:tcMar>
              <w:top w:type="dxa" w:w="60"/>
              <w:left w:type="dxa" w:w="100"/>
              <w:bottom w:type="dxa" w:w="60"/>
              <w:right w:type="dxa" w:w="100"/>
            </w:tcMar>
            <w:vAlign w:val="center"/>
          </w:tcPr>
          <w:p>
            <w:pPr>
              <w:jc w:val="left"/>
            </w:pPr>
            <w:r>
              <w:rPr>
                <w:sz w:val="20"/>
                <w:szCs w:val="20"/>
              </w:rPr>
              <w:t xml:space="preserve">Prune 50% → client FT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86.90 / 6.08%</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90.50 / 14.00%</w:t>
            </w:r>
          </w:p>
        </w:tc>
      </w:tr>
      <w:tr>
        <w:tc>
          <w:tcPr>
            <w:tcW w:type="dxa" w:w="3700"/>
            <w:tcMar>
              <w:top w:type="dxa" w:w="60"/>
              <w:left w:type="dxa" w:w="100"/>
              <w:bottom w:type="dxa" w:w="60"/>
              <w:right w:type="dxa" w:w="100"/>
            </w:tcMar>
            <w:vAlign w:val="center"/>
          </w:tcPr>
          <w:p>
            <w:pPr>
              <w:jc w:val="left"/>
            </w:pPr>
            <w:r>
              <w:rPr>
                <w:sz w:val="20"/>
                <w:szCs w:val="20"/>
              </w:rPr>
              <w:t xml:space="preserve">Prune 50% → client FT → QAT FT → INT8 (deployed)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85.59 / 6.82%</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98.74 / 2.88%</w:t>
            </w:r>
          </w:p>
        </w:tc>
      </w:tr>
      <w:tr>
        <w:tc>
          <w:tcPr>
            <w:tcW w:type="dxa" w:w="37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90.72 / 2.98%</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99.17 / 3.28%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18% on TON_IoT). With fine-tuning and QAT fine-tuning on one client's local data, the deployed INT8 model is 65.4 KB on CIC-IDS2017 (802.5 / 65.4 = 12.27×) and 55.2 KB on TON_IoT (13.05×), and it matches the float federated model (F1 85.59 vs. 85.70 and 98.74 vs. 99.40). The deployed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mostly by shifting the operating point toward precision (FAR 2.98%).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Deployed INT8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300"/>
            <w:tcMar>
              <w:top w:type="dxa" w:w="60"/>
              <w:left w:type="dxa" w:w="100"/>
              <w:bottom w:type="dxa" w:w="60"/>
              <w:right w:type="dxa" w:w="100"/>
            </w:tcMar>
            <w:vAlign w:val="center"/>
          </w:tcPr>
          <w:p>
            <w:pPr>
              <w:jc w:val="left"/>
            </w:pPr>
            <w:r>
              <w:rPr>
                <w:sz w:val="20"/>
                <w:szCs w:val="20"/>
              </w:rPr>
              <w:t xml:space="preserve">CIC-IDS2017 near-IID</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85.59</w:t>
            </w:r>
          </w:p>
        </w:tc>
        <w:tc>
          <w:tcPr>
            <w:tcW w:type="dxa" w:w="1100"/>
            <w:tcMar>
              <w:top w:type="dxa" w:w="60"/>
              <w:left w:type="dxa" w:w="100"/>
              <w:bottom w:type="dxa" w:w="60"/>
              <w:right w:type="dxa" w:w="100"/>
            </w:tcMar>
            <w:vAlign w:val="center"/>
          </w:tcPr>
          <w:p>
            <w:pPr>
              <w:jc w:val="center"/>
            </w:pPr>
            <w:r>
              <w:rPr>
                <w:sz w:val="20"/>
                <w:szCs w:val="20"/>
              </w:rPr>
              <w:t xml:space="preserve">6.82%</w:t>
            </w:r>
          </w:p>
        </w:tc>
      </w:tr>
      <w:tr>
        <w:tc>
          <w:tcPr>
            <w:tcW w:type="dxa" w:w="3300"/>
            <w:tcMar>
              <w:top w:type="dxa" w:w="60"/>
              <w:left w:type="dxa" w:w="100"/>
              <w:bottom w:type="dxa" w:w="60"/>
              <w:right w:type="dxa" w:w="100"/>
            </w:tcMar>
            <w:vAlign w:val="center"/>
          </w:tcPr>
          <w:p>
            <w:pPr>
              <w:jc w:val="left"/>
            </w:pPr>
            <w:r>
              <w:rPr>
                <w:sz w:val="20"/>
                <w:szCs w:val="20"/>
              </w:rPr>
              <w:t xml:space="preserve">CIC-IDS2017 Dirichlet(0.3)</w:t>
            </w:r>
          </w:p>
        </w:tc>
        <w:tc>
          <w:tcPr>
            <w:tcW w:type="dxa" w:w="2800"/>
            <w:tcMar>
              <w:top w:type="dxa" w:w="60"/>
              <w:left w:type="dxa" w:w="100"/>
              <w:bottom w:type="dxa" w:w="60"/>
              <w:right w:type="dxa" w:w="100"/>
            </w:tcMar>
            <w:vAlign w:val="center"/>
          </w:tcPr>
          <w:p>
            <w:pPr>
              <w:jc w:val="center"/>
            </w:pPr>
            <w:r>
              <w:rPr>
                <w:sz w:val="20"/>
                <w:szCs w:val="20"/>
              </w:rPr>
              <w:t xml:space="preserve">client 3 (24.9%)</w:t>
            </w:r>
          </w:p>
        </w:tc>
        <w:tc>
          <w:tcPr>
            <w:tcW w:type="dxa" w:w="1600"/>
            <w:tcMar>
              <w:top w:type="dxa" w:w="60"/>
              <w:left w:type="dxa" w:w="100"/>
              <w:bottom w:type="dxa" w:w="60"/>
              <w:right w:type="dxa" w:w="100"/>
            </w:tcMar>
            <w:vAlign w:val="center"/>
          </w:tcPr>
          <w:p>
            <w:pPr>
              <w:jc w:val="center"/>
            </w:pPr>
            <w:r>
              <w:rPr>
                <w:sz w:val="20"/>
                <w:szCs w:val="20"/>
              </w:rPr>
              <w:t xml:space="preserve">91.08</w:t>
            </w:r>
          </w:p>
        </w:tc>
        <w:tc>
          <w:tcPr>
            <w:tcW w:type="dxa" w:w="1100"/>
            <w:tcMar>
              <w:top w:type="dxa" w:w="60"/>
              <w:left w:type="dxa" w:w="100"/>
              <w:bottom w:type="dxa" w:w="60"/>
              <w:right w:type="dxa" w:w="100"/>
            </w:tcMar>
            <w:vAlign w:val="center"/>
          </w:tcPr>
          <w:p>
            <w:pPr>
              <w:jc w:val="center"/>
            </w:pPr>
            <w:r>
              <w:rPr>
                <w:sz w:val="20"/>
                <w:szCs w:val="20"/>
              </w:rPr>
              <w:t xml:space="preserve">2.75%</w:t>
            </w:r>
          </w:p>
        </w:tc>
      </w:tr>
      <w:tr>
        <w:tc>
          <w:tcPr>
            <w:tcW w:type="dxa" w:w="33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81.84</w:t>
            </w:r>
          </w:p>
        </w:tc>
        <w:tc>
          <w:tcPr>
            <w:tcW w:type="dxa" w:w="1100"/>
            <w:tcMar>
              <w:top w:type="dxa" w:w="60"/>
              <w:left w:type="dxa" w:w="100"/>
              <w:bottom w:type="dxa" w:w="60"/>
              <w:right w:type="dxa" w:w="100"/>
            </w:tcMar>
            <w:vAlign w:val="center"/>
          </w:tcPr>
          <w:p>
            <w:pPr>
              <w:jc w:val="center"/>
            </w:pPr>
            <w:r>
              <w:rPr>
                <w:sz w:val="20"/>
                <w:szCs w:val="20"/>
              </w:rPr>
              <w:t xml:space="preserve">8.84%</w:t>
            </w:r>
          </w:p>
        </w:tc>
      </w:tr>
      <w:tr>
        <w:tc>
          <w:tcPr>
            <w:tcW w:type="dxa" w:w="3300"/>
            <w:tcMar>
              <w:top w:type="dxa" w:w="60"/>
              <w:left w:type="dxa" w:w="100"/>
              <w:bottom w:type="dxa" w:w="60"/>
              <w:right w:type="dxa" w:w="100"/>
            </w:tcMar>
            <w:vAlign w:val="center"/>
          </w:tcPr>
          <w:p>
            <w:pPr>
              <w:jc w:val="left"/>
            </w:pPr>
            <w:r>
              <w:rPr>
                <w:sz w:val="20"/>
                <w:szCs w:val="20"/>
              </w:rPr>
              <w:t xml:space="preserve">TON_IoT near-IID</w:t>
            </w:r>
          </w:p>
        </w:tc>
        <w:tc>
          <w:tcPr>
            <w:tcW w:type="dxa" w:w="2800"/>
            <w:tcMar>
              <w:top w:type="dxa" w:w="60"/>
              <w:left w:type="dxa" w:w="100"/>
              <w:bottom w:type="dxa" w:w="60"/>
              <w:right w:type="dxa" w:w="100"/>
            </w:tcMar>
            <w:vAlign w:val="center"/>
          </w:tcPr>
          <w:p>
            <w:pPr>
              <w:jc w:val="center"/>
            </w:pPr>
            <w:r>
              <w:rPr>
                <w:sz w:val="20"/>
                <w:szCs w:val="20"/>
              </w:rPr>
              <w:t xml:space="preserve">client 0 (50.1%)</w:t>
            </w:r>
          </w:p>
        </w:tc>
        <w:tc>
          <w:tcPr>
            <w:tcW w:type="dxa" w:w="1600"/>
            <w:tcMar>
              <w:top w:type="dxa" w:w="60"/>
              <w:left w:type="dxa" w:w="100"/>
              <w:bottom w:type="dxa" w:w="60"/>
              <w:right w:type="dxa" w:w="100"/>
            </w:tcMar>
            <w:vAlign w:val="center"/>
          </w:tcPr>
          <w:p>
            <w:pPr>
              <w:jc w:val="center"/>
            </w:pPr>
            <w:r>
              <w:rPr>
                <w:sz w:val="20"/>
                <w:szCs w:val="20"/>
              </w:rPr>
              <w:t xml:space="preserve">98.74</w:t>
            </w:r>
          </w:p>
        </w:tc>
        <w:tc>
          <w:tcPr>
            <w:tcW w:type="dxa" w:w="1100"/>
            <w:tcMar>
              <w:top w:type="dxa" w:w="60"/>
              <w:left w:type="dxa" w:w="100"/>
              <w:bottom w:type="dxa" w:w="60"/>
              <w:right w:type="dxa" w:w="100"/>
            </w:tcMar>
            <w:vAlign w:val="center"/>
          </w:tcPr>
          <w:p>
            <w:pPr>
              <w:jc w:val="center"/>
            </w:pPr>
            <w:r>
              <w:rPr>
                <w:sz w:val="20"/>
                <w:szCs w:val="20"/>
              </w:rPr>
              <w:t xml:space="preserve">2.88%</w:t>
            </w:r>
          </w:p>
        </w:tc>
      </w:tr>
      <w:tr>
        <w:tc>
          <w:tcPr>
            <w:tcW w:type="dxa" w:w="3300"/>
            <w:tcMar>
              <w:top w:type="dxa" w:w="60"/>
              <w:left w:type="dxa" w:w="100"/>
              <w:bottom w:type="dxa" w:w="60"/>
              <w:right w:type="dxa" w:w="100"/>
            </w:tcMar>
            <w:vAlign w:val="center"/>
          </w:tcPr>
          <w:p>
            <w:pPr>
              <w:jc w:val="left"/>
            </w:pPr>
            <w:r>
              <w:rPr>
                <w:sz w:val="20"/>
                <w:szCs w:val="20"/>
              </w:rPr>
              <w:t xml:space="preserve">TON_IoT Dirichlet(0.3)</w:t>
            </w:r>
          </w:p>
        </w:tc>
        <w:tc>
          <w:tcPr>
            <w:tcW w:type="dxa" w:w="2800"/>
            <w:tcMar>
              <w:top w:type="dxa" w:w="60"/>
              <w:left w:type="dxa" w:w="100"/>
              <w:bottom w:type="dxa" w:w="60"/>
              <w:right w:type="dxa" w:w="100"/>
            </w:tcMar>
            <w:vAlign w:val="center"/>
          </w:tcPr>
          <w:p>
            <w:pPr>
              <w:jc w:val="center"/>
            </w:pPr>
            <w:r>
              <w:rPr>
                <w:sz w:val="20"/>
                <w:szCs w:val="20"/>
              </w:rPr>
              <w:t xml:space="preserve">client 2 (65.5%)</w:t>
            </w:r>
          </w:p>
        </w:tc>
        <w:tc>
          <w:tcPr>
            <w:tcW w:type="dxa" w:w="1600"/>
            <w:tcMar>
              <w:top w:type="dxa" w:w="60"/>
              <w:left w:type="dxa" w:w="100"/>
              <w:bottom w:type="dxa" w:w="60"/>
              <w:right w:type="dxa" w:w="100"/>
            </w:tcMar>
            <w:vAlign w:val="center"/>
          </w:tcPr>
          <w:p>
            <w:pPr>
              <w:jc w:val="center"/>
            </w:pPr>
            <w:r>
              <w:rPr>
                <w:sz w:val="20"/>
                <w:szCs w:val="20"/>
              </w:rPr>
              <w:t xml:space="preserve">98.72</w:t>
            </w:r>
          </w:p>
        </w:tc>
        <w:tc>
          <w:tcPr>
            <w:tcW w:type="dxa" w:w="1100"/>
            <w:tcMar>
              <w:top w:type="dxa" w:w="60"/>
              <w:left w:type="dxa" w:w="100"/>
              <w:bottom w:type="dxa" w:w="60"/>
              <w:right w:type="dxa" w:w="100"/>
            </w:tcMar>
            <w:vAlign w:val="center"/>
          </w:tcPr>
          <w:p>
            <w:pPr>
              <w:jc w:val="center"/>
            </w:pPr>
            <w:r>
              <w:rPr>
                <w:sz w:val="20"/>
                <w:szCs w:val="20"/>
              </w:rPr>
              <w:t xml:space="preserve">3.11%</w:t>
            </w:r>
          </w:p>
        </w:tc>
      </w:tr>
    </w:tbl>
    <w:p>
      <w:pPr>
        <w:spacing w:after="240" w:before="80"/>
      </w:pPr>
      <w:r>
        <w:rPr>
          <w:i/>
          <w:iCs/>
          <w:sz w:val="20"/>
          <w:szCs w:val="20"/>
        </w:rPr>
        <w:t xml:space="preserve">Table 4. Deployed-model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best model we observed (F1 91.08, FAR 2.75%).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deployed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deployed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(deployed)</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For the deployed CIC-IDS2017 model (65.4 KB INT8), 99.66% Attack Recall means 0.34% of attack flows are missed (291 of 85,173 test attacks). The 6.82% FAR means about one in fifteen benign flows raises an alert. For the deployed TON_IoT model, 1.65% of attacks are missed (268 of 16,214) and 2.88% of benign records are flagged. The fixed 0.3 threshold deliberately favours recall. A deployment with a known alert budget should instead pick the threshold from a precision-recall curve on validation data, which we leave as future work (Section 8). Section 5.4 shows that the fine-tuning client's class mix shifts this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721 KB · 99.40</w:t>
            </w:r>
          </w:p>
        </w:tc>
        <w:tc>
          <w:tcPr>
            <w:tcW w:type="dxa" w:w="1450"/>
            <w:tcMar>
              <w:top w:type="dxa" w:w="60"/>
              <w:left w:type="dxa" w:w="100"/>
              <w:bottom w:type="dxa" w:w="60"/>
              <w:right w:type="dxa" w:w="100"/>
            </w:tcMar>
            <w:vAlign w:val="center"/>
          </w:tcPr>
          <w:p>
            <w:pPr>
              <w:jc w:val="center"/>
            </w:pPr>
            <w:r>
              <w:rPr>
                <w:sz w:val="20"/>
                <w:szCs w:val="20"/>
              </w:rPr>
              <w:t xml:space="preserve">202 KB · 99.35</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196 KB · 99.40</w:t>
            </w:r>
          </w:p>
        </w:tc>
        <w:tc>
          <w:tcPr>
            <w:tcW w:type="dxa" w:w="1450"/>
            <w:tcMar>
              <w:top w:type="dxa" w:w="60"/>
              <w:left w:type="dxa" w:w="100"/>
              <w:bottom w:type="dxa" w:w="60"/>
              <w:right w:type="dxa" w:w="100"/>
            </w:tcMar>
            <w:vAlign w:val="center"/>
          </w:tcPr>
          <w:p>
            <w:pPr>
              <w:jc w:val="center"/>
            </w:pPr>
            <w:r>
              <w:rPr>
                <w:sz w:val="20"/>
                <w:szCs w:val="20"/>
              </w:rPr>
              <w:t xml:space="preserve">59 KB · 99.35</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363 KB · 99.40</w:t>
            </w:r>
          </w:p>
        </w:tc>
        <w:tc>
          <w:tcPr>
            <w:tcW w:type="dxa" w:w="1450"/>
            <w:tcMar>
              <w:top w:type="dxa" w:w="60"/>
              <w:left w:type="dxa" w:w="100"/>
              <w:bottom w:type="dxa" w:w="60"/>
              <w:right w:type="dxa" w:w="100"/>
            </w:tcMar>
            <w:vAlign w:val="center"/>
          </w:tcPr>
          <w:p>
            <w:pPr>
              <w:jc w:val="center"/>
            </w:pPr>
            <w:r>
              <w:rPr>
                <w:sz w:val="20"/>
                <w:szCs w:val="20"/>
              </w:rPr>
              <w:t xml:space="preserve">103 KB · 99.35</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206 KB · 91.24</w:t>
            </w:r>
          </w:p>
        </w:tc>
        <w:tc>
          <w:tcPr>
            <w:tcW w:type="dxa" w:w="1450"/>
            <w:tcMar>
              <w:top w:type="dxa" w:w="60"/>
              <w:left w:type="dxa" w:w="100"/>
              <w:bottom w:type="dxa" w:w="60"/>
              <w:right w:type="dxa" w:w="100"/>
            </w:tcMar>
            <w:vAlign w:val="center"/>
          </w:tcPr>
          <w:p>
            <w:pPr>
              <w:jc w:val="center"/>
            </w:pPr>
            <w:r>
              <w:rPr>
                <w:sz w:val="20"/>
                <w:szCs w:val="20"/>
              </w:rPr>
              <w:t xml:space="preserve">65 KB · 90.50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217 KB · 99.40</w:t>
            </w:r>
          </w:p>
        </w:tc>
        <w:tc>
          <w:tcPr>
            <w:tcW w:type="dxa" w:w="1450"/>
            <w:tcMar>
              <w:top w:type="dxa" w:w="60"/>
              <w:left w:type="dxa" w:w="100"/>
              <w:bottom w:type="dxa" w:w="60"/>
              <w:right w:type="dxa" w:w="100"/>
            </w:tcMar>
            <w:vAlign w:val="center"/>
          </w:tcPr>
          <w:p>
            <w:pPr>
              <w:jc w:val="center"/>
            </w:pPr>
            <w:r>
              <w:rPr>
                <w:sz w:val="20"/>
                <w:szCs w:val="20"/>
              </w:rPr>
              <w:t xml:space="preserve">70 KB · 99.35</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(deployed,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55 KB · 98.74</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14.3% and 14.0%;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8.2–8.9 F1 on TON_IoT, where FAR rises from 2.8% to 14%.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98.38 vs. 91.24). We therefore converted each federated model 45 more times, varying the calibration source (pooled data or any one of the four clients), the number of samples (100, 500, 2,000), and the random draw (three per setting). The source does not matter: for every source the median F1 is 98.97–99.30 on TON_IoT and 83.1–83.8 on CIC-IDS2017. The draw does (Table 7). On TON_IoT the same model ranges from F1 12.28 to 99.38, and on CIC-IDS2017 from 29.16 to 85.02. More calibration data makes it worse, not better: with 100 samples, 12 of 15 TON_IoT conversions are within one F1 point of FP32, with 2,000 samples only 3 of 15, and 10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99.31</w:t>
            </w:r>
          </w:p>
        </w:tc>
        <w:tc>
          <w:tcPr>
            <w:tcW w:type="dxa" w:w="1200"/>
            <w:tcMar>
              <w:top w:type="dxa" w:w="60"/>
              <w:left w:type="dxa" w:w="100"/>
              <w:bottom w:type="dxa" w:w="60"/>
              <w:right w:type="dxa" w:w="100"/>
            </w:tcMar>
            <w:vAlign w:val="center"/>
          </w:tcPr>
          <w:p>
            <w:pPr>
              <w:jc w:val="center"/>
            </w:pPr>
            <w:r>
              <w:rPr>
                <w:sz w:val="20"/>
                <w:szCs w:val="20"/>
              </w:rPr>
              <w:t xml:space="preserve">90.99</w:t>
            </w:r>
          </w:p>
        </w:tc>
        <w:tc>
          <w:tcPr>
            <w:tcW w:type="dxa" w:w="1500"/>
            <w:tcMar>
              <w:top w:type="dxa" w:w="60"/>
              <w:left w:type="dxa" w:w="100"/>
              <w:bottom w:type="dxa" w:w="60"/>
              <w:right w:type="dxa" w:w="100"/>
            </w:tcMar>
            <w:vAlign w:val="center"/>
          </w:tcPr>
          <w:p>
            <w:pPr>
              <w:jc w:val="center"/>
            </w:pPr>
            <w:r>
              <w:rPr>
                <w:sz w:val="20"/>
                <w:szCs w:val="20"/>
              </w:rPr>
              <w:t xml:space="preserve">12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99.30</w:t>
            </w:r>
          </w:p>
        </w:tc>
        <w:tc>
          <w:tcPr>
            <w:tcW w:type="dxa" w:w="1200"/>
            <w:tcMar>
              <w:top w:type="dxa" w:w="60"/>
              <w:left w:type="dxa" w:w="100"/>
              <w:bottom w:type="dxa" w:w="60"/>
              <w:right w:type="dxa" w:w="100"/>
            </w:tcMar>
            <w:vAlign w:val="center"/>
          </w:tcPr>
          <w:p>
            <w:pPr>
              <w:jc w:val="center"/>
            </w:pPr>
            <w:r>
              <w:rPr>
                <w:sz w:val="20"/>
                <w:szCs w:val="20"/>
              </w:rPr>
              <w:t xml:space="preserve">26.19</w:t>
            </w:r>
          </w:p>
        </w:tc>
        <w:tc>
          <w:tcPr>
            <w:tcW w:type="dxa" w:w="1500"/>
            <w:tcMar>
              <w:top w:type="dxa" w:w="60"/>
              <w:left w:type="dxa" w:w="100"/>
              <w:bottom w:type="dxa" w:w="60"/>
              <w:right w:type="dxa" w:w="100"/>
            </w:tcMar>
            <w:vAlign w:val="center"/>
          </w:tcPr>
          <w:p>
            <w:pPr>
              <w:jc w:val="center"/>
            </w:pPr>
            <w:r>
              <w:rPr>
                <w:sz w:val="20"/>
                <w:szCs w:val="20"/>
              </w:rPr>
              <w:t xml:space="preserve">11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91.23</w:t>
            </w:r>
          </w:p>
        </w:tc>
        <w:tc>
          <w:tcPr>
            <w:tcW w:type="dxa" w:w="1200"/>
            <w:tcMar>
              <w:top w:type="dxa" w:w="60"/>
              <w:left w:type="dxa" w:w="100"/>
              <w:bottom w:type="dxa" w:w="60"/>
              <w:right w:type="dxa" w:w="100"/>
            </w:tcMar>
            <w:vAlign w:val="center"/>
          </w:tcPr>
          <w:p>
            <w:pPr>
              <w:jc w:val="center"/>
            </w:pPr>
            <w:r>
              <w:rPr>
                <w:sz w:val="20"/>
                <w:szCs w:val="20"/>
              </w:rPr>
              <w:t xml:space="preserve">12.28</w:t>
            </w:r>
          </w:p>
        </w:tc>
        <w:tc>
          <w:tcPr>
            <w:tcW w:type="dxa" w:w="1500"/>
            <w:tcMar>
              <w:top w:type="dxa" w:w="60"/>
              <w:left w:type="dxa" w:w="100"/>
              <w:bottom w:type="dxa" w:w="60"/>
              <w:right w:type="dxa" w:w="100"/>
            </w:tcMar>
            <w:vAlign w:val="center"/>
          </w:tcPr>
          <w:p>
            <w:pPr>
              <w:jc w:val="center"/>
            </w:pPr>
            <w:r>
              <w:rPr>
                <w:sz w:val="20"/>
                <w:szCs w:val="20"/>
              </w:rPr>
              <w:t xml:space="preserve">3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w:t>
      </w:r>
    </w:p>
    <w:p>
      <w:pPr>
        <w:spacing w:after="160"/>
      </w:pPr>
      <w:r>
        <w:t xml:space="preserve">This pattern is what min/max activation calibration produces on heavy-tailed inputs (Section 5.6): a larger calibration set is more likely to contain a rare extreme record that stretches an activation range until ordinary inputs share a few INT8 levels. We have not yet inspected the per-tensor ranges to confirm this mechanism. The difference between Tables 3 and 6 is therefore a draw effect, not an effect of federated data, and any single full-integer PTQ number, including Table 3's, is one sample from a wide distribution. QAT fine-tuning learns its activation ranges as moving averages during fine-tuning, and none of the QAT-fine-tuned models in Tables 3–4 and Figure 1 collapsed (TON_IoT F1 98.6–99.2). </w:t>
      </w:r>
      <w:r>
        <w:rPr>
          <w:b/>
          <w:bCs/>
          <w:color w:val="C00000"/>
        </w:rPr>
        <w:t xml:space="preserve">[PENDING: QAT fine-tuning repeated over fine-tuning draws, and PTQ with clipped calibration inputs, job 2026-10-04_m]</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and QAT fine-tuning is the route that reaches it without the calibration instability of PTQ.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64.9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99.35 / 99.31 / 98.90</w:t>
            </w:r>
          </w:p>
        </w:tc>
        <w:tc>
          <w:tcPr>
            <w:tcW w:type="dxa" w:w="1600"/>
            <w:tcMar>
              <w:top w:type="dxa" w:w="60"/>
              <w:left w:type="dxa" w:w="100"/>
              <w:bottom w:type="dxa" w:w="60"/>
              <w:right w:type="dxa" w:w="100"/>
            </w:tcMar>
            <w:vAlign w:val="center"/>
          </w:tcPr>
          <w:p>
            <w:pPr>
              <w:jc w:val="center"/>
            </w:pPr>
            <w:r>
              <w:rPr>
                <w:sz w:val="20"/>
                <w:szCs w:val="20"/>
              </w:rPr>
              <w:t xml:space="preserve">99.35 / 97.06 / 98.93</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24.1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99.35 / 99.24 / 99.01</w:t>
            </w:r>
          </w:p>
        </w:tc>
        <w:tc>
          <w:tcPr>
            <w:tcW w:type="dxa" w:w="1600"/>
            <w:tcMar>
              <w:top w:type="dxa" w:w="60"/>
              <w:left w:type="dxa" w:w="100"/>
              <w:bottom w:type="dxa" w:w="60"/>
              <w:right w:type="dxa" w:w="100"/>
            </w:tcMar>
            <w:vAlign w:val="center"/>
          </w:tcPr>
          <w:p>
            <w:pPr>
              <w:jc w:val="center"/>
            </w:pPr>
            <w:r>
              <w:rPr>
                <w:sz w:val="20"/>
                <w:szCs w:val="20"/>
              </w:rPr>
              <w:t xml:space="preserve">99.36 / 98.75 / 98.98</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11.2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99.16 / 99.16 / 98.82</w:t>
            </w:r>
          </w:p>
        </w:tc>
        <w:tc>
          <w:tcPr>
            <w:tcW w:type="dxa" w:w="1600"/>
            <w:tcMar>
              <w:top w:type="dxa" w:w="60"/>
              <w:left w:type="dxa" w:w="100"/>
              <w:bottom w:type="dxa" w:w="60"/>
              <w:right w:type="dxa" w:w="100"/>
            </w:tcMar>
            <w:vAlign w:val="center"/>
          </w:tcPr>
          <w:p>
            <w:pPr>
              <w:jc w:val="center"/>
            </w:pPr>
            <w:r>
              <w:rPr>
                <w:sz w:val="20"/>
                <w:szCs w:val="20"/>
              </w:rPr>
              <w:t xml:space="preserve">99.14 / 98.70 / 98.81</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720.6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99.40</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9.4 KB at 1/8 width).</w:t>
      </w:r>
    </w:p>
    <w:p>
      <w:pPr>
        <w:spacing w:after="160"/>
      </w:pPr>
      <w:r>
        <w:t xml:space="preserve">On TON_IoT, distillation gives the most compact models in this paper: the 1/8-width distilled student keeps F1 99.16 at 11.2 KB with plain INT8 PTQ (64× smaller than the FP32 federated model), and distillation makes the student robust to INT8 PTQ (at most 0.11 F1 lost, against up to 2.3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deployed model).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300"/>
        <w:gridCol w:w="900"/>
        <w:gridCol w:w="1900"/>
        <w:gridCol w:w="9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attacks</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attacks</w:t>
            </w:r>
          </w:p>
        </w:tc>
      </w:tr>
      <w:tr>
        <w:tc>
          <w:tcPr>
            <w:tcW w:type="dxa" w:w="2100"/>
            <w:tcMar>
              <w:top w:type="dxa" w:w="60"/>
              <w:left w:type="dxa" w:w="100"/>
              <w:bottom w:type="dxa" w:w="60"/>
              <w:right w:type="dxa" w:w="100"/>
            </w:tcMar>
            <w:vAlign w:val="center"/>
          </w:tcPr>
          <w:p>
            <w:pPr>
              <w:jc w:val="left"/>
            </w:pPr>
            <w:r>
              <w:rPr>
                <w:sz w:val="20"/>
                <w:szCs w:val="20"/>
              </w:rPr>
              <w:t xml:space="preserve">CIC near-IID, clients 0–3</w:t>
            </w:r>
          </w:p>
        </w:tc>
        <w:tc>
          <w:tcPr>
            <w:tcW w:type="dxa" w:w="1500"/>
            <w:tcMar>
              <w:top w:type="dxa" w:w="60"/>
              <w:left w:type="dxa" w:w="100"/>
              <w:bottom w:type="dxa" w:w="60"/>
              <w:right w:type="dxa" w:w="100"/>
            </w:tcMar>
            <w:vAlign w:val="center"/>
          </w:tcPr>
          <w:p>
            <w:pPr>
              <w:jc w:val="center"/>
            </w:pPr>
            <w:r>
              <w:rPr>
                <w:sz w:val="20"/>
                <w:szCs w:val="20"/>
              </w:rPr>
              <w:t xml:space="preserve">681k each (50%)</w:t>
            </w:r>
          </w:p>
        </w:tc>
        <w:tc>
          <w:tcPr>
            <w:tcW w:type="dxa" w:w="2300"/>
            <w:tcMar>
              <w:top w:type="dxa" w:w="60"/>
              <w:left w:type="dxa" w:w="100"/>
              <w:bottom w:type="dxa" w:w="60"/>
              <w:right w:type="dxa" w:w="100"/>
            </w:tcMar>
            <w:vAlign w:val="center"/>
          </w:tcPr>
          <w:p>
            <w:pPr>
              <w:jc w:val="center"/>
            </w:pPr>
            <w:r>
              <w:rPr>
                <w:sz w:val="20"/>
                <w:szCs w:val="20"/>
              </w:rPr>
              <w:t xml:space="preserve">88.3–90.0 / 98.85–99.78% / 4.5–5.2%</w:t>
            </w:r>
          </w:p>
        </w:tc>
        <w:tc>
          <w:tcPr>
            <w:tcW w:type="dxa" w:w="900"/>
            <w:tcMar>
              <w:top w:type="dxa" w:w="60"/>
              <w:left w:type="dxa" w:w="100"/>
              <w:bottom w:type="dxa" w:w="60"/>
              <w:right w:type="dxa" w:w="100"/>
            </w:tcMar>
            <w:vAlign w:val="center"/>
          </w:tcPr>
          <w:p>
            <w:pPr>
              <w:jc w:val="center"/>
            </w:pPr>
            <w:r>
              <w:rPr>
                <w:sz w:val="20"/>
                <w:szCs w:val="20"/>
              </w:rPr>
              <w:t xml:space="preserve">185–982</w:t>
            </w:r>
          </w:p>
        </w:tc>
        <w:tc>
          <w:tcPr>
            <w:tcW w:type="dxa" w:w="1900"/>
            <w:tcMar>
              <w:top w:type="dxa" w:w="60"/>
              <w:left w:type="dxa" w:w="100"/>
              <w:bottom w:type="dxa" w:w="60"/>
              <w:right w:type="dxa" w:w="100"/>
            </w:tcMar>
            <w:vAlign w:val="center"/>
          </w:tcPr>
          <w:p>
            <w:pPr>
              <w:jc w:val="center"/>
            </w:pPr>
            <w:r>
              <w:rPr>
                <w:sz w:val="20"/>
                <w:szCs w:val="20"/>
              </w:rPr>
              <w:t xml:space="preserve">85.70 / 99.94% / 6.84%</w:t>
            </w:r>
          </w:p>
        </w:tc>
        <w:tc>
          <w:tcPr>
            <w:tcW w:type="dxa" w:w="900"/>
            <w:tcMar>
              <w:top w:type="dxa" w:w="60"/>
              <w:left w:type="dxa" w:w="100"/>
              <w:bottom w:type="dxa" w:w="60"/>
              <w:right w:type="dxa" w:w="100"/>
            </w:tcMar>
            <w:vAlign w:val="center"/>
          </w:tcPr>
          <w:p>
            <w:pPr>
              <w:jc w:val="center"/>
            </w:pPr>
            <w:r>
              <w:rPr>
                <w:sz w:val="20"/>
                <w:szCs w:val="20"/>
              </w:rPr>
              <w:t xml:space="preserve">52</w:t>
            </w:r>
          </w:p>
        </w:tc>
      </w:tr>
      <w:tr>
        <w:tc>
          <w:tcPr>
            <w:tcW w:type="dxa" w:w="2100"/>
            <w:tcMar>
              <w:top w:type="dxa" w:w="60"/>
              <w:left w:type="dxa" w:w="100"/>
              <w:bottom w:type="dxa" w:w="60"/>
              <w:right w:type="dxa" w:w="100"/>
            </w:tcMar>
            <w:vAlign w:val="center"/>
          </w:tcPr>
          <w:p>
            <w:pPr>
              <w:jc w:val="left"/>
            </w:pPr>
            <w:r>
              <w:rPr>
                <w:sz w:val="20"/>
                <w:szCs w:val="20"/>
              </w:rPr>
              <w:t xml:space="preserve">CIC Dirichlet, client 0</w:t>
            </w:r>
          </w:p>
        </w:tc>
        <w:tc>
          <w:tcPr>
            <w:tcW w:type="dxa" w:w="1500"/>
            <w:tcMar>
              <w:top w:type="dxa" w:w="60"/>
              <w:left w:type="dxa" w:w="100"/>
              <w:bottom w:type="dxa" w:w="60"/>
              <w:right w:type="dxa" w:w="100"/>
            </w:tcMar>
            <w:vAlign w:val="center"/>
          </w:tcPr>
          <w:p>
            <w:pPr>
              <w:jc w:val="center"/>
            </w:pPr>
            <w:r>
              <w:rPr>
                <w:sz w:val="20"/>
                <w:szCs w:val="20"/>
              </w:rPr>
              <w:t xml:space="preserve">9.4k (0.1%)</w:t>
            </w:r>
          </w:p>
        </w:tc>
        <w:tc>
          <w:tcPr>
            <w:tcW w:type="dxa" w:w="2300"/>
            <w:tcMar>
              <w:top w:type="dxa" w:w="60"/>
              <w:left w:type="dxa" w:w="100"/>
              <w:bottom w:type="dxa" w:w="60"/>
              <w:right w:type="dxa" w:w="100"/>
            </w:tcMar>
            <w:vAlign w:val="center"/>
          </w:tcPr>
          <w:p>
            <w:pPr>
              <w:jc w:val="center"/>
            </w:pPr>
            <w:r>
              <w:rPr>
                <w:sz w:val="20"/>
                <w:szCs w:val="20"/>
              </w:rPr>
              <w:t xml:space="preserve">62.04 / 44.97% / 0.00%</w:t>
            </w:r>
          </w:p>
        </w:tc>
        <w:tc>
          <w:tcPr>
            <w:tcW w:type="dxa" w:w="900"/>
            <w:tcMar>
              <w:top w:type="dxa" w:w="60"/>
              <w:left w:type="dxa" w:w="100"/>
              <w:bottom w:type="dxa" w:w="60"/>
              <w:right w:type="dxa" w:w="100"/>
            </w:tcMar>
            <w:vAlign w:val="center"/>
          </w:tcPr>
          <w:p>
            <w:pPr>
              <w:jc w:val="center"/>
            </w:pPr>
            <w:r>
              <w:rPr>
                <w:sz w:val="20"/>
                <w:szCs w:val="20"/>
              </w:rPr>
              <w:t xml:space="preserve">46,872</w:t>
            </w:r>
          </w:p>
        </w:tc>
        <w:tc>
          <w:tcPr>
            <w:tcW w:type="dxa" w:w="1900"/>
            <w:tcMar>
              <w:top w:type="dxa" w:w="60"/>
              <w:left w:type="dxa" w:w="100"/>
              <w:bottom w:type="dxa" w:w="60"/>
              <w:right w:type="dxa" w:w="100"/>
            </w:tcMar>
            <w:vAlign w:val="center"/>
          </w:tcPr>
          <w:p>
            <w:pPr>
              <w:jc w:val="center"/>
            </w:pPr>
            <w:r>
              <w:rPr>
                <w:sz w:val="20"/>
                <w:szCs w:val="20"/>
              </w:rPr>
              <w:t xml:space="preserve">85.59 / 99.83% / 6.87%</w:t>
            </w:r>
          </w:p>
        </w:tc>
        <w:tc>
          <w:tcPr>
            <w:tcW w:type="dxa" w:w="900"/>
            <w:tcMar>
              <w:top w:type="dxa" w:w="60"/>
              <w:left w:type="dxa" w:w="100"/>
              <w:bottom w:type="dxa" w:w="60"/>
              <w:right w:type="dxa" w:w="100"/>
            </w:tcMar>
            <w:vAlign w:val="center"/>
          </w:tcPr>
          <w:p>
            <w:pPr>
              <w:jc w:val="center"/>
            </w:pPr>
            <w:r>
              <w:rPr>
                <w:sz w:val="20"/>
                <w:szCs w:val="20"/>
              </w:rPr>
              <w:t xml:space="preserve">144</w:t>
            </w:r>
          </w:p>
        </w:tc>
      </w:tr>
      <w:tr>
        <w:tc>
          <w:tcPr>
            <w:tcW w:type="dxa" w:w="2100"/>
            <w:tcMar>
              <w:top w:type="dxa" w:w="60"/>
              <w:left w:type="dxa" w:w="100"/>
              <w:bottom w:type="dxa" w:w="60"/>
              <w:right w:type="dxa" w:w="100"/>
            </w:tcMar>
            <w:vAlign w:val="center"/>
          </w:tcPr>
          <w:p>
            <w:pPr>
              <w:jc w:val="left"/>
            </w:pPr>
            <w:r>
              <w:rPr>
                <w:sz w:val="20"/>
                <w:szCs w:val="20"/>
              </w:rPr>
              <w:t xml:space="preserve">CIC Dirichlet, client 1</w:t>
            </w:r>
          </w:p>
        </w:tc>
        <w:tc>
          <w:tcPr>
            <w:tcW w:type="dxa" w:w="1500"/>
            <w:tcMar>
              <w:top w:type="dxa" w:w="60"/>
              <w:left w:type="dxa" w:w="100"/>
              <w:bottom w:type="dxa" w:w="60"/>
              <w:right w:type="dxa" w:w="100"/>
            </w:tcMar>
            <w:vAlign w:val="center"/>
          </w:tcPr>
          <w:p>
            <w:pPr>
              <w:jc w:val="center"/>
            </w:pPr>
            <w:r>
              <w:rPr>
                <w:sz w:val="20"/>
                <w:szCs w:val="20"/>
              </w:rPr>
              <w:t xml:space="preserve">1.98M (59.5%)</w:t>
            </w:r>
          </w:p>
        </w:tc>
        <w:tc>
          <w:tcPr>
            <w:tcW w:type="dxa" w:w="2300"/>
            <w:tcMar>
              <w:top w:type="dxa" w:w="60"/>
              <w:left w:type="dxa" w:w="100"/>
              <w:bottom w:type="dxa" w:w="60"/>
              <w:right w:type="dxa" w:w="100"/>
            </w:tcMar>
            <w:vAlign w:val="center"/>
          </w:tcPr>
          <w:p>
            <w:pPr>
              <w:jc w:val="center"/>
            </w:pPr>
            <w:r>
              <w:rPr>
                <w:sz w:val="20"/>
                <w:szCs w:val="20"/>
              </w:rPr>
              <w:t xml:space="preserve">90.70 / 99.75% / 4.15%</w:t>
            </w:r>
          </w:p>
        </w:tc>
        <w:tc>
          <w:tcPr>
            <w:tcW w:type="dxa" w:w="900"/>
            <w:tcMar>
              <w:top w:type="dxa" w:w="60"/>
              <w:left w:type="dxa" w:w="100"/>
              <w:bottom w:type="dxa" w:w="60"/>
              <w:right w:type="dxa" w:w="100"/>
            </w:tcMar>
            <w:vAlign w:val="center"/>
          </w:tcPr>
          <w:p>
            <w:pPr>
              <w:jc w:val="center"/>
            </w:pPr>
            <w:r>
              <w:rPr>
                <w:sz w:val="20"/>
                <w:szCs w:val="20"/>
              </w:rPr>
              <w:t xml:space="preserve">214</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CIC Dirichlet, client 2</w:t>
            </w:r>
          </w:p>
        </w:tc>
        <w:tc>
          <w:tcPr>
            <w:tcW w:type="dxa" w:w="1500"/>
            <w:tcMar>
              <w:top w:type="dxa" w:w="60"/>
              <w:left w:type="dxa" w:w="100"/>
              <w:bottom w:type="dxa" w:w="60"/>
              <w:right w:type="dxa" w:w="100"/>
            </w:tcMar>
            <w:vAlign w:val="center"/>
          </w:tcPr>
          <w:p>
            <w:pPr>
              <w:jc w:val="center"/>
            </w:pPr>
            <w:r>
              <w:rPr>
                <w:sz w:val="20"/>
                <w:szCs w:val="20"/>
              </w:rPr>
              <w:t xml:space="preserve">6.7k (2.6%)</w:t>
            </w:r>
          </w:p>
        </w:tc>
        <w:tc>
          <w:tcPr>
            <w:tcW w:type="dxa" w:w="2300"/>
            <w:tcMar>
              <w:top w:type="dxa" w:w="60"/>
              <w:left w:type="dxa" w:w="100"/>
              <w:bottom w:type="dxa" w:w="60"/>
              <w:right w:type="dxa" w:w="100"/>
            </w:tcMar>
            <w:vAlign w:val="center"/>
          </w:tcPr>
          <w:p>
            <w:pPr>
              <w:jc w:val="center"/>
            </w:pPr>
            <w:r>
              <w:rPr>
                <w:sz w:val="20"/>
                <w:szCs w:val="20"/>
              </w:rPr>
              <w:t xml:space="preserve">88.74 / 91.11% / 2.92%</w:t>
            </w:r>
          </w:p>
        </w:tc>
        <w:tc>
          <w:tcPr>
            <w:tcW w:type="dxa" w:w="900"/>
            <w:tcMar>
              <w:top w:type="dxa" w:w="60"/>
              <w:left w:type="dxa" w:w="100"/>
              <w:bottom w:type="dxa" w:w="60"/>
              <w:right w:type="dxa" w:w="100"/>
            </w:tcMar>
            <w:vAlign w:val="center"/>
          </w:tcPr>
          <w:p>
            <w:pPr>
              <w:jc w:val="center"/>
            </w:pPr>
            <w:r>
              <w:rPr>
                <w:sz w:val="20"/>
                <w:szCs w:val="20"/>
              </w:rPr>
              <w:t xml:space="preserve">7,572</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CIC Dirichlet, client 3</w:t>
            </w:r>
          </w:p>
        </w:tc>
        <w:tc>
          <w:tcPr>
            <w:tcW w:type="dxa" w:w="1500"/>
            <w:tcMar>
              <w:top w:type="dxa" w:w="60"/>
              <w:left w:type="dxa" w:w="100"/>
              <w:bottom w:type="dxa" w:w="60"/>
              <w:right w:type="dxa" w:w="100"/>
            </w:tcMar>
            <w:vAlign w:val="center"/>
          </w:tcPr>
          <w:p>
            <w:pPr>
              <w:jc w:val="center"/>
            </w:pPr>
            <w:r>
              <w:rPr>
                <w:sz w:val="20"/>
                <w:szCs w:val="20"/>
              </w:rPr>
              <w:t xml:space="preserve">728k (25.1%)</w:t>
            </w:r>
          </w:p>
        </w:tc>
        <w:tc>
          <w:tcPr>
            <w:tcW w:type="dxa" w:w="2300"/>
            <w:tcMar>
              <w:top w:type="dxa" w:w="60"/>
              <w:left w:type="dxa" w:w="100"/>
              <w:bottom w:type="dxa" w:w="60"/>
              <w:right w:type="dxa" w:w="100"/>
            </w:tcMar>
            <w:vAlign w:val="center"/>
          </w:tcPr>
          <w:p>
            <w:pPr>
              <w:jc w:val="center"/>
            </w:pPr>
            <w:r>
              <w:rPr>
                <w:sz w:val="20"/>
                <w:szCs w:val="20"/>
              </w:rPr>
              <w:t xml:space="preserve">89.80 / 99.60% / 4.56%</w:t>
            </w:r>
          </w:p>
        </w:tc>
        <w:tc>
          <w:tcPr>
            <w:tcW w:type="dxa" w:w="900"/>
            <w:tcMar>
              <w:top w:type="dxa" w:w="60"/>
              <w:left w:type="dxa" w:w="100"/>
              <w:bottom w:type="dxa" w:w="60"/>
              <w:right w:type="dxa" w:w="100"/>
            </w:tcMar>
            <w:vAlign w:val="center"/>
          </w:tcPr>
          <w:p>
            <w:pPr>
              <w:jc w:val="center"/>
            </w:pPr>
            <w:r>
              <w:rPr>
                <w:sz w:val="20"/>
                <w:szCs w:val="20"/>
              </w:rPr>
              <w:t xml:space="preserve">339</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near-IID, clients 0–3</w:t>
            </w:r>
          </w:p>
        </w:tc>
        <w:tc>
          <w:tcPr>
            <w:tcW w:type="dxa" w:w="1500"/>
            <w:tcMar>
              <w:top w:type="dxa" w:w="60"/>
              <w:left w:type="dxa" w:w="100"/>
              <w:bottom w:type="dxa" w:w="60"/>
              <w:right w:type="dxa" w:w="100"/>
            </w:tcMar>
            <w:vAlign w:val="center"/>
          </w:tcPr>
          <w:p>
            <w:pPr>
              <w:jc w:val="center"/>
            </w:pPr>
            <w:r>
              <w:rPr>
                <w:sz w:val="20"/>
                <w:szCs w:val="20"/>
              </w:rPr>
              <w:t xml:space="preserve">32k each (50%)</w:t>
            </w:r>
          </w:p>
        </w:tc>
        <w:tc>
          <w:tcPr>
            <w:tcW w:type="dxa" w:w="2300"/>
            <w:tcMar>
              <w:top w:type="dxa" w:w="60"/>
              <w:left w:type="dxa" w:w="100"/>
              <w:bottom w:type="dxa" w:w="60"/>
              <w:right w:type="dxa" w:w="100"/>
            </w:tcMar>
            <w:vAlign w:val="center"/>
          </w:tcPr>
          <w:p>
            <w:pPr>
              <w:jc w:val="center"/>
            </w:pPr>
            <w:r>
              <w:rPr>
                <w:sz w:val="20"/>
                <w:szCs w:val="20"/>
              </w:rPr>
              <w:t xml:space="preserve">99.16–99.31 / 99.65–99.79% / 3.5–4.8%</w:t>
            </w:r>
          </w:p>
        </w:tc>
        <w:tc>
          <w:tcPr>
            <w:tcW w:type="dxa" w:w="900"/>
            <w:tcMar>
              <w:top w:type="dxa" w:w="60"/>
              <w:left w:type="dxa" w:w="100"/>
              <w:bottom w:type="dxa" w:w="60"/>
              <w:right w:type="dxa" w:w="100"/>
            </w:tcMar>
            <w:vAlign w:val="center"/>
          </w:tcPr>
          <w:p>
            <w:pPr>
              <w:jc w:val="center"/>
            </w:pPr>
            <w:r>
              <w:rPr>
                <w:sz w:val="20"/>
                <w:szCs w:val="20"/>
              </w:rPr>
              <w:t xml:space="preserve">34–57</w:t>
            </w:r>
          </w:p>
        </w:tc>
        <w:tc>
          <w:tcPr>
            <w:tcW w:type="dxa" w:w="1900"/>
            <w:tcMar>
              <w:top w:type="dxa" w:w="60"/>
              <w:left w:type="dxa" w:w="100"/>
              <w:bottom w:type="dxa" w:w="60"/>
              <w:right w:type="dxa" w:w="100"/>
            </w:tcMar>
            <w:vAlign w:val="center"/>
          </w:tcPr>
          <w:p>
            <w:pPr>
              <w:jc w:val="center"/>
            </w:pPr>
            <w:r>
              <w:rPr>
                <w:sz w:val="20"/>
                <w:szCs w:val="20"/>
              </w:rPr>
              <w:t xml:space="preserve">99.40 / 99.62% / 2.76%</w:t>
            </w:r>
          </w:p>
        </w:tc>
        <w:tc>
          <w:tcPr>
            <w:tcW w:type="dxa" w:w="900"/>
            <w:tcMar>
              <w:top w:type="dxa" w:w="60"/>
              <w:left w:type="dxa" w:w="100"/>
              <w:bottom w:type="dxa" w:w="60"/>
              <w:right w:type="dxa" w:w="100"/>
            </w:tcMar>
            <w:vAlign w:val="center"/>
          </w:tcPr>
          <w:p>
            <w:pPr>
              <w:jc w:val="center"/>
            </w:pPr>
            <w:r>
              <w:rPr>
                <w:sz w:val="20"/>
                <w:szCs w:val="20"/>
              </w:rPr>
              <w:t xml:space="preserve">61</w:t>
            </w:r>
          </w:p>
        </w:tc>
      </w:tr>
      <w:tr>
        <w:tc>
          <w:tcPr>
            <w:tcW w:type="dxa" w:w="2100"/>
            <w:tcMar>
              <w:top w:type="dxa" w:w="60"/>
              <w:left w:type="dxa" w:w="100"/>
              <w:bottom w:type="dxa" w:w="60"/>
              <w:right w:type="dxa" w:w="100"/>
            </w:tcMar>
            <w:vAlign w:val="center"/>
          </w:tcPr>
          <w:p>
            <w:pPr>
              <w:jc w:val="left"/>
            </w:pPr>
            <w:r>
              <w:rPr>
                <w:sz w:val="20"/>
                <w:szCs w:val="20"/>
              </w:rPr>
              <w:t xml:space="preserve">TON Dirichlet, client 0</w:t>
            </w:r>
          </w:p>
        </w:tc>
        <w:tc>
          <w:tcPr>
            <w:tcW w:type="dxa" w:w="1500"/>
            <w:tcMar>
              <w:top w:type="dxa" w:w="60"/>
              <w:left w:type="dxa" w:w="100"/>
              <w:bottom w:type="dxa" w:w="60"/>
              <w:right w:type="dxa" w:w="100"/>
            </w:tcMar>
            <w:vAlign w:val="center"/>
          </w:tcPr>
          <w:p>
            <w:pPr>
              <w:jc w:val="center"/>
            </w:pPr>
            <w:r>
              <w:rPr>
                <w:sz w:val="20"/>
                <w:szCs w:val="20"/>
              </w:rPr>
              <w:t xml:space="preserve">49.9k (0.4%)</w:t>
            </w:r>
          </w:p>
        </w:tc>
        <w:tc>
          <w:tcPr>
            <w:tcW w:type="dxa" w:w="2300"/>
            <w:tcMar>
              <w:top w:type="dxa" w:w="60"/>
              <w:left w:type="dxa" w:w="100"/>
              <w:bottom w:type="dxa" w:w="60"/>
              <w:right w:type="dxa" w:w="100"/>
            </w:tcMar>
            <w:vAlign w:val="center"/>
          </w:tcPr>
          <w:p>
            <w:pPr>
              <w:jc w:val="center"/>
            </w:pPr>
            <w:r>
              <w:rPr>
                <w:sz w:val="20"/>
                <w:szCs w:val="20"/>
              </w:rPr>
              <w:t xml:space="preserve">90.16 / 82.13% / 0.23%</w:t>
            </w:r>
          </w:p>
        </w:tc>
        <w:tc>
          <w:tcPr>
            <w:tcW w:type="dxa" w:w="900"/>
            <w:tcMar>
              <w:top w:type="dxa" w:w="60"/>
              <w:left w:type="dxa" w:w="100"/>
              <w:bottom w:type="dxa" w:w="60"/>
              <w:right w:type="dxa" w:w="100"/>
            </w:tcMar>
            <w:vAlign w:val="center"/>
          </w:tcPr>
          <w:p>
            <w:pPr>
              <w:jc w:val="center"/>
            </w:pPr>
            <w:r>
              <w:rPr>
                <w:sz w:val="20"/>
                <w:szCs w:val="20"/>
              </w:rPr>
              <w:t xml:space="preserve">2,897</w:t>
            </w:r>
          </w:p>
        </w:tc>
        <w:tc>
          <w:tcPr>
            <w:tcW w:type="dxa" w:w="1900"/>
            <w:tcMar>
              <w:top w:type="dxa" w:w="60"/>
              <w:left w:type="dxa" w:w="100"/>
              <w:bottom w:type="dxa" w:w="60"/>
              <w:right w:type="dxa" w:w="100"/>
            </w:tcMar>
            <w:vAlign w:val="center"/>
          </w:tcPr>
          <w:p>
            <w:pPr>
              <w:jc w:val="center"/>
            </w:pPr>
            <w:r>
              <w:rPr>
                <w:sz w:val="20"/>
                <w:szCs w:val="20"/>
              </w:rPr>
              <w:t xml:space="preserve">98.45 / 97.99% / 3.59%</w:t>
            </w:r>
          </w:p>
        </w:tc>
        <w:tc>
          <w:tcPr>
            <w:tcW w:type="dxa" w:w="900"/>
            <w:tcMar>
              <w:top w:type="dxa" w:w="60"/>
              <w:left w:type="dxa" w:w="100"/>
              <w:bottom w:type="dxa" w:w="60"/>
              <w:right w:type="dxa" w:w="100"/>
            </w:tcMar>
            <w:vAlign w:val="center"/>
          </w:tcPr>
          <w:p>
            <w:pPr>
              <w:jc w:val="center"/>
            </w:pPr>
            <w:r>
              <w:rPr>
                <w:sz w:val="20"/>
                <w:szCs w:val="20"/>
              </w:rPr>
              <w:t xml:space="preserve">326</w:t>
            </w:r>
          </w:p>
        </w:tc>
      </w:tr>
      <w:tr>
        <w:tc>
          <w:tcPr>
            <w:tcW w:type="dxa" w:w="2100"/>
            <w:tcMar>
              <w:top w:type="dxa" w:w="60"/>
              <w:left w:type="dxa" w:w="100"/>
              <w:bottom w:type="dxa" w:w="60"/>
              <w:right w:type="dxa" w:w="100"/>
            </w:tcMar>
            <w:vAlign w:val="center"/>
          </w:tcPr>
          <w:p>
            <w:pPr>
              <w:jc w:val="left"/>
            </w:pPr>
            <w:r>
              <w:rPr>
                <w:sz w:val="20"/>
                <w:szCs w:val="20"/>
              </w:rPr>
              <w:t xml:space="preserve">TON Dirichlet, client 1</w:t>
            </w:r>
          </w:p>
        </w:tc>
        <w:tc>
          <w:tcPr>
            <w:tcW w:type="dxa" w:w="1500"/>
            <w:tcMar>
              <w:top w:type="dxa" w:w="60"/>
              <w:left w:type="dxa" w:w="100"/>
              <w:bottom w:type="dxa" w:w="60"/>
              <w:right w:type="dxa" w:w="100"/>
            </w:tcMar>
            <w:vAlign w:val="center"/>
          </w:tcPr>
          <w:p>
            <w:pPr>
              <w:jc w:val="center"/>
            </w:pPr>
            <w:r>
              <w:rPr>
                <w:sz w:val="20"/>
                <w:szCs w:val="20"/>
              </w:rPr>
              <w:t xml:space="preserve">62.9k (92.8%)</w:t>
            </w:r>
          </w:p>
        </w:tc>
        <w:tc>
          <w:tcPr>
            <w:tcW w:type="dxa" w:w="2300"/>
            <w:tcMar>
              <w:top w:type="dxa" w:w="60"/>
              <w:left w:type="dxa" w:w="100"/>
              <w:bottom w:type="dxa" w:w="60"/>
              <w:right w:type="dxa" w:w="100"/>
            </w:tcMar>
            <w:vAlign w:val="center"/>
          </w:tcPr>
          <w:p>
            <w:pPr>
              <w:jc w:val="center"/>
            </w:pPr>
            <w:r>
              <w:rPr>
                <w:sz w:val="20"/>
                <w:szCs w:val="20"/>
              </w:rPr>
              <w:t xml:space="preserve">96.90 / 99.92% / 21.20%</w:t>
            </w:r>
          </w:p>
        </w:tc>
        <w:tc>
          <w:tcPr>
            <w:tcW w:type="dxa" w:w="900"/>
            <w:tcMar>
              <w:top w:type="dxa" w:w="60"/>
              <w:left w:type="dxa" w:w="100"/>
              <w:bottom w:type="dxa" w:w="60"/>
              <w:right w:type="dxa" w:w="100"/>
            </w:tcMar>
            <w:vAlign w:val="center"/>
          </w:tcPr>
          <w:p>
            <w:pPr>
              <w:jc w:val="center"/>
            </w:pPr>
            <w:r>
              <w:rPr>
                <w:sz w:val="20"/>
                <w:szCs w:val="20"/>
              </w:rPr>
              <w:t xml:space="preserve">13</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Dirichlet, client 2</w:t>
            </w:r>
          </w:p>
        </w:tc>
        <w:tc>
          <w:tcPr>
            <w:tcW w:type="dxa" w:w="1500"/>
            <w:tcMar>
              <w:top w:type="dxa" w:w="60"/>
              <w:left w:type="dxa" w:w="100"/>
              <w:bottom w:type="dxa" w:w="60"/>
              <w:right w:type="dxa" w:w="100"/>
            </w:tcMar>
            <w:vAlign w:val="center"/>
          </w:tcPr>
          <w:p>
            <w:pPr>
              <w:jc w:val="center"/>
            </w:pPr>
            <w:r>
              <w:rPr>
                <w:sz w:val="20"/>
                <w:szCs w:val="20"/>
              </w:rPr>
              <w:t xml:space="preserve">8.6k (65.5%)</w:t>
            </w:r>
          </w:p>
        </w:tc>
        <w:tc>
          <w:tcPr>
            <w:tcW w:type="dxa" w:w="2300"/>
            <w:tcMar>
              <w:top w:type="dxa" w:w="60"/>
              <w:left w:type="dxa" w:w="100"/>
              <w:bottom w:type="dxa" w:w="60"/>
              <w:right w:type="dxa" w:w="100"/>
            </w:tcMar>
            <w:vAlign w:val="center"/>
          </w:tcPr>
          <w:p>
            <w:pPr>
              <w:jc w:val="center"/>
            </w:pPr>
            <w:r>
              <w:rPr>
                <w:sz w:val="20"/>
                <w:szCs w:val="20"/>
              </w:rPr>
              <w:t xml:space="preserve">99.02 / 99.80% / 5.97%</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Dirichlet, client 3</w:t>
            </w:r>
          </w:p>
        </w:tc>
        <w:tc>
          <w:tcPr>
            <w:tcW w:type="dxa" w:w="1500"/>
            <w:tcMar>
              <w:top w:type="dxa" w:w="60"/>
              <w:left w:type="dxa" w:w="100"/>
              <w:bottom w:type="dxa" w:w="60"/>
              <w:right w:type="dxa" w:w="100"/>
            </w:tcMar>
            <w:vAlign w:val="center"/>
          </w:tcPr>
          <w:p>
            <w:pPr>
              <w:jc w:val="center"/>
            </w:pPr>
            <w:r>
              <w:rPr>
                <w:sz w:val="20"/>
                <w:szCs w:val="20"/>
              </w:rPr>
              <w:t xml:space="preserve">8.4k (8.5%)</w:t>
            </w:r>
          </w:p>
        </w:tc>
        <w:tc>
          <w:tcPr>
            <w:tcW w:type="dxa" w:w="2300"/>
            <w:tcMar>
              <w:top w:type="dxa" w:w="60"/>
              <w:left w:type="dxa" w:w="100"/>
              <w:bottom w:type="dxa" w:w="60"/>
              <w:right w:type="dxa" w:w="100"/>
            </w:tcMar>
            <w:vAlign w:val="center"/>
          </w:tcPr>
          <w:p>
            <w:pPr>
              <w:jc w:val="center"/>
            </w:pPr>
            <w:r>
              <w:rPr>
                <w:sz w:val="20"/>
                <w:szCs w:val="20"/>
              </w:rPr>
              <w:t xml:space="preserve">96.34 / 93.22% / 1.00%</w:t>
            </w:r>
          </w:p>
        </w:tc>
        <w:tc>
          <w:tcPr>
            <w:tcW w:type="dxa" w:w="900"/>
            <w:tcMar>
              <w:top w:type="dxa" w:w="60"/>
              <w:left w:type="dxa" w:w="100"/>
              <w:bottom w:type="dxa" w:w="60"/>
              <w:right w:type="dxa" w:w="100"/>
            </w:tcMar>
            <w:vAlign w:val="center"/>
          </w:tcPr>
          <w:p>
            <w:pPr>
              <w:jc w:val="center"/>
            </w:pPr>
            <w:r>
              <w:rPr>
                <w:sz w:val="20"/>
                <w:szCs w:val="20"/>
              </w:rPr>
              <w:t xml:space="preserve">1,099</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16,214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82.13% and client 3 (8.5%) 93.22%. On the same partitions the federated model detects 99.83% (CIC-IDS2017) and 97.99% (TON_IoT). The attack-heavy TON_IoT client 1 (92.8% attacks) has the opposite problem: alone, it flags 21.2% of benign records, against 3.59% for the federated model.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an FP32 model and an INT8 deployment model of the architecture used here. It checks on-device outputs against the host TFLite interpreter on fixed inputs and times 100 inferences per model. A host build against the same TensorFlow Lite Micro library reproduces the interpreter outputs exactly (FP32) and within one quantization step (INT8). Tensor-arena use is 2–4 KB, well within ESP32 SRAM. </w:t>
      </w:r>
      <w:r>
        <w:rPr>
          <w:b/>
          <w:bCs/>
          <w:color w:val="C00000"/>
        </w:rPr>
        <w:t xml:space="preserve">[PENDING: ESP32 latency, arena use and parity for the final deployment models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a principled selection or a federated fine-tuning round is future work.</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(multi-client) fine-tuning during compression, threshold selection from validation precision-recall curves against an alert budget,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Training-time QAT inside FL, by contrast, fails on heavy-tailed CIC-IDS2017 features while working on TON_IoT, and full-integer post-training quantization is unstable across calibration draws.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an FP32 model and an INT8 deployment model (models/*.tflite), converted to 16-byte-aligned C arrays at build time (esp32_tflite_project/gen_model_data.py). scripts/prepare_esp32_benchmark.py swaps in any model pair and regenerates the parity vectors.</w:t>
      </w:r>
    </w:p>
    <w:p>
      <w:pPr>
        <w:spacing w:after="120"/>
      </w:pPr>
      <w:r>
        <w:rPr>
          <w:b/>
          <w:bCs/>
        </w:rPr>
        <w:t xml:space="preserve">2. </w:t>
      </w:r>
      <w:r>
        <w:t xml:space="preserve">Build and flash (PlatformIO, TensorFlowLite_ESP32 1.0.0, huge_app partition table so the FP32 model fits): pio run -e &lt;esp32dev | esp32-s3-devkitc-1 | esp32-c3-devkitm-1&gt; -t upload.</w:t>
      </w:r>
    </w:p>
    <w:p>
      <w:pPr>
        <w:spacing w:after="120"/>
      </w:pPr>
      <w:r>
        <w:rPr>
          <w:b/>
          <w:bCs/>
        </w:rPr>
        <w:t xml:space="preserve">3. </w:t>
      </w:r>
      <w:r>
        <w:t xml:space="preserve">Parity check: for 8 fixed standardized input vectors, the firmware compares each model's on-device output with the host TFLite output (include/test_vectors.h) and reports the maximum absolute difference and decision agreement. A host build against the same TensorFlow Lite Micro library matched exactly (FP32) and within one quantization step (INT8, 1/256).</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2–4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swap in the final deployment models (Table 3) and run on hardware]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2026-10-04T21:31:28.545Z</dcterms:created>
  <dcterms:modified xsi:type="dcterms:W3CDTF">2026-10-04T21:31:28.545Z</dcterms:modified>
</cp:coreProperties>
</file>

<file path=docProps/custom.xml><?xml version="1.0" encoding="utf-8"?>
<Properties xmlns="http://schemas.openxmlformats.org/officeDocument/2006/custom-properties" xmlns:vt="http://schemas.openxmlformats.org/officeDocument/2006/docPropsVTypes"/>
</file>