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and now covers federated and lightweight intrusion detection, TinyML compilers and on-device training, federated compression, calibration and QAT-range methods, and deployment-fault studies (49 references), including the closest prior federated TinyML IDS [34].</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99.41 vs. 99.68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98.67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lets a 57 KB model miss 12 of 16,215 attacks at 6.6%. For on-device deployment we use a 112 KB CIC-IDS2017 variant (23 of 85,173 missed at 9.7%, mean over fine-tuning draws) and this 57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33 and 99 for the same TON_IoT model) until the calibration inputs are clipped, after which it is stable (F1 99.19 for every calibration set). A local-only baseline shows where federation pays off: clients with few local attacks detect 45–93% of attacks alone and 99.8–99.99%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spacing w:after="160"/>
      </w:pPr>
      <w:r>
        <w:t xml:space="preserve">Federated and lightweight intrusion detection. DÏoT trains per-device-type anomaly detectors across security gateways with federated learning [35]; Belarbi et al. study federated IDS on TON_IoT with one client per IP address [37]; and FLAME defends federated learning against backdoors, including on IoT IDS data [36]. Closest to our work, Li et al. combine federated learning and TinyML for intrusion detection on N-BaIoT in an IoT/edge/cloud architecture, using an outlier-resistant scaler, feature reduction and quantization [34]. We add an identically configured centralized and a local-only baseline on two datasets, a step-by-step analysis of compression without pooled data, missed-attack accounting, an analysis of quantization calibration, and the toolchain failures of Section 6.2. Outside federated learning, lightweight detectors run on gateways (Kitsune [38]) or programmable switches (HorusEye [39], NetBeacon [40]); we target the endpoint microcontroller.</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spacing w:after="160"/>
      </w:pPr>
      <w:r>
        <w:t xml:space="preserve">Calibration need not use the extremes of each activation: percentile and entropy (KL) calibration [25] and the MSE-optimal clip of ACIQ [26] clip the ranges, and Wu et al. recommend calibrating first and then fine-tuning with QAT [25]. PACT [27] and LSQ [28] learn the clip or the step size during QAT, and DFQ quantizes without data by equalizing weight ranges across layers (cross-layer equalization, CLE) [29]. Distillation has been combined with quantization before [30], and TensorFlow Model Optimization provides sparsity-preserving QAT because standard QAT re-densifies pruned weights [33]. In federated learning, quantization has mainly been used to compress model updates [31]; Gupta et al. train federated models that stay accurate under later quantization [32]. Our input clipping (Section 5.9) is an instance of clipped calibration; Section 5.15 compares it with these estimators and with QAT-range, data-free and learned-clipping variants on our models.</w:t>
      </w:r>
    </w:p>
    <w:p>
      <w:pPr>
        <w:spacing w:after="160"/>
      </w:pPr>
      <w:r>
        <w:t xml:space="preserve">MCUNet co-designs models and the inference engine for microcontrollers [41], Lin et al. train on 256 KB of memory [42], and SeeDot [46] and MinUn [45] compile fixed-point and mixed-precision models for microcontrollers. In federated learning, HeteroFL trains width-reduced submodels and aggregates BatchNorm statistics after training [43], and FedTiny prunes without pooled data during training [44]; we compress an already-trained federated model and use its BatchNorm statistics for INT8 calibration (Section 5.15).</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Lin et al. show that quantization can amplify adversarial noise [47].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High-cardinality free text (DNS query, URI) is not used directly; instead we add six row-local features from it (length, digit count, and non-alphanumeric count of each field, 0 when absent), which cannot leak information across records, giving 43 features. Duplicates are removed (105,176 unique records: 24,106 normal, 81,070 attack) and the same split, scaling, and SMOTE steps are applied (test set: 21,036 records). These features and the TON_IoT focal-loss setting (Section 3.2) were selected on validation data (Section 5.14). Deduplication is keyed on the other 37 features, so the record set and the split do not depend on the text-derived features.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for CIC-IDS2017, carried over from preliminary experiments in which larger α values were unstable; α = 0.5 for TON_IoT, where attacks are the majority class, selected on validation data in Section 5.14)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99.51%</w:t>
            </w:r>
          </w:p>
        </w:tc>
        <w:tc>
          <w:tcPr>
            <w:tcW w:type="dxa" w:w="950"/>
            <w:tcMar>
              <w:top w:type="dxa" w:w="60"/>
              <w:left w:type="dxa" w:w="100"/>
              <w:bottom w:type="dxa" w:w="60"/>
              <w:right w:type="dxa" w:w="100"/>
            </w:tcMar>
            <w:vAlign w:val="center"/>
          </w:tcPr>
          <w:p>
            <w:pPr>
              <w:jc w:val="center"/>
            </w:pPr>
            <w:r>
              <w:rPr>
                <w:sz w:val="20"/>
                <w:szCs w:val="20"/>
              </w:rPr>
              <w:t xml:space="preserve">99.43%</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99.68%</w:t>
            </w:r>
          </w:p>
        </w:tc>
        <w:tc>
          <w:tcPr>
            <w:tcW w:type="dxa" w:w="850"/>
            <w:tcMar>
              <w:top w:type="dxa" w:w="60"/>
              <w:left w:type="dxa" w:w="100"/>
              <w:bottom w:type="dxa" w:w="60"/>
              <w:right w:type="dxa" w:w="100"/>
            </w:tcMar>
            <w:vAlign w:val="center"/>
          </w:tcPr>
          <w:p>
            <w:pPr>
              <w:jc w:val="center"/>
            </w:pPr>
            <w:r>
              <w:rPr>
                <w:sz w:val="20"/>
                <w:szCs w:val="20"/>
              </w:rPr>
              <w:t xml:space="preserve">1.93%</w:t>
            </w:r>
          </w:p>
        </w:tc>
        <w:tc>
          <w:tcPr>
            <w:tcW w:type="dxa" w:w="1900"/>
            <w:tcMar>
              <w:top w:type="dxa" w:w="60"/>
              <w:left w:type="dxa" w:w="100"/>
              <w:bottom w:type="dxa" w:w="60"/>
              <w:right w:type="dxa" w:w="100"/>
            </w:tcMar>
            <w:vAlign w:val="center"/>
          </w:tcPr>
          <w:p>
            <w:pPr>
              <w:jc w:val="center"/>
            </w:pPr>
            <w:r>
              <w:rPr>
                <w:sz w:val="20"/>
                <w:szCs w:val="20"/>
              </w:rPr>
              <w:t xml:space="preserve">10 / 16,215 (0.062%)</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98.94%</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900"/>
            <w:tcMar>
              <w:top w:type="dxa" w:w="60"/>
              <w:left w:type="dxa" w:w="100"/>
              <w:bottom w:type="dxa" w:w="60"/>
              <w:right w:type="dxa" w:w="100"/>
            </w:tcMar>
            <w:vAlign w:val="center"/>
          </w:tcPr>
          <w:p>
            <w:pPr>
              <w:jc w:val="center"/>
            </w:pPr>
            <w:r>
              <w:rPr>
                <w:sz w:val="20"/>
                <w:szCs w:val="20"/>
              </w:rPr>
              <w:t xml:space="preserve">99.41%</w:t>
            </w:r>
          </w:p>
        </w:tc>
        <w:tc>
          <w:tcPr>
            <w:tcW w:type="dxa" w:w="850"/>
            <w:tcMar>
              <w:top w:type="dxa" w:w="60"/>
              <w:left w:type="dxa" w:w="100"/>
              <w:bottom w:type="dxa" w:w="60"/>
              <w:right w:type="dxa" w:w="100"/>
            </w:tcMar>
            <w:vAlign w:val="center"/>
          </w:tcPr>
          <w:p>
            <w:pPr>
              <w:jc w:val="center"/>
            </w:pPr>
            <w:r>
              <w:rPr>
                <w:sz w:val="20"/>
                <w:szCs w:val="20"/>
              </w:rPr>
              <w:t xml:space="preserve">3.61%</w:t>
            </w:r>
          </w:p>
        </w:tc>
        <w:tc>
          <w:tcPr>
            <w:tcW w:type="dxa" w:w="1900"/>
            <w:tcMar>
              <w:top w:type="dxa" w:w="60"/>
              <w:left w:type="dxa" w:w="100"/>
              <w:bottom w:type="dxa" w:w="60"/>
              <w:right w:type="dxa" w:w="100"/>
            </w:tcMar>
            <w:vAlign w:val="center"/>
          </w:tcPr>
          <w:p>
            <w:pPr>
              <w:jc w:val="center"/>
            </w:pPr>
            <w:r>
              <w:rPr>
                <w:sz w:val="20"/>
                <w:szCs w:val="20"/>
              </w:rPr>
              <w:t xml:space="preserve">19 / 16,215 (0.12%)</w:t>
            </w:r>
          </w:p>
        </w:tc>
      </w:tr>
      <w:tr>
        <w:tc>
          <w:tcPr>
            <w:tcW w:type="dxa" w:w="2600"/>
            <w:tcMar>
              <w:top w:type="dxa" w:w="60"/>
              <w:left w:type="dxa" w:w="100"/>
              <w:bottom w:type="dxa" w:w="60"/>
              <w:right w:type="dxa" w:w="100"/>
            </w:tcMar>
            <w:vAlign w:val="center"/>
          </w:tcPr>
          <w:p>
            <w:pPr>
              <w:jc w:val="left"/>
            </w:pPr>
            <w:r>
              <w:rPr>
                <w:sz w:val="20"/>
                <w:szCs w:val="20"/>
              </w:rPr>
              <w:t xml:space="preserve">TON_IoT — federated, second training run</w:t>
            </w:r>
          </w:p>
        </w:tc>
        <w:tc>
          <w:tcPr>
            <w:tcW w:type="dxa" w:w="950"/>
            <w:tcMar>
              <w:top w:type="dxa" w:w="60"/>
              <w:left w:type="dxa" w:w="100"/>
              <w:bottom w:type="dxa" w:w="60"/>
              <w:right w:type="dxa" w:w="100"/>
            </w:tcMar>
            <w:vAlign w:val="center"/>
          </w:tcPr>
          <w:p>
            <w:pPr>
              <w:jc w:val="center"/>
            </w:pPr>
            <w:r>
              <w:rPr>
                <w:sz w:val="20"/>
                <w:szCs w:val="20"/>
              </w:rPr>
              <w:t xml:space="preserve">99.04%</w:t>
            </w:r>
          </w:p>
        </w:tc>
        <w:tc>
          <w:tcPr>
            <w:tcW w:type="dxa" w:w="950"/>
            <w:tcMar>
              <w:top w:type="dxa" w:w="60"/>
              <w:left w:type="dxa" w:w="100"/>
              <w:bottom w:type="dxa" w:w="60"/>
              <w:right w:type="dxa" w:w="100"/>
            </w:tcMar>
            <w:vAlign w:val="center"/>
          </w:tcPr>
          <w:p>
            <w:pPr>
              <w:jc w:val="center"/>
            </w:pPr>
            <w:r>
              <w:rPr>
                <w:sz w:val="20"/>
                <w:szCs w:val="20"/>
              </w:rPr>
              <w:t xml:space="preserve">98.91%</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99.38%</w:t>
            </w:r>
          </w:p>
        </w:tc>
        <w:tc>
          <w:tcPr>
            <w:tcW w:type="dxa" w:w="850"/>
            <w:tcMar>
              <w:top w:type="dxa" w:w="60"/>
              <w:left w:type="dxa" w:w="100"/>
              <w:bottom w:type="dxa" w:w="60"/>
              <w:right w:type="dxa" w:w="100"/>
            </w:tcMar>
            <w:vAlign w:val="center"/>
          </w:tcPr>
          <w:p>
            <w:pPr>
              <w:jc w:val="center"/>
            </w:pPr>
            <w:r>
              <w:rPr>
                <w:sz w:val="20"/>
                <w:szCs w:val="20"/>
              </w:rPr>
              <w:t xml:space="preserve">3.71%</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98.97%</w:t>
            </w:r>
          </w:p>
        </w:tc>
        <w:tc>
          <w:tcPr>
            <w:tcW w:type="dxa" w:w="950"/>
            <w:tcMar>
              <w:top w:type="dxa" w:w="60"/>
              <w:left w:type="dxa" w:w="100"/>
              <w:bottom w:type="dxa" w:w="60"/>
              <w:right w:type="dxa" w:w="100"/>
            </w:tcMar>
            <w:vAlign w:val="center"/>
          </w:tcPr>
          <w:p>
            <w:pPr>
              <w:jc w:val="center"/>
            </w:pPr>
            <w:r>
              <w:rPr>
                <w:sz w:val="20"/>
                <w:szCs w:val="20"/>
              </w:rPr>
              <w:t xml:space="preserve">98.82%</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99.34%</w:t>
            </w:r>
          </w:p>
        </w:tc>
        <w:tc>
          <w:tcPr>
            <w:tcW w:type="dxa" w:w="850"/>
            <w:tcMar>
              <w:top w:type="dxa" w:w="60"/>
              <w:left w:type="dxa" w:w="100"/>
              <w:bottom w:type="dxa" w:w="60"/>
              <w:right w:type="dxa" w:w="100"/>
            </w:tcMar>
            <w:vAlign w:val="center"/>
          </w:tcPr>
          <w:p>
            <w:pPr>
              <w:jc w:val="center"/>
            </w:pPr>
            <w:r>
              <w:rPr>
                <w:sz w:val="20"/>
                <w:szCs w:val="20"/>
              </w:rPr>
              <w:t xml:space="preserve">4.00%</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0.27 on TON_IoT. On both datasets the gap lies mostly in precision (FAR 6.84% vs. 5.92% and 3.61% vs. 1.93%); all four models detect more than 99.8% of attacks. A second, independent federated training run on TON_IoT reaches F1 99.38 (23 instead of 19 missed attacks), so run-to-run variation there is small compared with the effects we discuss. </w:t>
      </w:r>
      <w:r>
        <w:t xml:space="preserve">A fixed learning rate (10⁻³ throughout) does as well as the cosine schedule on both datasets: F1 87.20 vs. 85.70 on CIC-IDS2017 and 99.34 vs. 99.41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99.41%</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800"/>
            <w:tcMar>
              <w:top w:type="dxa" w:w="60"/>
              <w:left w:type="dxa" w:w="100"/>
              <w:bottom w:type="dxa" w:w="60"/>
              <w:right w:type="dxa" w:w="100"/>
            </w:tcMar>
            <w:vAlign w:val="center"/>
          </w:tcPr>
          <w:p>
            <w:pPr>
              <w:jc w:val="center"/>
            </w:pPr>
            <w:r>
              <w:rPr>
                <w:sz w:val="20"/>
                <w:szCs w:val="20"/>
              </w:rPr>
              <w:t xml:space="preserve">3.61%</w:t>
            </w:r>
          </w:p>
        </w:tc>
        <w:tc>
          <w:tcPr>
            <w:tcW w:type="dxa" w:w="1800"/>
            <w:tcMar>
              <w:top w:type="dxa" w:w="60"/>
              <w:left w:type="dxa" w:w="100"/>
              <w:bottom w:type="dxa" w:w="60"/>
              <w:right w:type="dxa" w:w="100"/>
            </w:tcMar>
            <w:vAlign w:val="center"/>
          </w:tcPr>
          <w:p>
            <w:pPr>
              <w:jc w:val="center"/>
            </w:pPr>
            <w:r>
              <w:rPr>
                <w:sz w:val="20"/>
                <w:szCs w:val="20"/>
              </w:rPr>
              <w:t xml:space="preserve">19 / 16,215 (0.12%)</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97.81%</w:t>
            </w:r>
          </w:p>
        </w:tc>
        <w:tc>
          <w:tcPr>
            <w:tcW w:type="dxa" w:w="800"/>
            <w:tcMar>
              <w:top w:type="dxa" w:w="60"/>
              <w:left w:type="dxa" w:w="100"/>
              <w:bottom w:type="dxa" w:w="60"/>
              <w:right w:type="dxa" w:w="100"/>
            </w:tcMar>
            <w:vAlign w:val="center"/>
          </w:tcPr>
          <w:p>
            <w:pPr>
              <w:jc w:val="center"/>
            </w:pPr>
            <w:r>
              <w:rPr>
                <w:sz w:val="20"/>
                <w:szCs w:val="20"/>
              </w:rPr>
              <w:t xml:space="preserve">98.60%</w:t>
            </w:r>
          </w:p>
        </w:tc>
        <w:tc>
          <w:tcPr>
            <w:tcW w:type="dxa" w:w="1000"/>
            <w:tcMar>
              <w:top w:type="dxa" w:w="60"/>
              <w:left w:type="dxa" w:w="100"/>
              <w:bottom w:type="dxa" w:w="60"/>
              <w:right w:type="dxa" w:w="100"/>
            </w:tcMar>
            <w:vAlign w:val="center"/>
          </w:tcPr>
          <w:p>
            <w:pPr>
              <w:jc w:val="center"/>
            </w:pPr>
            <w:r>
              <w:rPr>
                <w:sz w:val="20"/>
                <w:szCs w:val="20"/>
              </w:rPr>
              <w:t xml:space="preserve">99.99%</w:t>
            </w:r>
          </w:p>
        </w:tc>
        <w:tc>
          <w:tcPr>
            <w:tcW w:type="dxa" w:w="800"/>
            <w:tcMar>
              <w:top w:type="dxa" w:w="60"/>
              <w:left w:type="dxa" w:w="100"/>
              <w:bottom w:type="dxa" w:w="60"/>
              <w:right w:type="dxa" w:w="100"/>
            </w:tcMar>
            <w:vAlign w:val="center"/>
          </w:tcPr>
          <w:p>
            <w:pPr>
              <w:jc w:val="center"/>
            </w:pPr>
            <w:r>
              <w:rPr>
                <w:sz w:val="20"/>
                <w:szCs w:val="20"/>
              </w:rPr>
              <w:t xml:space="preserve">9.52%</w:t>
            </w:r>
          </w:p>
        </w:tc>
        <w:tc>
          <w:tcPr>
            <w:tcW w:type="dxa" w:w="1800"/>
            <w:tcMar>
              <w:top w:type="dxa" w:w="60"/>
              <w:left w:type="dxa" w:w="100"/>
              <w:bottom w:type="dxa" w:w="60"/>
              <w:right w:type="dxa" w:w="100"/>
            </w:tcMar>
            <w:vAlign w:val="center"/>
          </w:tcPr>
          <w:p>
            <w:pPr>
              <w:jc w:val="center"/>
            </w:pPr>
            <w:r>
              <w:rPr>
                <w:sz w:val="20"/>
                <w:szCs w:val="20"/>
              </w:rPr>
              <w:t xml:space="preserve">1 / 16,215 (0.006%)</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0.81 F1 on TON_IoT, where the Dirichlet model becomes recall-heavy: it misses a single attack, but FAR rises from 3.61% to 9.52%.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732.4 KB</w:t>
            </w:r>
          </w:p>
        </w:tc>
        <w:tc>
          <w:tcPr>
            <w:tcW w:type="dxa" w:w="1300"/>
            <w:tcMar>
              <w:top w:type="dxa" w:w="60"/>
              <w:left w:type="dxa" w:w="100"/>
              <w:bottom w:type="dxa" w:w="60"/>
              <w:right w:type="dxa" w:w="100"/>
            </w:tcMar>
            <w:vAlign w:val="center"/>
          </w:tcPr>
          <w:p>
            <w:pPr>
              <w:jc w:val="center"/>
            </w:pPr>
            <w:r>
              <w:rPr>
                <w:sz w:val="20"/>
                <w:szCs w:val="20"/>
              </w:rPr>
              <w:t xml:space="preserve">99.41 / 3.61%</w:t>
            </w:r>
          </w:p>
        </w:tc>
        <w:tc>
          <w:tcPr>
            <w:tcW w:type="dxa" w:w="1200"/>
            <w:tcMar>
              <w:top w:type="dxa" w:w="60"/>
              <w:left w:type="dxa" w:w="100"/>
              <w:bottom w:type="dxa" w:w="60"/>
              <w:right w:type="dxa" w:w="100"/>
            </w:tcMar>
            <w:vAlign w:val="center"/>
          </w:tcPr>
          <w:p>
            <w:pPr>
              <w:jc w:val="center"/>
            </w:pPr>
            <w:r>
              <w:rPr>
                <w:sz w:val="20"/>
                <w:szCs w:val="20"/>
              </w:rPr>
              <w:t xml:space="preserve">19 (0.12%)</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209.4 KB</w:t>
            </w:r>
          </w:p>
        </w:tc>
        <w:tc>
          <w:tcPr>
            <w:tcW w:type="dxa" w:w="1300"/>
            <w:tcMar>
              <w:top w:type="dxa" w:w="60"/>
              <w:left w:type="dxa" w:w="100"/>
              <w:bottom w:type="dxa" w:w="60"/>
              <w:right w:type="dxa" w:w="100"/>
            </w:tcMar>
            <w:vAlign w:val="center"/>
          </w:tcPr>
          <w:p>
            <w:pPr>
              <w:jc w:val="center"/>
            </w:pPr>
            <w:r>
              <w:rPr>
                <w:sz w:val="20"/>
                <w:szCs w:val="20"/>
              </w:rPr>
              <w:t xml:space="preserve">98.96 / 3.86%</w:t>
            </w:r>
          </w:p>
        </w:tc>
        <w:tc>
          <w:tcPr>
            <w:tcW w:type="dxa" w:w="1200"/>
            <w:tcMar>
              <w:top w:type="dxa" w:w="60"/>
              <w:left w:type="dxa" w:w="100"/>
              <w:bottom w:type="dxa" w:w="60"/>
              <w:right w:type="dxa" w:w="100"/>
            </w:tcMar>
            <w:vAlign w:val="center"/>
          </w:tcPr>
          <w:p>
            <w:pPr>
              <w:jc w:val="center"/>
            </w:pPr>
            <w:r>
              <w:rPr>
                <w:sz w:val="20"/>
                <w:szCs w:val="20"/>
              </w:rPr>
              <w:t xml:space="preserve">153 (0.94%)</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95.30 / 30.20%</w:t>
            </w:r>
          </w:p>
        </w:tc>
        <w:tc>
          <w:tcPr>
            <w:tcW w:type="dxa" w:w="1200"/>
            <w:tcMar>
              <w:top w:type="dxa" w:w="60"/>
              <w:left w:type="dxa" w:w="100"/>
              <w:bottom w:type="dxa" w:w="60"/>
              <w:right w:type="dxa" w:w="100"/>
            </w:tcMar>
            <w:vAlign w:val="center"/>
          </w:tcPr>
          <w:p>
            <w:pPr>
              <w:jc w:val="center"/>
            </w:pPr>
            <w:r>
              <w:rPr>
                <w:sz w:val="20"/>
                <w:szCs w:val="20"/>
              </w:rPr>
              <w:t xml:space="preserve">129 (0.80%)</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90.20 / 13.23%</w:t>
            </w:r>
          </w:p>
        </w:tc>
        <w:tc>
          <w:tcPr>
            <w:tcW w:type="dxa" w:w="1200"/>
            <w:tcMar>
              <w:top w:type="dxa" w:w="60"/>
              <w:left w:type="dxa" w:w="100"/>
              <w:bottom w:type="dxa" w:w="60"/>
              <w:right w:type="dxa" w:w="100"/>
            </w:tcMar>
            <w:vAlign w:val="center"/>
          </w:tcPr>
          <w:p>
            <w:pPr>
              <w:jc w:val="center"/>
            </w:pPr>
            <w:r>
              <w:rPr>
                <w:sz w:val="20"/>
                <w:szCs w:val="20"/>
              </w:rPr>
              <w:t xml:space="preserve">2,369 (14.61%)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98.67 / 2.26%</w:t>
            </w:r>
          </w:p>
        </w:tc>
        <w:tc>
          <w:tcPr>
            <w:tcW w:type="dxa" w:w="1200"/>
            <w:tcMar>
              <w:top w:type="dxa" w:w="60"/>
              <w:left w:type="dxa" w:w="100"/>
              <w:bottom w:type="dxa" w:w="60"/>
              <w:right w:type="dxa" w:w="100"/>
            </w:tcMar>
            <w:vAlign w:val="center"/>
          </w:tcPr>
          <w:p>
            <w:pPr>
              <w:jc w:val="center"/>
            </w:pPr>
            <w:r>
              <w:rPr>
                <w:sz w:val="20"/>
                <w:szCs w:val="20"/>
              </w:rPr>
              <w:t xml:space="preserve">319 (1.97%)</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99.16 / 3.48%</w:t>
            </w:r>
          </w:p>
        </w:tc>
        <w:tc>
          <w:tcPr>
            <w:tcW w:type="dxa" w:w="1200"/>
            <w:tcMar>
              <w:top w:type="dxa" w:w="60"/>
              <w:left w:type="dxa" w:w="100"/>
              <w:bottom w:type="dxa" w:w="60"/>
              <w:right w:type="dxa" w:w="100"/>
            </w:tcMar>
            <w:vAlign w:val="center"/>
          </w:tcPr>
          <w:p>
            <w:pPr>
              <w:jc w:val="center"/>
            </w:pPr>
            <w:r>
              <w:rPr>
                <w:sz w:val="20"/>
                <w:szCs w:val="20"/>
              </w:rPr>
              <w:t xml:space="preserve">105 (0.65%)</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30% on TON_IoT). With fine-tuning and QAT fine-tuning on one client's local data, the resulting INT8 model is 65.4 KB on CIC-IDS2017 (802.5 / 65.4 = 12.27×) and 56.7 KB on TON_IoT (12.92×), and it stays close to the float federated model (F1 85.59 vs. 85.70 and 98.67 vs. 99.41). This CIC-IDS2017 model has 94.28% accuracy, 75.00% precision, and 99.66% Attack Recall. The QAT fine-tuning step matters on TON_IoT, where client-fine-tuned PTQ reaches only F1 90.20.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98.67</w:t>
            </w:r>
          </w:p>
        </w:tc>
        <w:tc>
          <w:tcPr>
            <w:tcW w:type="dxa" w:w="900"/>
            <w:tcMar>
              <w:top w:type="dxa" w:w="60"/>
              <w:left w:type="dxa" w:w="100"/>
              <w:bottom w:type="dxa" w:w="60"/>
              <w:right w:type="dxa" w:w="100"/>
            </w:tcMar>
            <w:vAlign w:val="center"/>
          </w:tcPr>
          <w:p>
            <w:pPr>
              <w:jc w:val="center"/>
            </w:pPr>
            <w:r>
              <w:rPr>
                <w:sz w:val="20"/>
                <w:szCs w:val="20"/>
              </w:rPr>
              <w:t xml:space="preserve">2.26%</w:t>
            </w:r>
          </w:p>
        </w:tc>
        <w:tc>
          <w:tcPr>
            <w:tcW w:type="dxa" w:w="2000"/>
            <w:tcMar>
              <w:top w:type="dxa" w:w="60"/>
              <w:left w:type="dxa" w:w="100"/>
              <w:bottom w:type="dxa" w:w="60"/>
              <w:right w:type="dxa" w:w="100"/>
            </w:tcMar>
            <w:vAlign w:val="center"/>
          </w:tcPr>
          <w:p>
            <w:pPr>
              <w:jc w:val="center"/>
            </w:pPr>
            <w:r>
              <w:rPr>
                <w:sz w:val="20"/>
                <w:szCs w:val="20"/>
              </w:rPr>
              <w:t xml:space="preserve">319 / 16,215 (1.97%)</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98.80</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248 / 16,215 (1.53%)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degrades the TON_IoT model until, from 85%, it too predicts every record as an attack. With client fine-tuning, CIC-IDS2017 degrades gracefully: 30% pruning (112–126 KB) gives F1 87.6–89.7, 70% pruning (31 KB, 26×) gives 84.4–85.0, 85% (14 KB, 57×) gives 81.3–82.9, and 90% (9.9 KB, 81×) gives 78.0. PTQ and QAT fine-tuning track each other closely. On TON_IoT, client fine-tuning + QAT holds F1 between 98.65 and 98.74 all the way to 90% pruning (8.2 KB, 90× smaller than FP32), whereas client fine-tuning + PTQ stays between 87.7 and 91.5.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98.14%, F1 98.79, 166 of 16,215 attacks missed).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98.4%</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85.7%</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98.0%</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91.1%</w:t>
            </w:r>
          </w:p>
        </w:tc>
        <w:tc>
          <w:tcPr>
            <w:tcW w:type="dxa" w:w="950"/>
            <w:tcMar>
              <w:top w:type="dxa" w:w="60"/>
              <w:left w:type="dxa" w:w="100"/>
              <w:bottom w:type="dxa" w:w="60"/>
              <w:right w:type="dxa" w:w="100"/>
            </w:tcMar>
            <w:vAlign w:val="center"/>
          </w:tcPr>
          <w:p>
            <w:pPr>
              <w:jc w:val="center"/>
            </w:pPr>
            <w:r>
              <w:rPr>
                <w:sz w:val="20"/>
                <w:szCs w:val="20"/>
              </w:rPr>
              <w:t xml:space="preserve">91.1%</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the pooled-fine-tuned model keeps 91.1% accuracy, but it uses server-held data and is therefore only an upper bound.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57 KB INT8 model of the same recipe with federated fine-tuning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319 of 16,215 TON_IoT attacks (FAR 2.26%). The trade-off is therefore explicit: roughly 11–27 times fewer missed attacks for 1.5–2.9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732 KB · 99.41</w:t>
            </w:r>
          </w:p>
        </w:tc>
        <w:tc>
          <w:tcPr>
            <w:tcW w:type="dxa" w:w="1450"/>
            <w:tcMar>
              <w:top w:type="dxa" w:w="60"/>
              <w:left w:type="dxa" w:w="100"/>
              <w:bottom w:type="dxa" w:w="60"/>
              <w:right w:type="dxa" w:w="100"/>
            </w:tcMar>
            <w:vAlign w:val="center"/>
          </w:tcPr>
          <w:p>
            <w:pPr>
              <w:jc w:val="center"/>
            </w:pPr>
            <w:r>
              <w:rPr>
                <w:sz w:val="20"/>
                <w:szCs w:val="20"/>
              </w:rPr>
              <w:t xml:space="preserve">208 KB · 99.42</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199 KB · 99.41</w:t>
            </w:r>
          </w:p>
        </w:tc>
        <w:tc>
          <w:tcPr>
            <w:tcW w:type="dxa" w:w="1450"/>
            <w:tcMar>
              <w:top w:type="dxa" w:w="60"/>
              <w:left w:type="dxa" w:w="100"/>
              <w:bottom w:type="dxa" w:w="60"/>
              <w:right w:type="dxa" w:w="100"/>
            </w:tcMar>
            <w:vAlign w:val="center"/>
          </w:tcPr>
          <w:p>
            <w:pPr>
              <w:jc w:val="center"/>
            </w:pPr>
            <w:r>
              <w:rPr>
                <w:sz w:val="20"/>
                <w:szCs w:val="20"/>
              </w:rPr>
              <w:t xml:space="preserve">61 KB · 99.43</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369 KB · 99.41</w:t>
            </w:r>
          </w:p>
        </w:tc>
        <w:tc>
          <w:tcPr>
            <w:tcW w:type="dxa" w:w="1450"/>
            <w:tcMar>
              <w:top w:type="dxa" w:w="60"/>
              <w:left w:type="dxa" w:w="100"/>
              <w:bottom w:type="dxa" w:w="60"/>
              <w:right w:type="dxa" w:w="100"/>
            </w:tcMar>
            <w:vAlign w:val="center"/>
          </w:tcPr>
          <w:p>
            <w:pPr>
              <w:jc w:val="center"/>
            </w:pPr>
            <w:r>
              <w:rPr>
                <w:sz w:val="20"/>
                <w:szCs w:val="20"/>
              </w:rPr>
              <w:t xml:space="preserve">106 KB · 99.42</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209 KB · 97.69</w:t>
            </w:r>
          </w:p>
        </w:tc>
        <w:tc>
          <w:tcPr>
            <w:tcW w:type="dxa" w:w="1450"/>
            <w:tcMar>
              <w:top w:type="dxa" w:w="60"/>
              <w:left w:type="dxa" w:w="100"/>
              <w:bottom w:type="dxa" w:w="60"/>
              <w:right w:type="dxa" w:w="100"/>
            </w:tcMar>
            <w:vAlign w:val="center"/>
          </w:tcPr>
          <w:p>
            <w:pPr>
              <w:jc w:val="center"/>
            </w:pPr>
            <w:r>
              <w:rPr>
                <w:sz w:val="20"/>
                <w:szCs w:val="20"/>
              </w:rPr>
              <w:t xml:space="preserve">66 KB · 90.20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220 KB · 99.40</w:t>
            </w:r>
          </w:p>
        </w:tc>
        <w:tc>
          <w:tcPr>
            <w:tcW w:type="dxa" w:w="1450"/>
            <w:tcMar>
              <w:top w:type="dxa" w:w="60"/>
              <w:left w:type="dxa" w:w="100"/>
              <w:bottom w:type="dxa" w:w="60"/>
              <w:right w:type="dxa" w:w="100"/>
            </w:tcMar>
            <w:vAlign w:val="center"/>
          </w:tcPr>
          <w:p>
            <w:pPr>
              <w:jc w:val="center"/>
            </w:pPr>
            <w:r>
              <w:rPr>
                <w:sz w:val="20"/>
                <w:szCs w:val="20"/>
              </w:rPr>
              <w:t xml:space="preserve">72 KB · 99.41</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57 KB · 98.67</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3.8% and 13.2%;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1.7 F1 (federated model) and 9.2 F1 (pruned model) on TON_IoT, where the pruned model's FAR rises from 2.0% to 13.2%.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98.96 vs. 97.69). We therefore converted each federated model 45 more times, varying the calibration source (pooled data or any one of the four clients), the number of samples (100, 500, 2,000), and the random draw (three per setting). The source does not matter: for every source the median F1 is 98.97–99.36 on TON_IoT and 83.1–83.8 on CIC-IDS2017. The draw does (Table 7). On TON_IoT the same model ranges from F1 32.72 to 99.40, and on CIC-IDS2017 from 29.16 to 85.02. More calibration data makes it worse, not better: with 100 samples, 14 of 15 TON_IoT conversions are within one F1 point of FP32, with 2,000 samples only 5 of 15, and 7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99.36</w:t>
            </w:r>
          </w:p>
        </w:tc>
        <w:tc>
          <w:tcPr>
            <w:tcW w:type="dxa" w:w="1200"/>
            <w:tcMar>
              <w:top w:type="dxa" w:w="60"/>
              <w:left w:type="dxa" w:w="100"/>
              <w:bottom w:type="dxa" w:w="60"/>
              <w:right w:type="dxa" w:w="100"/>
            </w:tcMar>
            <w:vAlign w:val="center"/>
          </w:tcPr>
          <w:p>
            <w:pPr>
              <w:jc w:val="center"/>
            </w:pPr>
            <w:r>
              <w:rPr>
                <w:sz w:val="20"/>
                <w:szCs w:val="20"/>
              </w:rPr>
              <w:t xml:space="preserve">96.11</w:t>
            </w:r>
          </w:p>
        </w:tc>
        <w:tc>
          <w:tcPr>
            <w:tcW w:type="dxa" w:w="1500"/>
            <w:tcMar>
              <w:top w:type="dxa" w:w="60"/>
              <w:left w:type="dxa" w:w="100"/>
              <w:bottom w:type="dxa" w:w="60"/>
              <w:right w:type="dxa" w:w="100"/>
            </w:tcMar>
            <w:vAlign w:val="center"/>
          </w:tcPr>
          <w:p>
            <w:pPr>
              <w:jc w:val="center"/>
            </w:pPr>
            <w:r>
              <w:rPr>
                <w:sz w:val="20"/>
                <w:szCs w:val="20"/>
              </w:rPr>
              <w:t xml:space="preserve">14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99.37</w:t>
            </w:r>
          </w:p>
        </w:tc>
        <w:tc>
          <w:tcPr>
            <w:tcW w:type="dxa" w:w="1200"/>
            <w:tcMar>
              <w:top w:type="dxa" w:w="60"/>
              <w:left w:type="dxa" w:w="100"/>
              <w:bottom w:type="dxa" w:w="60"/>
              <w:right w:type="dxa" w:w="100"/>
            </w:tcMar>
            <w:vAlign w:val="center"/>
          </w:tcPr>
          <w:p>
            <w:pPr>
              <w:jc w:val="center"/>
            </w:pPr>
            <w:r>
              <w:rPr>
                <w:sz w:val="20"/>
                <w:szCs w:val="20"/>
              </w:rPr>
              <w:t xml:space="preserve">54.01</w:t>
            </w:r>
          </w:p>
        </w:tc>
        <w:tc>
          <w:tcPr>
            <w:tcW w:type="dxa" w:w="1500"/>
            <w:tcMar>
              <w:top w:type="dxa" w:w="60"/>
              <w:left w:type="dxa" w:w="100"/>
              <w:bottom w:type="dxa" w:w="60"/>
              <w:right w:type="dxa" w:w="100"/>
            </w:tcMar>
            <w:vAlign w:val="center"/>
          </w:tcPr>
          <w:p>
            <w:pPr>
              <w:jc w:val="center"/>
            </w:pPr>
            <w:r>
              <w:rPr>
                <w:sz w:val="20"/>
                <w:szCs w:val="20"/>
              </w:rPr>
              <w:t xml:space="preserve">13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97.68</w:t>
            </w:r>
          </w:p>
        </w:tc>
        <w:tc>
          <w:tcPr>
            <w:tcW w:type="dxa" w:w="1200"/>
            <w:tcMar>
              <w:top w:type="dxa" w:w="60"/>
              <w:left w:type="dxa" w:w="100"/>
              <w:bottom w:type="dxa" w:w="60"/>
              <w:right w:type="dxa" w:w="100"/>
            </w:tcMar>
            <w:vAlign w:val="center"/>
          </w:tcPr>
          <w:p>
            <w:pPr>
              <w:jc w:val="center"/>
            </w:pPr>
            <w:r>
              <w:rPr>
                <w:sz w:val="20"/>
                <w:szCs w:val="20"/>
              </w:rPr>
              <w:t xml:space="preserve">32.72</w:t>
            </w:r>
          </w:p>
        </w:tc>
        <w:tc>
          <w:tcPr>
            <w:tcW w:type="dxa" w:w="1500"/>
            <w:tcMar>
              <w:top w:type="dxa" w:w="60"/>
              <w:left w:type="dxa" w:w="100"/>
              <w:bottom w:type="dxa" w:w="60"/>
              <w:right w:type="dxa" w:w="100"/>
            </w:tcMar>
            <w:vAlign w:val="center"/>
          </w:tcPr>
          <w:p>
            <w:pPr>
              <w:jc w:val="center"/>
            </w:pPr>
            <w:r>
              <w:rPr>
                <w:sz w:val="20"/>
                <w:szCs w:val="20"/>
              </w:rPr>
              <w:t xml:space="preserve">5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99.19</w:t>
            </w:r>
          </w:p>
        </w:tc>
        <w:tc>
          <w:tcPr>
            <w:tcW w:type="dxa" w:w="1200"/>
            <w:tcMar>
              <w:top w:type="dxa" w:w="60"/>
              <w:left w:type="dxa" w:w="100"/>
              <w:bottom w:type="dxa" w:w="60"/>
              <w:right w:type="dxa" w:w="100"/>
            </w:tcMar>
            <w:vAlign w:val="center"/>
          </w:tcPr>
          <w:p>
            <w:pPr>
              <w:jc w:val="center"/>
            </w:pPr>
            <w:r>
              <w:rPr>
                <w:sz w:val="20"/>
                <w:szCs w:val="20"/>
              </w:rPr>
              <w:t xml:space="preserve">99.19</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99.41</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TON_IoT conversions with hidden-layer maxima near 400 reach only F1 33–75, and the worst CIC-IDS2017 conversion (F1 29.16) has a maximum of 9,609, against roughly 50–210 for most well-behaved conversions. The relation is not strictly monotonic (on TON_IoT, maxima of 142–165 already give F1 54–69, while one of 209 keeps 97.7),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99.19 for all 15 sets on TON_IoT (FP32 99.41) and 83.02–84.85 on CIC-IDS2017 (FP32 85.70), against 32.72–99.09 and 29.16–84.99 without clipping (Table 7). Clipping at ±10 works as well (TON_IoT 99.37–99.39), while ±3 is too tight for TON_IoT (F1 98.30–98.79).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is more stable than PTQ (Section 5.15 explains why) but not independent of the fine-tuning draw. Repeating the base recipe with five different 10,000-sample fine-tuning draws from client 0 gives F1 98.79–99.51 on TON_IoT (PTQ of the same pruned models: 96.89–99.19)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66.4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99.46 / 99.37 / 99.05</w:t>
            </w:r>
          </w:p>
        </w:tc>
        <w:tc>
          <w:tcPr>
            <w:tcW w:type="dxa" w:w="1600"/>
            <w:tcMar>
              <w:top w:type="dxa" w:w="60"/>
              <w:left w:type="dxa" w:w="100"/>
              <w:bottom w:type="dxa" w:w="60"/>
              <w:right w:type="dxa" w:w="100"/>
            </w:tcMar>
            <w:vAlign w:val="center"/>
          </w:tcPr>
          <w:p>
            <w:pPr>
              <w:jc w:val="center"/>
            </w:pPr>
            <w:r>
              <w:rPr>
                <w:sz w:val="20"/>
                <w:szCs w:val="20"/>
              </w:rPr>
              <w:t xml:space="preserve">99.42 / 98.81 / 99.08</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24.8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99.42 / 99.13 / 98.96</w:t>
            </w:r>
          </w:p>
        </w:tc>
        <w:tc>
          <w:tcPr>
            <w:tcW w:type="dxa" w:w="1600"/>
            <w:tcMar>
              <w:top w:type="dxa" w:w="60"/>
              <w:left w:type="dxa" w:w="100"/>
              <w:bottom w:type="dxa" w:w="60"/>
              <w:right w:type="dxa" w:w="100"/>
            </w:tcMar>
            <w:vAlign w:val="center"/>
          </w:tcPr>
          <w:p>
            <w:pPr>
              <w:jc w:val="center"/>
            </w:pPr>
            <w:r>
              <w:rPr>
                <w:sz w:val="20"/>
                <w:szCs w:val="20"/>
              </w:rPr>
              <w:t xml:space="preserve">99.43 / 98.73 / 99.05</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11.6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99.20 / 99.21 / 98.78</w:t>
            </w:r>
          </w:p>
        </w:tc>
        <w:tc>
          <w:tcPr>
            <w:tcW w:type="dxa" w:w="1600"/>
            <w:tcMar>
              <w:top w:type="dxa" w:w="60"/>
              <w:left w:type="dxa" w:w="100"/>
              <w:bottom w:type="dxa" w:w="60"/>
              <w:right w:type="dxa" w:w="100"/>
            </w:tcMar>
            <w:vAlign w:val="center"/>
          </w:tcPr>
          <w:p>
            <w:pPr>
              <w:jc w:val="center"/>
            </w:pPr>
            <w:r>
              <w:rPr>
                <w:sz w:val="20"/>
                <w:szCs w:val="20"/>
              </w:rPr>
              <w:t xml:space="preserve">99.37 / 98.82 / 99.00</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732.4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99.41</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9.8 KB at 1/8 width).</w:t>
      </w:r>
    </w:p>
    <w:p>
      <w:pPr>
        <w:spacing w:after="160"/>
      </w:pPr>
      <w:r>
        <w:t xml:space="preserve">On TON_IoT, distillation gives the most compact models in this paper: the 1/8-width distilled student keeps F1 99.21 at 11.6 KB with plain INT8 PTQ (63× smaller than the FP32 federated model), and distillation makes the student more robust to INT8 PTQ (at most 0.29 F1 lost, against 0.55–0.70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99.08–99.35 / 99.69–99.81% / 3.6–5.6%</w:t>
            </w:r>
          </w:p>
        </w:tc>
        <w:tc>
          <w:tcPr>
            <w:tcW w:type="dxa" w:w="1500"/>
            <w:tcMar>
              <w:top w:type="dxa" w:w="60"/>
              <w:left w:type="dxa" w:w="100"/>
              <w:bottom w:type="dxa" w:w="60"/>
              <w:right w:type="dxa" w:w="100"/>
            </w:tcMar>
            <w:vAlign w:val="center"/>
          </w:tcPr>
          <w:p>
            <w:pPr>
              <w:jc w:val="center"/>
            </w:pPr>
            <w:r>
              <w:rPr>
                <w:sz w:val="20"/>
                <w:szCs w:val="20"/>
              </w:rPr>
              <w:t xml:space="preserve">31–51 / 16,215 (0.19–0.31%)</w:t>
            </w:r>
          </w:p>
        </w:tc>
        <w:tc>
          <w:tcPr>
            <w:tcW w:type="dxa" w:w="1700"/>
            <w:tcMar>
              <w:top w:type="dxa" w:w="60"/>
              <w:left w:type="dxa" w:w="100"/>
              <w:bottom w:type="dxa" w:w="60"/>
              <w:right w:type="dxa" w:w="100"/>
            </w:tcMar>
            <w:vAlign w:val="center"/>
          </w:tcPr>
          <w:p>
            <w:pPr>
              <w:jc w:val="center"/>
            </w:pPr>
            <w:r>
              <w:rPr>
                <w:sz w:val="20"/>
                <w:szCs w:val="20"/>
              </w:rPr>
              <w:t xml:space="preserve">99.41 / 99.88% / 3.61%</w:t>
            </w:r>
          </w:p>
        </w:tc>
        <w:tc>
          <w:tcPr>
            <w:tcW w:type="dxa" w:w="1500"/>
            <w:tcMar>
              <w:top w:type="dxa" w:w="60"/>
              <w:left w:type="dxa" w:w="100"/>
              <w:bottom w:type="dxa" w:w="60"/>
              <w:right w:type="dxa" w:w="100"/>
            </w:tcMar>
            <w:vAlign w:val="center"/>
          </w:tcPr>
          <w:p>
            <w:pPr>
              <w:jc w:val="center"/>
            </w:pPr>
            <w:r>
              <w:rPr>
                <w:sz w:val="20"/>
                <w:szCs w:val="20"/>
              </w:rPr>
              <w:t xml:space="preserve">19 / 16,215 (0.12%)</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92.15 / 85.53% / 0.35%</w:t>
            </w:r>
          </w:p>
        </w:tc>
        <w:tc>
          <w:tcPr>
            <w:tcW w:type="dxa" w:w="1500"/>
            <w:tcMar>
              <w:top w:type="dxa" w:w="60"/>
              <w:left w:type="dxa" w:w="100"/>
              <w:bottom w:type="dxa" w:w="60"/>
              <w:right w:type="dxa" w:w="100"/>
            </w:tcMar>
            <w:vAlign w:val="center"/>
          </w:tcPr>
          <w:p>
            <w:pPr>
              <w:jc w:val="center"/>
            </w:pPr>
            <w:r>
              <w:rPr>
                <w:sz w:val="20"/>
                <w:szCs w:val="20"/>
              </w:rPr>
              <w:t xml:space="preserve">2,346 / 16,215 (14.47%)</w:t>
            </w:r>
          </w:p>
        </w:tc>
        <w:tc>
          <w:tcPr>
            <w:tcW w:type="dxa" w:w="1700"/>
            <w:tcMar>
              <w:top w:type="dxa" w:w="60"/>
              <w:left w:type="dxa" w:w="100"/>
              <w:bottom w:type="dxa" w:w="60"/>
              <w:right w:type="dxa" w:w="100"/>
            </w:tcMar>
            <w:vAlign w:val="center"/>
          </w:tcPr>
          <w:p>
            <w:pPr>
              <w:jc w:val="center"/>
            </w:pPr>
            <w:r>
              <w:rPr>
                <w:sz w:val="20"/>
                <w:szCs w:val="20"/>
              </w:rPr>
              <w:t xml:space="preserve">98.60 / 99.99% / 9.52%</w:t>
            </w:r>
          </w:p>
        </w:tc>
        <w:tc>
          <w:tcPr>
            <w:tcW w:type="dxa" w:w="1500"/>
            <w:tcMar>
              <w:top w:type="dxa" w:w="60"/>
              <w:left w:type="dxa" w:w="100"/>
              <w:bottom w:type="dxa" w:w="60"/>
              <w:right w:type="dxa" w:w="100"/>
            </w:tcMar>
            <w:vAlign w:val="center"/>
          </w:tcPr>
          <w:p>
            <w:pPr>
              <w:jc w:val="center"/>
            </w:pPr>
            <w:r>
              <w:rPr>
                <w:sz w:val="20"/>
                <w:szCs w:val="20"/>
              </w:rPr>
              <w:t xml:space="preserve">1 / 16,215 (0.006%)</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98.40 / 99.99% / 10.93%</w:t>
            </w:r>
          </w:p>
        </w:tc>
        <w:tc>
          <w:tcPr>
            <w:tcW w:type="dxa" w:w="1500"/>
            <w:tcMar>
              <w:top w:type="dxa" w:w="60"/>
              <w:left w:type="dxa" w:w="100"/>
              <w:bottom w:type="dxa" w:w="60"/>
              <w:right w:type="dxa" w:w="100"/>
            </w:tcMar>
            <w:vAlign w:val="center"/>
          </w:tcPr>
          <w:p>
            <w:pPr>
              <w:jc w:val="center"/>
            </w:pPr>
            <w:r>
              <w:rPr>
                <w:sz w:val="20"/>
                <w:szCs w:val="20"/>
              </w:rPr>
              <w:t xml:space="preserve">1 / 16,215 (0.006%)</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98.75 / 99.73% / 7.59%</w:t>
            </w:r>
          </w:p>
        </w:tc>
        <w:tc>
          <w:tcPr>
            <w:tcW w:type="dxa" w:w="1500"/>
            <w:tcMar>
              <w:top w:type="dxa" w:w="60"/>
              <w:left w:type="dxa" w:w="100"/>
              <w:bottom w:type="dxa" w:w="60"/>
              <w:right w:type="dxa" w:w="100"/>
            </w:tcMar>
            <w:vAlign w:val="center"/>
          </w:tcPr>
          <w:p>
            <w:pPr>
              <w:jc w:val="center"/>
            </w:pPr>
            <w:r>
              <w:rPr>
                <w:sz w:val="20"/>
                <w:szCs w:val="20"/>
              </w:rPr>
              <w:t xml:space="preserve">44 / 16,215 (0.27%)</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96.42 / 93.39% / 1.06%</w:t>
            </w:r>
          </w:p>
        </w:tc>
        <w:tc>
          <w:tcPr>
            <w:tcW w:type="dxa" w:w="1500"/>
            <w:tcMar>
              <w:top w:type="dxa" w:w="60"/>
              <w:left w:type="dxa" w:w="100"/>
              <w:bottom w:type="dxa" w:w="60"/>
              <w:right w:type="dxa" w:w="100"/>
            </w:tcMar>
            <w:vAlign w:val="center"/>
          </w:tcPr>
          <w:p>
            <w:pPr>
              <w:jc w:val="center"/>
            </w:pPr>
            <w:r>
              <w:rPr>
                <w:sz w:val="20"/>
                <w:szCs w:val="20"/>
              </w:rPr>
              <w:t xml:space="preserve">1,072 / 16,215 (6.61%)</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85.53% and client 3 (8.5%) 93.39%. On the same partitions the federated model detects 99.83% (CIC-IDS2017) and 99.99% (TON_IoT). The attack-heavy TON_IoT client 1 (92.8% attacks) gains little: alone it flags 10.9% of benign records, the federated Dirichlet model 9.5%.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732 / 803</w:t>
            </w:r>
          </w:p>
        </w:tc>
        <w:tc>
          <w:tcPr>
            <w:tcW w:type="dxa" w:w="1250"/>
            <w:tcMar>
              <w:top w:type="dxa" w:w="60"/>
              <w:left w:type="dxa" w:w="100"/>
              <w:bottom w:type="dxa" w:w="60"/>
              <w:right w:type="dxa" w:w="100"/>
            </w:tcMar>
            <w:vAlign w:val="center"/>
          </w:tcPr>
          <w:p>
            <w:pPr>
              <w:jc w:val="center"/>
            </w:pPr>
            <w:r>
              <w:rPr>
                <w:sz w:val="20"/>
                <w:szCs w:val="20"/>
              </w:rPr>
              <w:t xml:space="preserve">684 / 755</w:t>
            </w:r>
          </w:p>
        </w:tc>
        <w:tc>
          <w:tcPr>
            <w:tcW w:type="dxa" w:w="1500"/>
            <w:tcMar>
              <w:top w:type="dxa" w:w="60"/>
              <w:left w:type="dxa" w:w="100"/>
              <w:bottom w:type="dxa" w:w="60"/>
              <w:right w:type="dxa" w:w="100"/>
            </w:tcMar>
            <w:vAlign w:val="center"/>
          </w:tcPr>
          <w:p>
            <w:pPr>
              <w:jc w:val="center"/>
            </w:pPr>
            <w:r>
              <w:rPr>
                <w:sz w:val="20"/>
                <w:szCs w:val="20"/>
              </w:rPr>
              <w:t xml:space="preserve">99.41</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99.10 (98.92–99.40)</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99.18 (99.18–99.19)</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131 / 99</w:t>
            </w:r>
          </w:p>
        </w:tc>
        <w:tc>
          <w:tcPr>
            <w:tcW w:type="dxa" w:w="1500"/>
            <w:tcMar>
              <w:top w:type="dxa" w:w="60"/>
              <w:left w:type="dxa" w:w="100"/>
              <w:bottom w:type="dxa" w:w="60"/>
              <w:right w:type="dxa" w:w="100"/>
            </w:tcMar>
            <w:vAlign w:val="center"/>
          </w:tcPr>
          <w:p>
            <w:pPr>
              <w:jc w:val="center"/>
            </w:pPr>
            <w:r>
              <w:rPr>
                <w:sz w:val="20"/>
                <w:szCs w:val="20"/>
              </w:rPr>
              <w:t xml:space="preserve">99.22 (99.07–99.52)</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98.32 (96.89–99.19)</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(99.40–99.44)</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99.12 (98.89–99.51)</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35</w:t>
            </w:r>
          </w:p>
        </w:tc>
        <w:tc>
          <w:tcPr>
            <w:tcW w:type="dxa" w:w="1500"/>
            <w:tcMar>
              <w:top w:type="dxa" w:w="60"/>
              <w:left w:type="dxa" w:w="100"/>
              <w:bottom w:type="dxa" w:w="60"/>
              <w:right w:type="dxa" w:w="100"/>
            </w:tcMar>
            <w:vAlign w:val="center"/>
          </w:tcPr>
          <w:p>
            <w:pPr>
              <w:jc w:val="center"/>
            </w:pPr>
            <w:r>
              <w:rPr>
                <w:sz w:val="20"/>
                <w:szCs w:val="20"/>
              </w:rPr>
              <w:t xml:space="preserve">99.49 (99.47–99.51)</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99.19 (99.01–99.49)</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(99.34–99.47)</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34</w:t>
            </w:r>
          </w:p>
        </w:tc>
        <w:tc>
          <w:tcPr>
            <w:tcW w:type="dxa" w:w="1500"/>
            <w:tcMar>
              <w:top w:type="dxa" w:w="60"/>
              <w:left w:type="dxa" w:w="100"/>
              <w:bottom w:type="dxa" w:w="60"/>
              <w:right w:type="dxa" w:w="100"/>
            </w:tcMar>
            <w:vAlign w:val="center"/>
          </w:tcPr>
          <w:p>
            <w:pPr>
              <w:jc w:val="center"/>
            </w:pPr>
            <w:r>
              <w:rPr>
                <w:sz w:val="20"/>
                <w:szCs w:val="20"/>
              </w:rPr>
              <w:t xml:space="preserve">99.17 (98.97–99.48)</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127 / 128</w:t>
            </w:r>
          </w:p>
        </w:tc>
        <w:tc>
          <w:tcPr>
            <w:tcW w:type="dxa" w:w="1500"/>
            <w:tcMar>
              <w:top w:type="dxa" w:w="60"/>
              <w:left w:type="dxa" w:w="100"/>
              <w:bottom w:type="dxa" w:w="60"/>
              <w:right w:type="dxa" w:w="100"/>
            </w:tcMar>
            <w:vAlign w:val="center"/>
          </w:tcPr>
          <w:p>
            <w:pPr>
              <w:jc w:val="center"/>
            </w:pPr>
            <w:r>
              <w:rPr>
                <w:sz w:val="20"/>
                <w:szCs w:val="20"/>
              </w:rPr>
              <w:t xml:space="preserve">99.47 (99.46–99.47)</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104 / 90</w:t>
            </w:r>
          </w:p>
        </w:tc>
        <w:tc>
          <w:tcPr>
            <w:tcW w:type="dxa" w:w="1500"/>
            <w:tcMar>
              <w:top w:type="dxa" w:w="60"/>
              <w:left w:type="dxa" w:w="100"/>
              <w:bottom w:type="dxa" w:w="60"/>
              <w:right w:type="dxa" w:w="100"/>
            </w:tcMar>
            <w:vAlign w:val="center"/>
          </w:tcPr>
          <w:p>
            <w:pPr>
              <w:jc w:val="center"/>
            </w:pPr>
            <w:r>
              <w:rPr>
                <w:sz w:val="20"/>
                <w:szCs w:val="20"/>
              </w:rPr>
              <w:t xml:space="preserve">99.18 (99.03–99.42)</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72 / 76</w:t>
            </w:r>
          </w:p>
        </w:tc>
        <w:tc>
          <w:tcPr>
            <w:tcW w:type="dxa" w:w="1500"/>
            <w:tcMar>
              <w:top w:type="dxa" w:w="60"/>
              <w:left w:type="dxa" w:w="100"/>
              <w:bottom w:type="dxa" w:w="60"/>
              <w:right w:type="dxa" w:w="100"/>
            </w:tcMar>
            <w:vAlign w:val="center"/>
          </w:tcPr>
          <w:p>
            <w:pPr>
              <w:jc w:val="center"/>
            </w:pPr>
            <w:r>
              <w:rPr>
                <w:sz w:val="20"/>
                <w:szCs w:val="20"/>
              </w:rPr>
              <w:t xml:space="preserve">99.38 (99.36–99.39)</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58 / 57</w:t>
            </w:r>
          </w:p>
        </w:tc>
        <w:tc>
          <w:tcPr>
            <w:tcW w:type="dxa" w:w="1500"/>
            <w:tcMar>
              <w:top w:type="dxa" w:w="60"/>
              <w:left w:type="dxa" w:w="100"/>
              <w:bottom w:type="dxa" w:w="60"/>
              <w:right w:type="dxa" w:w="100"/>
            </w:tcMar>
            <w:vAlign w:val="center"/>
          </w:tcPr>
          <w:p>
            <w:pPr>
              <w:jc w:val="center"/>
            </w:pPr>
            <w:r>
              <w:rPr>
                <w:sz w:val="20"/>
                <w:szCs w:val="20"/>
              </w:rPr>
              <w:t xml:space="preserve">99.03 (98.82–99.43)</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80 / 62</w:t>
            </w:r>
          </w:p>
        </w:tc>
        <w:tc>
          <w:tcPr>
            <w:tcW w:type="dxa" w:w="1500"/>
            <w:tcMar>
              <w:top w:type="dxa" w:w="60"/>
              <w:left w:type="dxa" w:w="100"/>
              <w:bottom w:type="dxa" w:w="60"/>
              <w:right w:type="dxa" w:w="100"/>
            </w:tcMar>
            <w:vAlign w:val="center"/>
          </w:tcPr>
          <w:p>
            <w:pPr>
              <w:jc w:val="center"/>
            </w:pPr>
            <w:r>
              <w:rPr>
                <w:sz w:val="20"/>
                <w:szCs w:val="20"/>
              </w:rPr>
              <w:t xml:space="preserve">99.06 (98.86–99.46)</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56 / 65</w:t>
            </w:r>
          </w:p>
        </w:tc>
        <w:tc>
          <w:tcPr>
            <w:tcW w:type="dxa" w:w="1250"/>
            <w:tcMar>
              <w:top w:type="dxa" w:w="60"/>
              <w:left w:type="dxa" w:w="100"/>
              <w:bottom w:type="dxa" w:w="60"/>
              <w:right w:type="dxa" w:w="100"/>
            </w:tcMar>
            <w:vAlign w:val="center"/>
          </w:tcPr>
          <w:p>
            <w:pPr>
              <w:jc w:val="center"/>
            </w:pPr>
            <w:r>
              <w:rPr>
                <w:sz w:val="20"/>
                <w:szCs w:val="20"/>
              </w:rPr>
              <w:t xml:space="preserve">33 / 31</w:t>
            </w:r>
          </w:p>
        </w:tc>
        <w:tc>
          <w:tcPr>
            <w:tcW w:type="dxa" w:w="1500"/>
            <w:tcMar>
              <w:top w:type="dxa" w:w="60"/>
              <w:left w:type="dxa" w:w="100"/>
              <w:bottom w:type="dxa" w:w="60"/>
              <w:right w:type="dxa" w:w="100"/>
            </w:tcMar>
            <w:vAlign w:val="center"/>
          </w:tcPr>
          <w:p>
            <w:pPr>
              <w:jc w:val="center"/>
            </w:pPr>
            <w:r>
              <w:rPr>
                <w:sz w:val="20"/>
                <w:szCs w:val="20"/>
              </w:rPr>
              <w:t xml:space="preserve">99.01 (98.74–99.46)</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(189–227 KB) even at 80% sparsity; it only reduces the gzip size (to 57–80 KB at 80%), which matters for transferring model updates but not for flash. Adding magnitude pruning on top of structured pruning likewise leaves flash at 56–65 KB and reduces gzip to 31–33 KB. PQAT keeps the target sparsity (50% and 80%; slightly more on CIC-IDS2017, where INT8 rounding adds zeros), whereas standard QAT after 80% magnitude pruning lets part of the pruned weights grow back (to 60%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96.89–99.19 → 99.40–99.44), and QAT fine-tuning on clipped inputs slightly exceeds the FP32 model's F1 at 57 KB (99.49 vs. 99.41, range 99.47–99.51) while missing 84 attacks on average against 174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(99.17 vs. 99.12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57 KB pipeline at the fixed threshold and loses nothing in F1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Without distillation, the compressed models are so confident that a few client-validation attacks score near zero; reaching a 99.9% recall target on client data then pushes their threshold to almost zero and FAR to about 37%, with or without clipped inputs. Distilled students keep their scores in the middle of the range, and their thresholds (0.17–0.25) carry over to the test split. With federated fine-tuning the 57 KB model is also stable across draws: at a 99.99% client-validation target it misses 12 of 16,215 attacks (at most 14 over draws) at a 6.6% FAR (at most 6.8%), and at a 99.9% target 30 at 3.7%. Client-only fine-tuning misses fewer attacks on average (4) but its FAR varies between 7.2% and 17.3% across draws. The FP32 federated model reaches 9 missed attacks at a 4.7% FAR, so the 57 KB model pays roughly two FAR points at a similar miss count. XSS accounts for about half of the remaining misses. On TON_IoT the selected thresholds undershoot the recall targets on the test split (99.82% for a 99.9% target, 99.93% for 99.99% with federated fine-tuning),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15 / 16,215</w:t>
            </w:r>
          </w:p>
        </w:tc>
        <w:tc>
          <w:tcPr>
            <w:tcW w:type="dxa" w:w="900"/>
            <w:tcMar>
              <w:top w:type="dxa" w:w="60"/>
              <w:left w:type="dxa" w:w="100"/>
              <w:bottom w:type="dxa" w:w="60"/>
              <w:right w:type="dxa" w:w="100"/>
            </w:tcMar>
            <w:vAlign w:val="center"/>
          </w:tcPr>
          <w:p>
            <w:pPr>
              <w:jc w:val="center"/>
            </w:pPr>
            <w:r>
              <w:rPr>
                <w:sz w:val="20"/>
                <w:szCs w:val="20"/>
              </w:rPr>
              <w:t xml:space="preserve">0.094%</w:t>
            </w:r>
          </w:p>
        </w:tc>
        <w:tc>
          <w:tcPr>
            <w:tcW w:type="dxa" w:w="900"/>
            <w:tcMar>
              <w:top w:type="dxa" w:w="60"/>
              <w:left w:type="dxa" w:w="100"/>
              <w:bottom w:type="dxa" w:w="60"/>
              <w:right w:type="dxa" w:w="100"/>
            </w:tcMar>
            <w:vAlign w:val="center"/>
          </w:tcPr>
          <w:p>
            <w:pPr>
              <w:jc w:val="center"/>
            </w:pPr>
            <w:r>
              <w:rPr>
                <w:sz w:val="20"/>
                <w:szCs w:val="20"/>
              </w:rPr>
              <w:t xml:space="preserve">16</w:t>
            </w:r>
          </w:p>
        </w:tc>
        <w:tc>
          <w:tcPr>
            <w:tcW w:type="dxa" w:w="800"/>
            <w:tcMar>
              <w:top w:type="dxa" w:w="60"/>
              <w:left w:type="dxa" w:w="100"/>
              <w:bottom w:type="dxa" w:w="60"/>
              <w:right w:type="dxa" w:w="100"/>
            </w:tcMar>
            <w:vAlign w:val="center"/>
          </w:tcPr>
          <w:p>
            <w:pPr>
              <w:jc w:val="center"/>
            </w:pPr>
            <w:r>
              <w:rPr>
                <w:sz w:val="20"/>
                <w:szCs w:val="20"/>
              </w:rPr>
              <w:t xml:space="preserve">37.65%</w:t>
            </w:r>
          </w:p>
        </w:tc>
      </w:tr>
      <w:tr>
        <w:tc>
          <w:tcPr>
            <w:tcW w:type="dxa" w:w="2700"/>
            <w:tcMar>
              <w:top w:type="dxa" w:w="60"/>
              <w:left w:type="dxa" w:w="100"/>
              <w:bottom w:type="dxa" w:w="60"/>
              <w:right w:type="dxa" w:w="100"/>
            </w:tcMar>
            <w:vAlign w:val="center"/>
          </w:tcPr>
          <w:p>
            <w:pPr>
              <w:jc w:val="left"/>
            </w:pPr>
            <w:r>
              <w:rPr>
                <w:sz w:val="20"/>
                <w:szCs w:val="20"/>
              </w:rPr>
              <w:t xml:space="preserve">57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0.023</w:t>
            </w:r>
          </w:p>
        </w:tc>
        <w:tc>
          <w:tcPr>
            <w:tcW w:type="dxa" w:w="1500"/>
            <w:tcMar>
              <w:top w:type="dxa" w:w="60"/>
              <w:left w:type="dxa" w:w="100"/>
              <w:bottom w:type="dxa" w:w="60"/>
              <w:right w:type="dxa" w:w="100"/>
            </w:tcMar>
            <w:vAlign w:val="center"/>
          </w:tcPr>
          <w:p>
            <w:pPr>
              <w:jc w:val="center"/>
            </w:pPr>
            <w:r>
              <w:rPr>
                <w:sz w:val="20"/>
                <w:szCs w:val="20"/>
              </w:rPr>
              <w:t xml:space="preserve">13 / 16,215</w:t>
            </w:r>
          </w:p>
        </w:tc>
        <w:tc>
          <w:tcPr>
            <w:tcW w:type="dxa" w:w="900"/>
            <w:tcMar>
              <w:top w:type="dxa" w:w="60"/>
              <w:left w:type="dxa" w:w="100"/>
              <w:bottom w:type="dxa" w:w="60"/>
              <w:right w:type="dxa" w:w="100"/>
            </w:tcMar>
            <w:vAlign w:val="center"/>
          </w:tcPr>
          <w:p>
            <w:pPr>
              <w:jc w:val="center"/>
            </w:pPr>
            <w:r>
              <w:rPr>
                <w:sz w:val="20"/>
                <w:szCs w:val="20"/>
              </w:rPr>
              <w:t xml:space="preserve">0.080%</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37.25%</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0.249</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4.91%</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27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We also applied the two levers of Section 5.15 to both deployed recipes (same three fine-tuning draws, threshold for 99.99% client-validation recall). Holding the QAT activation ranges at values calibrated on the client's clipped fine-tuning inputs (99.99th percentile) moves the operating point along the same trade-off curve rather than improving it: on CIC-IDS2017 the 112 KB model misses 28.7 attacks at an 8.6% FAR (deployed recipe: 23.3 at 9.7%), and on TON_IoT the 57 KB model misses 8.3 at 7.1% (deployed: 12.0 at 6.6%); at a fixed 0.2 threshold the TON_IoT models are equal (13.3 vs. 14.3 missed at 6.3% FAR). Cross-layer equalization before QAT makes CIC-IDS2017 worse (29.3 missed, and one draw reaches an 84% FAR). The recall-priority recipe already fine-tunes on clipped inputs, which bounds the input quantization range, the lever identified in Section 5.15, so we keep the deployed models. Source: runs 2026-10-05_x5_recall_fixed_cic and _x6_recall_fixed_ton.</w:t>
      </w:r>
    </w:p>
    <w:p>
      <w:pPr>
        <w:spacing w:after="160"/>
      </w:pPr>
      <w:r>
        <w:t xml:space="preserve">For a recall-priority deployment we therefore recommend one recipe for both datasets: distillation from the federated model, QAT fine-tuning on clipped inputs with federated fine-tuning across clients, and a threshold chosen on client-held data for the required recall. On a 65 KB budget for CIC-IDS2017 the price is about one benign flow in nine raising an alert; where 112 KB of flash is available, 30% pruning lowers that to about one in ten at the same recall and keeps the rare Heartbleed attacks. On TON_IoT the 57 KB model misses 12 of 16,215 attacks at about one false alarm in fifteen benign records. We deploy the CIC-IDS2017 112 KB model and the TON_IoT 57 KB federated-fine-tuned model (first fine-tuning draw of each; Section 5.8) and benchmark them on the ESP32 (Section 6.1).</w:t>
      </w:r>
    </w:p>
    <w:p>
      <w:pPr>
        <w:pStyle w:val="Heading2"/>
        <w:spacing w:after="140" w:before="260"/>
      </w:pPr>
      <w:r>
        <w:t xml:space="preserve">5.14 How the TON_IoT Recipe Was Chosen</w:t>
      </w:r>
    </w:p>
    <w:p>
      <w:pPr>
        <w:spacing w:after="160"/>
      </w:pPr>
      <w:r>
        <w:t xml:space="preserve">Our first TON_IoT runs reused three settings from CIC-IDS2017 without tuning them: focal α = 0.35 down-weights the attack class, which on TON_IoT is the majority; SMOTE therefore synthesizes benign rather than attack records; and the DNS query and URI fields were dropped entirely (37 features). We trained eight variants of the federated model with 10% of the training split held out and selected among them only on that validation set, by the false-alarm rate at the threshold that reaches 99.9% validation recall (Table 14). The test split was not used for selection, and all TON_IoT results in this paper use the selected recipe.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Initial recipe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that model is the TON_IoT federated model throughout the paper.</w:t>
      </w:r>
    </w:p>
    <w:p>
      <w:pPr>
        <w:spacing w:after="160"/>
      </w:pPr>
      <w:r>
        <w:t xml:space="preserve">The text-derived features and the higher focal α each roughly halve the validation false-alarm rate at 99.9% recall, and together they are best (3.01% vs. 6.84%); α = 0.65 and longer training do not help. On the test split, the model trained with the initial recipe misses 61 of 16,215 attacks at the 0.3 threshold (FAR 2.76%), against 19 (FAR 3.61%) for the selected recipe, and at an equal 99.9% test recall its FAR is 7.16% against 4.52% (ROC-AUC 0.99860 vs. 0.99895). Missed DoS, MITM, and DDoS records fall from 16, 14, and 10 to 3, 5, and 1. A second, independent federated training run of the selected recipe gives F1 99.38 and 23 missed attacks (Table 1). The variants were designed after we saw that the initial TON_IoT model left room for improvement, but the choice among them used validation data only.</w:t>
      </w:r>
    </w:p>
    <w:p>
      <w:pPr>
        <w:pStyle w:val="Heading2"/>
        <w:spacing w:after="140" w:before="260"/>
      </w:pPr>
      <w:r>
        <w:t xml:space="preserve">5.15 Calibration Estimators, QAT Ranges, and Data-Free Calibration</w:t>
      </w:r>
    </w:p>
    <w:p>
      <w:pPr>
        <w:spacing w:after="160"/>
      </w:pPr>
      <w:r>
        <w:t xml:space="preserve">We tested the quantization methods of Section 2.3 on our federated models. To compare range estimators with everything else fixed, we build the tfmot fake-quantization model, set its activation ranges directly, and convert it; with min/max ranges this reproduces TensorFlow Lite's per-tensor PTQ exactly (same F1, FAR and missed attacks on every calibration set). TensorFlow Lite's default PTQ uses per-channel weight scales, whereas QAT exports use per-tensor scales, so Table 15 lists both.</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1100"/>
        <w:gridCol w:w="900"/>
        <w:gridCol w:w="700"/>
        <w:gridCol w:w="1100"/>
        <w:gridCol w:w="900"/>
        <w:gridCol w:w="700"/>
      </w:tblGrid>
      <w:tr>
        <w:trPr>
          <w:tblHeader/>
        </w:trPr>
        <w:tc>
          <w:tcPr>
            <w:tcW w:type="dxa" w:w="1000"/>
            <w:shd w:fill="D9E2F3" w:val="clear"/>
            <w:tcMar>
              <w:top w:type="dxa" w:w="60"/>
              <w:left w:type="dxa" w:w="100"/>
              <w:bottom w:type="dxa" w:w="60"/>
              <w:right w:type="dxa" w:w="100"/>
            </w:tcMar>
            <w:vAlign w:val="center"/>
          </w:tcPr>
          <w:p>
            <w:pPr>
              <w:jc w:val="center"/>
            </w:pPr>
            <w:r>
              <w:rPr>
                <w:b/>
                <w:bCs/>
                <w:sz w:val="20"/>
                <w:szCs w:val="20"/>
              </w:rPr>
              <w:t xml:space="preserve">Weights</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Range estimator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CIC FAR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missed / 16,215</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TON FAR</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min/max (TFLite default)</w:t>
            </w:r>
          </w:p>
        </w:tc>
        <w:tc>
          <w:tcPr>
            <w:tcW w:type="dxa" w:w="1100"/>
            <w:tcMar>
              <w:top w:type="dxa" w:w="60"/>
              <w:left w:type="dxa" w:w="100"/>
              <w:bottom w:type="dxa" w:w="60"/>
              <w:right w:type="dxa" w:w="100"/>
            </w:tcMar>
            <w:vAlign w:val="center"/>
          </w:tcPr>
          <w:p>
            <w:pPr>
              <w:jc w:val="center"/>
            </w:pPr>
            <w:r>
              <w:rPr>
                <w:sz w:val="20"/>
                <w:szCs w:val="20"/>
              </w:rPr>
              <w:t xml:space="preserve">77.67 [29.16]</w:t>
            </w:r>
          </w:p>
        </w:tc>
        <w:tc>
          <w:tcPr>
            <w:tcW w:type="dxa" w:w="900"/>
            <w:tcMar>
              <w:top w:type="dxa" w:w="60"/>
              <w:left w:type="dxa" w:w="100"/>
              <w:bottom w:type="dxa" w:w="60"/>
              <w:right w:type="dxa" w:w="100"/>
            </w:tcMar>
            <w:vAlign w:val="center"/>
          </w:tcPr>
          <w:p>
            <w:pPr>
              <w:jc w:val="center"/>
            </w:pPr>
            <w:r>
              <w:rPr>
                <w:sz w:val="20"/>
                <w:szCs w:val="20"/>
              </w:rPr>
              <w:t xml:space="preserve">349</w:t>
            </w:r>
          </w:p>
        </w:tc>
        <w:tc>
          <w:tcPr>
            <w:tcW w:type="dxa" w:w="700"/>
            <w:tcMar>
              <w:top w:type="dxa" w:w="60"/>
              <w:left w:type="dxa" w:w="100"/>
              <w:bottom w:type="dxa" w:w="60"/>
              <w:right w:type="dxa" w:w="100"/>
            </w:tcMar>
            <w:vAlign w:val="center"/>
          </w:tcPr>
          <w:p>
            <w:pPr>
              <w:jc w:val="center"/>
            </w:pPr>
            <w:r>
              <w:rPr>
                <w:sz w:val="20"/>
                <w:szCs w:val="20"/>
              </w:rPr>
              <w:t xml:space="preserve">15.51%</w:t>
            </w:r>
          </w:p>
        </w:tc>
        <w:tc>
          <w:tcPr>
            <w:tcW w:type="dxa" w:w="1100"/>
            <w:tcMar>
              <w:top w:type="dxa" w:w="60"/>
              <w:left w:type="dxa" w:w="100"/>
              <w:bottom w:type="dxa" w:w="60"/>
              <w:right w:type="dxa" w:w="100"/>
            </w:tcMar>
            <w:vAlign w:val="center"/>
          </w:tcPr>
          <w:p>
            <w:pPr>
              <w:jc w:val="center"/>
            </w:pPr>
            <w:r>
              <w:rPr>
                <w:sz w:val="20"/>
                <w:szCs w:val="20"/>
              </w:rPr>
              <w:t xml:space="preserve">77.91 [32.72]</w:t>
            </w:r>
          </w:p>
        </w:tc>
        <w:tc>
          <w:tcPr>
            <w:tcW w:type="dxa" w:w="900"/>
            <w:tcMar>
              <w:top w:type="dxa" w:w="60"/>
              <w:left w:type="dxa" w:w="100"/>
              <w:bottom w:type="dxa" w:w="60"/>
              <w:right w:type="dxa" w:w="100"/>
            </w:tcMar>
            <w:vAlign w:val="center"/>
          </w:tcPr>
          <w:p>
            <w:pPr>
              <w:jc w:val="center"/>
            </w:pPr>
            <w:r>
              <w:rPr>
                <w:sz w:val="20"/>
                <w:szCs w:val="20"/>
              </w:rPr>
              <w:t xml:space="preserve">4,779</w:t>
            </w:r>
          </w:p>
        </w:tc>
        <w:tc>
          <w:tcPr>
            <w:tcW w:type="dxa" w:w="700"/>
            <w:tcMar>
              <w:top w:type="dxa" w:w="60"/>
              <w:left w:type="dxa" w:w="100"/>
              <w:bottom w:type="dxa" w:w="60"/>
              <w:right w:type="dxa" w:w="100"/>
            </w:tcMar>
            <w:vAlign w:val="center"/>
          </w:tcPr>
          <w:p>
            <w:pPr>
              <w:jc w:val="center"/>
            </w:pPr>
            <w:r>
              <w:rPr>
                <w:sz w:val="20"/>
                <w:szCs w:val="20"/>
              </w:rPr>
              <w:t xml:space="preserve">2.99%</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inputs clipped ±5 SD (ours)</w:t>
            </w:r>
          </w:p>
        </w:tc>
        <w:tc>
          <w:tcPr>
            <w:tcW w:type="dxa" w:w="1100"/>
            <w:tcMar>
              <w:top w:type="dxa" w:w="60"/>
              <w:left w:type="dxa" w:w="100"/>
              <w:bottom w:type="dxa" w:w="60"/>
              <w:right w:type="dxa" w:w="100"/>
            </w:tcMar>
            <w:vAlign w:val="center"/>
          </w:tcPr>
          <w:p>
            <w:pPr>
              <w:jc w:val="center"/>
            </w:pPr>
            <w:r>
              <w:rPr>
                <w:sz w:val="20"/>
                <w:szCs w:val="20"/>
              </w:rPr>
              <w:t xml:space="preserve">84.38 [83.02]</w:t>
            </w:r>
          </w:p>
        </w:tc>
        <w:tc>
          <w:tcPr>
            <w:tcW w:type="dxa" w:w="900"/>
            <w:tcMar>
              <w:top w:type="dxa" w:w="60"/>
              <w:left w:type="dxa" w:w="100"/>
              <w:bottom w:type="dxa" w:w="60"/>
              <w:right w:type="dxa" w:w="100"/>
            </w:tcMar>
            <w:vAlign w:val="center"/>
          </w:tcPr>
          <w:p>
            <w:pPr>
              <w:jc w:val="center"/>
            </w:pPr>
            <w:r>
              <w:rPr>
                <w:sz w:val="20"/>
                <w:szCs w:val="20"/>
              </w:rPr>
              <w:t xml:space="preserve">68</w:t>
            </w:r>
          </w:p>
        </w:tc>
        <w:tc>
          <w:tcPr>
            <w:tcW w:type="dxa" w:w="700"/>
            <w:tcMar>
              <w:top w:type="dxa" w:w="60"/>
              <w:left w:type="dxa" w:w="100"/>
              <w:bottom w:type="dxa" w:w="60"/>
              <w:right w:type="dxa" w:w="100"/>
            </w:tcMar>
            <w:vAlign w:val="center"/>
          </w:tcPr>
          <w:p>
            <w:pPr>
              <w:jc w:val="center"/>
            </w:pPr>
            <w:r>
              <w:rPr>
                <w:sz w:val="20"/>
                <w:szCs w:val="20"/>
              </w:rPr>
              <w:t xml:space="preserve">7.58%</w:t>
            </w:r>
          </w:p>
        </w:tc>
        <w:tc>
          <w:tcPr>
            <w:tcW w:type="dxa" w:w="1100"/>
            <w:tcMar>
              <w:top w:type="dxa" w:w="60"/>
              <w:left w:type="dxa" w:w="100"/>
              <w:bottom w:type="dxa" w:w="60"/>
              <w:right w:type="dxa" w:w="100"/>
            </w:tcMar>
            <w:vAlign w:val="center"/>
          </w:tcPr>
          <w:p>
            <w:pPr>
              <w:jc w:val="center"/>
            </w:pPr>
            <w:r>
              <w:rPr>
                <w:sz w:val="20"/>
                <w:szCs w:val="20"/>
              </w:rPr>
              <w:t xml:space="preserve">99.19 [99.19]</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min/max</w:t>
            </w:r>
          </w:p>
        </w:tc>
        <w:tc>
          <w:tcPr>
            <w:tcW w:type="dxa" w:w="1100"/>
            <w:tcMar>
              <w:top w:type="dxa" w:w="60"/>
              <w:left w:type="dxa" w:w="100"/>
              <w:bottom w:type="dxa" w:w="60"/>
              <w:right w:type="dxa" w:w="100"/>
            </w:tcMar>
            <w:vAlign w:val="center"/>
          </w:tcPr>
          <w:p>
            <w:pPr>
              <w:jc w:val="center"/>
            </w:pPr>
            <w:r>
              <w:rPr>
                <w:sz w:val="20"/>
                <w:szCs w:val="20"/>
              </w:rPr>
              <w:t xml:space="preserve">76.64 [29.20]</w:t>
            </w:r>
          </w:p>
        </w:tc>
        <w:tc>
          <w:tcPr>
            <w:tcW w:type="dxa" w:w="900"/>
            <w:tcMar>
              <w:top w:type="dxa" w:w="60"/>
              <w:left w:type="dxa" w:w="100"/>
              <w:bottom w:type="dxa" w:w="60"/>
              <w:right w:type="dxa" w:w="100"/>
            </w:tcMar>
            <w:vAlign w:val="center"/>
          </w:tcPr>
          <w:p>
            <w:pPr>
              <w:jc w:val="center"/>
            </w:pPr>
            <w:r>
              <w:rPr>
                <w:sz w:val="20"/>
                <w:szCs w:val="20"/>
              </w:rPr>
              <w:t xml:space="preserve">397</w:t>
            </w:r>
          </w:p>
        </w:tc>
        <w:tc>
          <w:tcPr>
            <w:tcW w:type="dxa" w:w="700"/>
            <w:tcMar>
              <w:top w:type="dxa" w:w="60"/>
              <w:left w:type="dxa" w:w="100"/>
              <w:bottom w:type="dxa" w:w="60"/>
              <w:right w:type="dxa" w:w="100"/>
            </w:tcMar>
            <w:vAlign w:val="center"/>
          </w:tcPr>
          <w:p>
            <w:pPr>
              <w:jc w:val="center"/>
            </w:pPr>
            <w:r>
              <w:rPr>
                <w:sz w:val="20"/>
                <w:szCs w:val="20"/>
              </w:rPr>
              <w:t xml:space="preserve">16.14%</w:t>
            </w:r>
          </w:p>
        </w:tc>
        <w:tc>
          <w:tcPr>
            <w:tcW w:type="dxa" w:w="1100"/>
            <w:tcMar>
              <w:top w:type="dxa" w:w="60"/>
              <w:left w:type="dxa" w:w="100"/>
              <w:bottom w:type="dxa" w:w="60"/>
              <w:right w:type="dxa" w:w="100"/>
            </w:tcMar>
            <w:vAlign w:val="center"/>
          </w:tcPr>
          <w:p>
            <w:pPr>
              <w:jc w:val="center"/>
            </w:pPr>
            <w:r>
              <w:rPr>
                <w:sz w:val="20"/>
                <w:szCs w:val="20"/>
              </w:rPr>
              <w:t xml:space="preserve">81.00 [36.06]</w:t>
            </w:r>
          </w:p>
        </w:tc>
        <w:tc>
          <w:tcPr>
            <w:tcW w:type="dxa" w:w="900"/>
            <w:tcMar>
              <w:top w:type="dxa" w:w="60"/>
              <w:left w:type="dxa" w:w="100"/>
              <w:bottom w:type="dxa" w:w="60"/>
              <w:right w:type="dxa" w:w="100"/>
            </w:tcMar>
            <w:vAlign w:val="center"/>
          </w:tcPr>
          <w:p>
            <w:pPr>
              <w:jc w:val="center"/>
            </w:pPr>
            <w:r>
              <w:rPr>
                <w:sz w:val="20"/>
                <w:szCs w:val="20"/>
              </w:rPr>
              <w:t xml:space="preserve">4,156</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 [25]</w:t>
            </w:r>
          </w:p>
        </w:tc>
        <w:tc>
          <w:tcPr>
            <w:tcW w:type="dxa" w:w="1100"/>
            <w:tcMar>
              <w:top w:type="dxa" w:w="60"/>
              <w:left w:type="dxa" w:w="100"/>
              <w:bottom w:type="dxa" w:w="60"/>
              <w:right w:type="dxa" w:w="100"/>
            </w:tcMar>
            <w:vAlign w:val="center"/>
          </w:tcPr>
          <w:p>
            <w:pPr>
              <w:jc w:val="center"/>
            </w:pPr>
            <w:r>
              <w:rPr>
                <w:sz w:val="20"/>
                <w:szCs w:val="20"/>
              </w:rPr>
              <w:t xml:space="preserve">83.16 [82.11]</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8.30%</w:t>
            </w:r>
          </w:p>
        </w:tc>
        <w:tc>
          <w:tcPr>
            <w:tcW w:type="dxa" w:w="1100"/>
            <w:tcMar>
              <w:top w:type="dxa" w:w="60"/>
              <w:left w:type="dxa" w:w="100"/>
              <w:bottom w:type="dxa" w:w="60"/>
              <w:right w:type="dxa" w:w="100"/>
            </w:tcMar>
            <w:vAlign w:val="center"/>
          </w:tcPr>
          <w:p>
            <w:pPr>
              <w:jc w:val="center"/>
            </w:pPr>
            <w:r>
              <w:rPr>
                <w:sz w:val="20"/>
                <w:szCs w:val="20"/>
              </w:rPr>
              <w:t xml:space="preserve">99.39 [99.38]</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3.55%</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99.99</w:t>
            </w:r>
          </w:p>
        </w:tc>
        <w:tc>
          <w:tcPr>
            <w:tcW w:type="dxa" w:w="1100"/>
            <w:tcMar>
              <w:top w:type="dxa" w:w="60"/>
              <w:left w:type="dxa" w:w="100"/>
              <w:bottom w:type="dxa" w:w="60"/>
              <w:right w:type="dxa" w:w="100"/>
            </w:tcMar>
            <w:vAlign w:val="center"/>
          </w:tcPr>
          <w:p>
            <w:pPr>
              <w:jc w:val="center"/>
            </w:pPr>
            <w:r>
              <w:rPr>
                <w:sz w:val="20"/>
                <w:szCs w:val="20"/>
              </w:rPr>
              <w:t xml:space="preserve">79.27 [31.51]</w:t>
            </w:r>
          </w:p>
        </w:tc>
        <w:tc>
          <w:tcPr>
            <w:tcW w:type="dxa" w:w="900"/>
            <w:tcMar>
              <w:top w:type="dxa" w:w="60"/>
              <w:left w:type="dxa" w:w="100"/>
              <w:bottom w:type="dxa" w:w="60"/>
              <w:right w:type="dxa" w:w="100"/>
            </w:tcMar>
            <w:vAlign w:val="center"/>
          </w:tcPr>
          <w:p>
            <w:pPr>
              <w:jc w:val="center"/>
            </w:pPr>
            <w:r>
              <w:rPr>
                <w:sz w:val="20"/>
                <w:szCs w:val="20"/>
              </w:rPr>
              <w:t xml:space="preserve">543</w:t>
            </w:r>
          </w:p>
        </w:tc>
        <w:tc>
          <w:tcPr>
            <w:tcW w:type="dxa" w:w="700"/>
            <w:tcMar>
              <w:top w:type="dxa" w:w="60"/>
              <w:left w:type="dxa" w:w="100"/>
              <w:bottom w:type="dxa" w:w="60"/>
              <w:right w:type="dxa" w:w="100"/>
            </w:tcMar>
            <w:vAlign w:val="center"/>
          </w:tcPr>
          <w:p>
            <w:pPr>
              <w:jc w:val="center"/>
            </w:pPr>
            <w:r>
              <w:rPr>
                <w:sz w:val="20"/>
                <w:szCs w:val="20"/>
              </w:rPr>
              <w:t xml:space="preserve">13.34%</w:t>
            </w:r>
          </w:p>
        </w:tc>
        <w:tc>
          <w:tcPr>
            <w:tcW w:type="dxa" w:w="1100"/>
            <w:tcMar>
              <w:top w:type="dxa" w:w="60"/>
              <w:left w:type="dxa" w:w="100"/>
              <w:bottom w:type="dxa" w:w="60"/>
              <w:right w:type="dxa" w:w="100"/>
            </w:tcMar>
            <w:vAlign w:val="center"/>
          </w:tcPr>
          <w:p>
            <w:pPr>
              <w:jc w:val="center"/>
            </w:pPr>
            <w:r>
              <w:rPr>
                <w:sz w:val="20"/>
                <w:szCs w:val="20"/>
              </w:rPr>
              <w:t xml:space="preserve">99.31 [98.81]</w:t>
            </w:r>
          </w:p>
        </w:tc>
        <w:tc>
          <w:tcPr>
            <w:tcW w:type="dxa" w:w="900"/>
            <w:tcMar>
              <w:top w:type="dxa" w:w="60"/>
              <w:left w:type="dxa" w:w="100"/>
              <w:bottom w:type="dxa" w:w="60"/>
              <w:right w:type="dxa" w:w="100"/>
            </w:tcMar>
            <w:vAlign w:val="center"/>
          </w:tcPr>
          <w:p>
            <w:pPr>
              <w:jc w:val="center"/>
            </w:pPr>
            <w:r>
              <w:rPr>
                <w:sz w:val="20"/>
                <w:szCs w:val="20"/>
              </w:rPr>
              <w:t xml:space="preserve">50</w:t>
            </w:r>
          </w:p>
        </w:tc>
        <w:tc>
          <w:tcPr>
            <w:tcW w:type="dxa" w:w="700"/>
            <w:tcMar>
              <w:top w:type="dxa" w:w="60"/>
              <w:left w:type="dxa" w:w="100"/>
              <w:bottom w:type="dxa" w:w="60"/>
              <w:right w:type="dxa" w:w="100"/>
            </w:tcMar>
            <w:vAlign w:val="center"/>
          </w:tcPr>
          <w:p>
            <w:pPr>
              <w:jc w:val="center"/>
            </w:pPr>
            <w:r>
              <w:rPr>
                <w:sz w:val="20"/>
                <w:szCs w:val="20"/>
              </w:rPr>
              <w:t xml:space="preserve">3.62%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MSE-optimal clip (ACIQ objective [26])</w:t>
            </w:r>
          </w:p>
        </w:tc>
        <w:tc>
          <w:tcPr>
            <w:tcW w:type="dxa" w:w="1100"/>
            <w:tcMar>
              <w:top w:type="dxa" w:w="60"/>
              <w:left w:type="dxa" w:w="100"/>
              <w:bottom w:type="dxa" w:w="60"/>
              <w:right w:type="dxa" w:w="100"/>
            </w:tcMar>
            <w:vAlign w:val="center"/>
          </w:tcPr>
          <w:p>
            <w:pPr>
              <w:jc w:val="center"/>
            </w:pPr>
            <w:r>
              <w:rPr>
                <w:sz w:val="20"/>
                <w:szCs w:val="20"/>
              </w:rPr>
              <w:t xml:space="preserve">77.28 [29.28]</w:t>
            </w:r>
          </w:p>
        </w:tc>
        <w:tc>
          <w:tcPr>
            <w:tcW w:type="dxa" w:w="900"/>
            <w:tcMar>
              <w:top w:type="dxa" w:w="60"/>
              <w:left w:type="dxa" w:w="100"/>
              <w:bottom w:type="dxa" w:w="60"/>
              <w:right w:type="dxa" w:w="100"/>
            </w:tcMar>
            <w:vAlign w:val="center"/>
          </w:tcPr>
          <w:p>
            <w:pPr>
              <w:jc w:val="center"/>
            </w:pPr>
            <w:r>
              <w:rPr>
                <w:sz w:val="20"/>
                <w:szCs w:val="20"/>
              </w:rPr>
              <w:t xml:space="preserve">630</w:t>
            </w:r>
          </w:p>
        </w:tc>
        <w:tc>
          <w:tcPr>
            <w:tcW w:type="dxa" w:w="700"/>
            <w:tcMar>
              <w:top w:type="dxa" w:w="60"/>
              <w:left w:type="dxa" w:w="100"/>
              <w:bottom w:type="dxa" w:w="60"/>
              <w:right w:type="dxa" w:w="100"/>
            </w:tcMar>
            <w:vAlign w:val="center"/>
          </w:tcPr>
          <w:p>
            <w:pPr>
              <w:jc w:val="center"/>
            </w:pPr>
            <w:r>
              <w:rPr>
                <w:sz w:val="20"/>
                <w:szCs w:val="20"/>
              </w:rPr>
              <w:t xml:space="preserve">15.50%</w:t>
            </w:r>
          </w:p>
        </w:tc>
        <w:tc>
          <w:tcPr>
            <w:tcW w:type="dxa" w:w="1100"/>
            <w:tcMar>
              <w:top w:type="dxa" w:w="60"/>
              <w:left w:type="dxa" w:w="100"/>
              <w:bottom w:type="dxa" w:w="60"/>
              <w:right w:type="dxa" w:w="100"/>
            </w:tcMar>
            <w:vAlign w:val="center"/>
          </w:tcPr>
          <w:p>
            <w:pPr>
              <w:jc w:val="center"/>
            </w:pPr>
            <w:r>
              <w:rPr>
                <w:sz w:val="20"/>
                <w:szCs w:val="20"/>
              </w:rPr>
              <w:t xml:space="preserve">88.68 [34.62]</w:t>
            </w:r>
          </w:p>
        </w:tc>
        <w:tc>
          <w:tcPr>
            <w:tcW w:type="dxa" w:w="900"/>
            <w:tcMar>
              <w:top w:type="dxa" w:w="60"/>
              <w:left w:type="dxa" w:w="100"/>
              <w:bottom w:type="dxa" w:w="60"/>
              <w:right w:type="dxa" w:w="100"/>
            </w:tcMar>
            <w:vAlign w:val="center"/>
          </w:tcPr>
          <w:p>
            <w:pPr>
              <w:jc w:val="center"/>
            </w:pPr>
            <w:r>
              <w:rPr>
                <w:sz w:val="20"/>
                <w:szCs w:val="20"/>
              </w:rPr>
              <w:t xml:space="preserve">2,395</w:t>
            </w:r>
          </w:p>
        </w:tc>
        <w:tc>
          <w:tcPr>
            <w:tcW w:type="dxa" w:w="700"/>
            <w:tcMar>
              <w:top w:type="dxa" w:w="60"/>
              <w:left w:type="dxa" w:w="100"/>
              <w:bottom w:type="dxa" w:w="60"/>
              <w:right w:type="dxa" w:w="100"/>
            </w:tcMar>
            <w:vAlign w:val="center"/>
          </w:tcPr>
          <w:p>
            <w:pPr>
              <w:jc w:val="center"/>
            </w:pPr>
            <w:r>
              <w:rPr>
                <w:sz w:val="20"/>
                <w:szCs w:val="20"/>
              </w:rPr>
              <w:t xml:space="preserve">4.72%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KL / entropy [25]</w:t>
            </w:r>
          </w:p>
        </w:tc>
        <w:tc>
          <w:tcPr>
            <w:tcW w:type="dxa" w:w="1100"/>
            <w:tcMar>
              <w:top w:type="dxa" w:w="60"/>
              <w:left w:type="dxa" w:w="100"/>
              <w:bottom w:type="dxa" w:w="60"/>
              <w:right w:type="dxa" w:w="100"/>
            </w:tcMar>
            <w:vAlign w:val="center"/>
          </w:tcPr>
          <w:p>
            <w:pPr>
              <w:jc w:val="center"/>
            </w:pPr>
            <w:r>
              <w:rPr>
                <w:sz w:val="20"/>
                <w:szCs w:val="20"/>
              </w:rPr>
              <w:t xml:space="preserve">80.93 [44.16]</w:t>
            </w:r>
          </w:p>
        </w:tc>
        <w:tc>
          <w:tcPr>
            <w:tcW w:type="dxa" w:w="900"/>
            <w:tcMar>
              <w:top w:type="dxa" w:w="60"/>
              <w:left w:type="dxa" w:w="100"/>
              <w:bottom w:type="dxa" w:w="60"/>
              <w:right w:type="dxa" w:w="100"/>
            </w:tcMar>
            <w:vAlign w:val="center"/>
          </w:tcPr>
          <w:p>
            <w:pPr>
              <w:jc w:val="center"/>
            </w:pPr>
            <w:r>
              <w:rPr>
                <w:sz w:val="20"/>
                <w:szCs w:val="20"/>
              </w:rPr>
              <w:t xml:space="preserve">565</w:t>
            </w:r>
          </w:p>
        </w:tc>
        <w:tc>
          <w:tcPr>
            <w:tcW w:type="dxa" w:w="700"/>
            <w:tcMar>
              <w:top w:type="dxa" w:w="60"/>
              <w:left w:type="dxa" w:w="100"/>
              <w:bottom w:type="dxa" w:w="60"/>
              <w:right w:type="dxa" w:w="100"/>
            </w:tcMar>
            <w:vAlign w:val="center"/>
          </w:tcPr>
          <w:p>
            <w:pPr>
              <w:jc w:val="center"/>
            </w:pPr>
            <w:r>
              <w:rPr>
                <w:sz w:val="20"/>
                <w:szCs w:val="20"/>
              </w:rPr>
              <w:t xml:space="preserve">10.68%</w:t>
            </w:r>
          </w:p>
        </w:tc>
        <w:tc>
          <w:tcPr>
            <w:tcW w:type="dxa" w:w="1100"/>
            <w:tcMar>
              <w:top w:type="dxa" w:w="60"/>
              <w:left w:type="dxa" w:w="100"/>
              <w:bottom w:type="dxa" w:w="60"/>
              <w:right w:type="dxa" w:w="100"/>
            </w:tcMar>
            <w:vAlign w:val="center"/>
          </w:tcPr>
          <w:p>
            <w:pPr>
              <w:jc w:val="center"/>
            </w:pPr>
            <w:r>
              <w:rPr>
                <w:sz w:val="20"/>
                <w:szCs w:val="20"/>
              </w:rPr>
              <w:t xml:space="preserve">98.97 [96.69]</w:t>
            </w:r>
          </w:p>
        </w:tc>
        <w:tc>
          <w:tcPr>
            <w:tcW w:type="dxa" w:w="900"/>
            <w:tcMar>
              <w:top w:type="dxa" w:w="60"/>
              <w:left w:type="dxa" w:w="100"/>
              <w:bottom w:type="dxa" w:w="60"/>
              <w:right w:type="dxa" w:w="100"/>
            </w:tcMar>
            <w:vAlign w:val="center"/>
          </w:tcPr>
          <w:p>
            <w:pPr>
              <w:jc w:val="center"/>
            </w:pPr>
            <w:r>
              <w:rPr>
                <w:sz w:val="20"/>
                <w:szCs w:val="20"/>
              </w:rPr>
              <w:t xml:space="preserve">131</w:t>
            </w:r>
          </w:p>
        </w:tc>
        <w:tc>
          <w:tcPr>
            <w:tcW w:type="dxa" w:w="700"/>
            <w:tcMar>
              <w:top w:type="dxa" w:w="60"/>
              <w:left w:type="dxa" w:w="100"/>
              <w:bottom w:type="dxa" w:w="60"/>
              <w:right w:type="dxa" w:w="100"/>
            </w:tcMar>
            <w:vAlign w:val="center"/>
          </w:tcPr>
          <w:p>
            <w:pPr>
              <w:jc w:val="center"/>
            </w:pPr>
            <w:r>
              <w:rPr>
                <w:sz w:val="20"/>
                <w:szCs w:val="20"/>
              </w:rPr>
              <w:t xml:space="preserve">4.20%</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inputs clipped ±5 SD</w:t>
            </w:r>
          </w:p>
        </w:tc>
        <w:tc>
          <w:tcPr>
            <w:tcW w:type="dxa" w:w="1100"/>
            <w:tcMar>
              <w:top w:type="dxa" w:w="60"/>
              <w:left w:type="dxa" w:w="100"/>
              <w:bottom w:type="dxa" w:w="60"/>
              <w:right w:type="dxa" w:w="100"/>
            </w:tcMar>
            <w:vAlign w:val="center"/>
          </w:tcPr>
          <w:p>
            <w:pPr>
              <w:jc w:val="center"/>
            </w:pPr>
            <w:r>
              <w:rPr>
                <w:sz w:val="20"/>
                <w:szCs w:val="20"/>
              </w:rPr>
              <w:t xml:space="preserve">82.93 [82.09]</w:t>
            </w:r>
          </w:p>
        </w:tc>
        <w:tc>
          <w:tcPr>
            <w:tcW w:type="dxa" w:w="900"/>
            <w:tcMar>
              <w:top w:type="dxa" w:w="60"/>
              <w:left w:type="dxa" w:w="100"/>
              <w:bottom w:type="dxa" w:w="60"/>
              <w:right w:type="dxa" w:w="100"/>
            </w:tcMar>
            <w:vAlign w:val="center"/>
          </w:tcPr>
          <w:p>
            <w:pPr>
              <w:jc w:val="center"/>
            </w:pPr>
            <w:r>
              <w:rPr>
                <w:sz w:val="20"/>
                <w:szCs w:val="20"/>
              </w:rPr>
              <w:t xml:space="preserve">239</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99.19 [99.18]</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CLE + inputs clipped ±5 SD (3 sets)</w:t>
            </w:r>
          </w:p>
        </w:tc>
        <w:tc>
          <w:tcPr>
            <w:tcW w:type="dxa" w:w="1100"/>
            <w:tcMar>
              <w:top w:type="dxa" w:w="60"/>
              <w:left w:type="dxa" w:w="100"/>
              <w:bottom w:type="dxa" w:w="60"/>
              <w:right w:type="dxa" w:w="100"/>
            </w:tcMar>
            <w:vAlign w:val="center"/>
          </w:tcPr>
          <w:p>
            <w:pPr>
              <w:jc w:val="center"/>
            </w:pPr>
            <w:r>
              <w:rPr>
                <w:sz w:val="20"/>
                <w:szCs w:val="20"/>
              </w:rPr>
              <w:t xml:space="preserve">84.46 [84.04]</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7.54%</w:t>
            </w:r>
          </w:p>
        </w:tc>
        <w:tc>
          <w:tcPr>
            <w:tcW w:type="dxa" w:w="1100"/>
            <w:tcMar>
              <w:top w:type="dxa" w:w="60"/>
              <w:left w:type="dxa" w:w="100"/>
              <w:bottom w:type="dxa" w:w="60"/>
              <w:right w:type="dxa" w:w="100"/>
            </w:tcMar>
            <w:vAlign w:val="center"/>
          </w:tcPr>
          <w:p>
            <w:pPr>
              <w:jc w:val="center"/>
            </w:pPr>
            <w:r>
              <w:rPr>
                <w:sz w:val="20"/>
                <w:szCs w:val="20"/>
              </w:rPr>
              <w:t xml:space="preserve">99.18 [99.18]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4.93%</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data-free: synthetic N(0, I) inputs</w:t>
            </w:r>
          </w:p>
        </w:tc>
        <w:tc>
          <w:tcPr>
            <w:tcW w:type="dxa" w:w="1100"/>
            <w:tcMar>
              <w:top w:type="dxa" w:w="60"/>
              <w:left w:type="dxa" w:w="100"/>
              <w:bottom w:type="dxa" w:w="60"/>
              <w:right w:type="dxa" w:w="100"/>
            </w:tcMar>
            <w:vAlign w:val="center"/>
          </w:tcPr>
          <w:p>
            <w:pPr>
              <w:jc w:val="center"/>
            </w:pPr>
            <w:r>
              <w:rPr>
                <w:sz w:val="20"/>
                <w:szCs w:val="20"/>
              </w:rPr>
              <w:t xml:space="preserve">82.22 [80.58]</w:t>
            </w:r>
          </w:p>
        </w:tc>
        <w:tc>
          <w:tcPr>
            <w:tcW w:type="dxa" w:w="900"/>
            <w:tcMar>
              <w:top w:type="dxa" w:w="60"/>
              <w:left w:type="dxa" w:w="100"/>
              <w:bottom w:type="dxa" w:w="60"/>
              <w:right w:type="dxa" w:w="100"/>
            </w:tcMar>
            <w:vAlign w:val="center"/>
          </w:tcPr>
          <w:p>
            <w:pPr>
              <w:jc w:val="center"/>
            </w:pPr>
            <w:r>
              <w:rPr>
                <w:sz w:val="20"/>
                <w:szCs w:val="20"/>
              </w:rPr>
              <w:t xml:space="preserve">54</w:t>
            </w:r>
          </w:p>
        </w:tc>
        <w:tc>
          <w:tcPr>
            <w:tcW w:type="dxa" w:w="700"/>
            <w:tcMar>
              <w:top w:type="dxa" w:w="60"/>
              <w:left w:type="dxa" w:w="100"/>
              <w:bottom w:type="dxa" w:w="60"/>
              <w:right w:type="dxa" w:w="100"/>
            </w:tcMar>
            <w:vAlign w:val="center"/>
          </w:tcPr>
          <w:p>
            <w:pPr>
              <w:jc w:val="center"/>
            </w:pPr>
            <w:r>
              <w:rPr>
                <w:sz w:val="20"/>
                <w:szCs w:val="20"/>
              </w:rPr>
              <w:t xml:space="preserve">8.87%</w:t>
            </w:r>
          </w:p>
        </w:tc>
        <w:tc>
          <w:tcPr>
            <w:tcW w:type="dxa" w:w="1100"/>
            <w:tcMar>
              <w:top w:type="dxa" w:w="60"/>
              <w:left w:type="dxa" w:w="100"/>
              <w:bottom w:type="dxa" w:w="60"/>
              <w:right w:type="dxa" w:w="100"/>
            </w:tcMar>
            <w:vAlign w:val="center"/>
          </w:tcPr>
          <w:p>
            <w:pPr>
              <w:jc w:val="center"/>
            </w:pPr>
            <w:r>
              <w:rPr>
                <w:sz w:val="20"/>
                <w:szCs w:val="20"/>
              </w:rPr>
              <w:t xml:space="preserve">99.16 [99.08]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4</w:t>
            </w:r>
          </w:p>
        </w:tc>
        <w:tc>
          <w:tcPr>
            <w:tcW w:type="dxa" w:w="1100"/>
            <w:tcMar>
              <w:top w:type="dxa" w:w="60"/>
              <w:left w:type="dxa" w:w="100"/>
              <w:bottom w:type="dxa" w:w="60"/>
              <w:right w:type="dxa" w:w="100"/>
            </w:tcMar>
            <w:vAlign w:val="center"/>
          </w:tcPr>
          <w:p>
            <w:pPr>
              <w:jc w:val="center"/>
            </w:pPr>
            <w:r>
              <w:rPr>
                <w:sz w:val="20"/>
                <w:szCs w:val="20"/>
              </w:rPr>
              <w:t xml:space="preserve">83.03</w:t>
            </w:r>
          </w:p>
        </w:tc>
        <w:tc>
          <w:tcPr>
            <w:tcW w:type="dxa" w:w="900"/>
            <w:tcMar>
              <w:top w:type="dxa" w:w="60"/>
              <w:left w:type="dxa" w:w="100"/>
              <w:bottom w:type="dxa" w:w="60"/>
              <w:right w:type="dxa" w:w="100"/>
            </w:tcMar>
            <w:vAlign w:val="center"/>
          </w:tcPr>
          <w:p>
            <w:pPr>
              <w:jc w:val="center"/>
            </w:pPr>
            <w:r>
              <w:rPr>
                <w:sz w:val="20"/>
                <w:szCs w:val="20"/>
              </w:rPr>
              <w:t xml:space="preserve">72</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99.17</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6</w:t>
            </w:r>
          </w:p>
        </w:tc>
        <w:tc>
          <w:tcPr>
            <w:tcW w:type="dxa" w:w="1100"/>
            <w:tcMar>
              <w:top w:type="dxa" w:w="60"/>
              <w:left w:type="dxa" w:w="100"/>
              <w:bottom w:type="dxa" w:w="60"/>
              <w:right w:type="dxa" w:w="100"/>
            </w:tcMar>
            <w:vAlign w:val="center"/>
          </w:tcPr>
          <w:p>
            <w:pPr>
              <w:jc w:val="center"/>
            </w:pPr>
            <w:r>
              <w:rPr>
                <w:sz w:val="20"/>
                <w:szCs w:val="20"/>
              </w:rPr>
              <w:t xml:space="preserve">82.51</w:t>
            </w:r>
          </w:p>
        </w:tc>
        <w:tc>
          <w:tcPr>
            <w:tcW w:type="dxa" w:w="900"/>
            <w:tcMar>
              <w:top w:type="dxa" w:w="60"/>
              <w:left w:type="dxa" w:w="100"/>
              <w:bottom w:type="dxa" w:w="60"/>
              <w:right w:type="dxa" w:w="100"/>
            </w:tcMar>
            <w:vAlign w:val="center"/>
          </w:tcPr>
          <w:p>
            <w:pPr>
              <w:jc w:val="center"/>
            </w:pPr>
            <w:r>
              <w:rPr>
                <w:sz w:val="20"/>
                <w:szCs w:val="20"/>
              </w:rPr>
              <w:t xml:space="preserve">66</w:t>
            </w:r>
          </w:p>
        </w:tc>
        <w:tc>
          <w:tcPr>
            <w:tcW w:type="dxa" w:w="700"/>
            <w:tcMar>
              <w:top w:type="dxa" w:w="60"/>
              <w:left w:type="dxa" w:w="100"/>
              <w:bottom w:type="dxa" w:w="60"/>
              <w:right w:type="dxa" w:w="100"/>
            </w:tcMar>
            <w:vAlign w:val="center"/>
          </w:tcPr>
          <w:p>
            <w:pPr>
              <w:jc w:val="center"/>
            </w:pPr>
            <w:r>
              <w:rPr>
                <w:sz w:val="20"/>
                <w:szCs w:val="20"/>
              </w:rPr>
              <w:t xml:space="preserve">8.69%</w:t>
            </w:r>
          </w:p>
        </w:tc>
        <w:tc>
          <w:tcPr>
            <w:tcW w:type="dxa" w:w="1100"/>
            <w:tcMar>
              <w:top w:type="dxa" w:w="60"/>
              <w:left w:type="dxa" w:w="100"/>
              <w:bottom w:type="dxa" w:w="60"/>
              <w:right w:type="dxa" w:w="100"/>
            </w:tcMar>
            <w:vAlign w:val="center"/>
          </w:tcPr>
          <w:p>
            <w:pPr>
              <w:jc w:val="center"/>
            </w:pPr>
            <w:r>
              <w:rPr>
                <w:sz w:val="20"/>
                <w:szCs w:val="20"/>
              </w:rPr>
              <w:t xml:space="preserve">99.26</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4.44%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CLE + BN statistics, k = 6</w:t>
            </w:r>
          </w:p>
        </w:tc>
        <w:tc>
          <w:tcPr>
            <w:tcW w:type="dxa" w:w="1100"/>
            <w:tcMar>
              <w:top w:type="dxa" w:w="60"/>
              <w:left w:type="dxa" w:w="100"/>
              <w:bottom w:type="dxa" w:w="60"/>
              <w:right w:type="dxa" w:w="100"/>
            </w:tcMar>
            <w:vAlign w:val="center"/>
          </w:tcPr>
          <w:p>
            <w:pPr>
              <w:jc w:val="center"/>
            </w:pPr>
            <w:r>
              <w:rPr>
                <w:sz w:val="20"/>
                <w:szCs w:val="20"/>
              </w:rPr>
              <w:t xml:space="preserve">84.64</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700"/>
            <w:tcMar>
              <w:top w:type="dxa" w:w="60"/>
              <w:left w:type="dxa" w:w="100"/>
              <w:bottom w:type="dxa" w:w="60"/>
              <w:right w:type="dxa" w:w="100"/>
            </w:tcMar>
            <w:vAlign w:val="center"/>
          </w:tcPr>
          <w:p>
            <w:pPr>
              <w:jc w:val="center"/>
            </w:pPr>
            <w:r>
              <w:rPr>
                <w:sz w:val="20"/>
                <w:szCs w:val="20"/>
              </w:rPr>
              <w:t xml:space="preserve">7.44%</w:t>
            </w:r>
          </w:p>
        </w:tc>
        <w:tc>
          <w:tcPr>
            <w:tcW w:type="dxa" w:w="1100"/>
            <w:tcMar>
              <w:top w:type="dxa" w:w="60"/>
              <w:left w:type="dxa" w:w="100"/>
              <w:bottom w:type="dxa" w:w="60"/>
              <w:right w:type="dxa" w:w="100"/>
            </w:tcMar>
            <w:vAlign w:val="center"/>
          </w:tcPr>
          <w:p>
            <w:pPr>
              <w:jc w:val="center"/>
            </w:pPr>
            <w:r>
              <w:rPr>
                <w:sz w:val="20"/>
                <w:szCs w:val="20"/>
              </w:rPr>
              <w:t xml:space="preserve">99.25</w:t>
            </w:r>
          </w:p>
        </w:tc>
        <w:tc>
          <w:tcPr>
            <w:tcW w:type="dxa" w:w="900"/>
            <w:tcMar>
              <w:top w:type="dxa" w:w="60"/>
              <w:left w:type="dxa" w:w="100"/>
              <w:bottom w:type="dxa" w:w="60"/>
              <w:right w:type="dxa" w:w="100"/>
            </w:tcMar>
            <w:vAlign w:val="center"/>
          </w:tcPr>
          <w:p>
            <w:pPr>
              <w:jc w:val="center"/>
            </w:pPr>
            <w:r>
              <w:rPr>
                <w:sz w:val="20"/>
                <w:szCs w:val="20"/>
              </w:rPr>
              <w:t xml:space="preserve">30</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w:t>
            </w:r>
          </w:p>
        </w:tc>
        <w:tc>
          <w:tcPr>
            <w:tcW w:type="dxa" w:w="2500"/>
            <w:tcMar>
              <w:top w:type="dxa" w:w="60"/>
              <w:left w:type="dxa" w:w="100"/>
              <w:bottom w:type="dxa" w:w="60"/>
              <w:right w:type="dxa" w:w="100"/>
            </w:tcMar>
            <w:vAlign w:val="center"/>
          </w:tcPr>
          <w:p>
            <w:pPr>
              <w:jc w:val="center"/>
            </w:pPr>
            <w:r>
              <w:rPr>
                <w:sz w:val="20"/>
                <w:szCs w:val="20"/>
              </w:rPr>
              <w:t xml:space="preserve">FP32 federated model</w:t>
            </w:r>
          </w:p>
        </w:tc>
        <w:tc>
          <w:tcPr>
            <w:tcW w:type="dxa" w:w="1100"/>
            <w:tcMar>
              <w:top w:type="dxa" w:w="60"/>
              <w:left w:type="dxa" w:w="100"/>
              <w:bottom w:type="dxa" w:w="60"/>
              <w:right w:type="dxa" w:w="100"/>
            </w:tcMar>
            <w:vAlign w:val="center"/>
          </w:tcPr>
          <w:p>
            <w:pPr>
              <w:jc w:val="center"/>
            </w:pPr>
            <w:r>
              <w:rPr>
                <w:sz w:val="20"/>
                <w:szCs w:val="20"/>
              </w:rPr>
              <w:t xml:space="preserve">85.70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700"/>
            <w:tcMar>
              <w:top w:type="dxa" w:w="60"/>
              <w:left w:type="dxa" w:w="100"/>
              <w:bottom w:type="dxa" w:w="60"/>
              <w:right w:type="dxa" w:w="100"/>
            </w:tcMar>
            <w:vAlign w:val="center"/>
          </w:tcPr>
          <w:p>
            <w:pPr>
              <w:jc w:val="center"/>
            </w:pPr>
            <w:r>
              <w:rPr>
                <w:sz w:val="20"/>
                <w:szCs w:val="20"/>
              </w:rPr>
              <w:t xml:space="preserve">6.84%</w:t>
            </w:r>
          </w:p>
        </w:tc>
        <w:tc>
          <w:tcPr>
            <w:tcW w:type="dxa" w:w="1100"/>
            <w:tcMar>
              <w:top w:type="dxa" w:w="60"/>
              <w:left w:type="dxa" w:w="100"/>
              <w:bottom w:type="dxa" w:w="60"/>
              <w:right w:type="dxa" w:w="100"/>
            </w:tcMar>
            <w:vAlign w:val="center"/>
          </w:tcPr>
          <w:p>
            <w:pPr>
              <w:jc w:val="center"/>
            </w:pPr>
            <w:r>
              <w:rPr>
                <w:sz w:val="20"/>
                <w:szCs w:val="20"/>
              </w:rPr>
              <w:t xml:space="preserve">99.41</w:t>
            </w:r>
          </w:p>
        </w:tc>
        <w:tc>
          <w:tcPr>
            <w:tcW w:type="dxa" w:w="900"/>
            <w:tcMar>
              <w:top w:type="dxa" w:w="60"/>
              <w:left w:type="dxa" w:w="100"/>
              <w:bottom w:type="dxa" w:w="60"/>
              <w:right w:type="dxa" w:w="100"/>
            </w:tcMar>
            <w:vAlign w:val="center"/>
          </w:tcPr>
          <w:p>
            <w:pPr>
              <w:jc w:val="center"/>
            </w:pPr>
            <w:r>
              <w:rPr>
                <w:sz w:val="20"/>
                <w:szCs w:val="20"/>
              </w:rPr>
              <w:t xml:space="preserve">19</w:t>
            </w:r>
          </w:p>
        </w:tc>
        <w:tc>
          <w:tcPr>
            <w:tcW w:type="dxa" w:w="700"/>
            <w:tcMar>
              <w:top w:type="dxa" w:w="60"/>
              <w:left w:type="dxa" w:w="100"/>
              <w:bottom w:type="dxa" w:w="60"/>
              <w:right w:type="dxa" w:w="100"/>
            </w:tcMar>
            <w:vAlign w:val="center"/>
          </w:tcPr>
          <w:p>
            <w:pPr>
              <w:jc w:val="center"/>
            </w:pPr>
            <w:r>
              <w:rPr>
                <w:sz w:val="20"/>
                <w:szCs w:val="20"/>
              </w:rPr>
              <w:t xml:space="preserve">3.61%</w:t>
            </w:r>
          </w:p>
        </w:tc>
      </w:tr>
    </w:tbl>
    <w:p>
      <w:pPr>
        <w:spacing w:after="240" w:before="80"/>
      </w:pPr>
      <w:r>
        <w:rPr>
          <w:i/>
          <w:iCs/>
          <w:sz w:val="20"/>
          <w:szCs w:val="20"/>
        </w:rPr>
        <w:t xml:space="preserve">Table 15. Full-integer PTQ of the unpruned near-IID federated models with different range estimators: mean F1 [minimum], mean missed attacks, mean FAR. Real-data rows use the 15 calibration sets of Table 7 (2,000 samples). Data-free rows use no client data: synthetic inputs are 3 draws of 2,000 standard-normal vectors; BN rows set each hidden range to max over channels of (mean + k·SD) from the federated BatchNorm statistics. CLE = cross-layer equalization [29]. Source: runs 2026-10-05_x1_calib_methods and _x3_data_free_calib.</w:t>
      </w:r>
    </w:p>
    <w:p>
      <w:pPr>
        <w:spacing w:after="160"/>
      </w:pPr>
      <w:r>
        <w:t xml:space="preserve">Only estimators that clip hard remove the collapses: the 99.9th percentile and our ±5 SD input clip. The 99.99th percentile, the MSE-optimal clip and KL calibration still fail on some calibration sets (minimum F1 29–44 on CIC-IDS2017, 35–97 on TON_IoT): the rare extreme records that stretch the ranges are too rare to move a per-tensor MSE or KL objective. With the same per-tensor weights, the 99.9th percentile is at least as good as our clip (TON_IoT FAR 3.55% vs. 4.94%; CIC-IDS2017 misses 58 vs. 239). Per-channel weights barely change min/max calibration, but with clipped inputs they cut CIC-IDS2017 misses from 239 to 68, and CLE recovers the same effect for per-tensor weights (58).</w:t>
      </w:r>
    </w:p>
    <w:p>
      <w:pPr>
        <w:spacing w:after="160"/>
      </w:pPr>
      <w:r>
        <w:t xml:space="preserve">The server can also calibrate without any client data. Because the inputs are standardized, synthetic standard-normal inputs are a usable calibration set, and the federated BatchNorm statistics, which FedAvg averages like any other weight, give each post-ReLU activation's mean and standard deviation. Both match clipped real-data calibration on both datasets, and CLE with BatchNorm-derived ranges (k = 6) gives the best CIC-IDS2017 PTQ result (F1 84.64, 55 missed). k = 3 is too tight (532 and 282 missed).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11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Variant (base recipe, 5 fine-tuning draws)</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missed / 16,215</w:t>
            </w:r>
          </w:p>
        </w:tc>
      </w:tr>
      <w:tr>
        <w:tc>
          <w:tcPr>
            <w:tcW w:type="dxa" w:w="3300"/>
            <w:tcMar>
              <w:top w:type="dxa" w:w="60"/>
              <w:left w:type="dxa" w:w="100"/>
              <w:bottom w:type="dxa" w:w="60"/>
              <w:right w:type="dxa" w:w="100"/>
            </w:tcMar>
            <w:vAlign w:val="center"/>
          </w:tcPr>
          <w:p>
            <w:pPr>
              <w:jc w:val="left"/>
            </w:pPr>
            <w:r>
              <w:rPr>
                <w:sz w:val="20"/>
                <w:szCs w:val="20"/>
              </w:rPr>
              <w:t xml:space="preserve">PTQ, min/max (TFLite)</w:t>
            </w:r>
          </w:p>
        </w:tc>
        <w:tc>
          <w:tcPr>
            <w:tcW w:type="dxa" w:w="1600"/>
            <w:tcMar>
              <w:top w:type="dxa" w:w="60"/>
              <w:left w:type="dxa" w:w="100"/>
              <w:bottom w:type="dxa" w:w="60"/>
              <w:right w:type="dxa" w:w="100"/>
            </w:tcMar>
            <w:vAlign w:val="center"/>
          </w:tcPr>
          <w:p>
            <w:pPr>
              <w:jc w:val="center"/>
            </w:pPr>
            <w:r>
              <w:rPr>
                <w:sz w:val="20"/>
                <w:szCs w:val="20"/>
              </w:rPr>
              <w:t xml:space="preserve">85.81 [79.37–89.05]</w:t>
            </w:r>
          </w:p>
        </w:tc>
        <w:tc>
          <w:tcPr>
            <w:tcW w:type="dxa" w:w="1100"/>
            <w:tcMar>
              <w:top w:type="dxa" w:w="60"/>
              <w:left w:type="dxa" w:w="100"/>
              <w:bottom w:type="dxa" w:w="60"/>
              <w:right w:type="dxa" w:w="100"/>
            </w:tcMar>
            <w:vAlign w:val="center"/>
          </w:tcPr>
          <w:p>
            <w:pPr>
              <w:jc w:val="center"/>
            </w:pPr>
            <w:r>
              <w:rPr>
                <w:sz w:val="20"/>
                <w:szCs w:val="20"/>
              </w:rPr>
              <w:t xml:space="preserve">562</w:t>
            </w:r>
          </w:p>
        </w:tc>
        <w:tc>
          <w:tcPr>
            <w:tcW w:type="dxa" w:w="1600"/>
            <w:tcMar>
              <w:top w:type="dxa" w:w="60"/>
              <w:left w:type="dxa" w:w="100"/>
              <w:bottom w:type="dxa" w:w="60"/>
              <w:right w:type="dxa" w:w="100"/>
            </w:tcMar>
            <w:vAlign w:val="center"/>
          </w:tcPr>
          <w:p>
            <w:pPr>
              <w:jc w:val="center"/>
            </w:pPr>
            <w:r>
              <w:rPr>
                <w:sz w:val="20"/>
                <w:szCs w:val="20"/>
              </w:rPr>
              <w:t xml:space="preserve">98.62 [96.89–99.19]</w:t>
            </w:r>
          </w:p>
        </w:tc>
        <w:tc>
          <w:tcPr>
            <w:tcW w:type="dxa" w:w="1100"/>
            <w:tcMar>
              <w:top w:type="dxa" w:w="60"/>
              <w:left w:type="dxa" w:w="100"/>
              <w:bottom w:type="dxa" w:w="60"/>
              <w:right w:type="dxa" w:w="100"/>
            </w:tcMar>
            <w:vAlign w:val="center"/>
          </w:tcPr>
          <w:p>
            <w:pPr>
              <w:jc w:val="center"/>
            </w:pPr>
            <w:r>
              <w:rPr>
                <w:sz w:val="20"/>
                <w:szCs w:val="20"/>
              </w:rPr>
              <w:t xml:space="preserve">351</w:t>
            </w:r>
          </w:p>
        </w:tc>
      </w:tr>
      <w:tr>
        <w:tc>
          <w:tcPr>
            <w:tcW w:type="dxa" w:w="3300"/>
            <w:tcMar>
              <w:top w:type="dxa" w:w="60"/>
              <w:left w:type="dxa" w:w="100"/>
              <w:bottom w:type="dxa" w:w="60"/>
              <w:right w:type="dxa" w:w="100"/>
            </w:tcMar>
            <w:vAlign w:val="center"/>
          </w:tcPr>
          <w:p>
            <w:pPr>
              <w:jc w:val="left"/>
            </w:pPr>
            <w:r>
              <w:rPr>
                <w:sz w:val="20"/>
                <w:szCs w:val="20"/>
              </w:rPr>
              <w:t xml:space="preserve">QAT, tfmot default</w:t>
            </w:r>
          </w:p>
        </w:tc>
        <w:tc>
          <w:tcPr>
            <w:tcW w:type="dxa" w:w="1600"/>
            <w:tcMar>
              <w:top w:type="dxa" w:w="60"/>
              <w:left w:type="dxa" w:w="100"/>
              <w:bottom w:type="dxa" w:w="60"/>
              <w:right w:type="dxa" w:w="100"/>
            </w:tcMar>
            <w:vAlign w:val="center"/>
          </w:tcPr>
          <w:p>
            <w:pPr>
              <w:jc w:val="center"/>
            </w:pPr>
            <w:r>
              <w:rPr>
                <w:sz w:val="20"/>
                <w:szCs w:val="20"/>
              </w:rPr>
              <w:t xml:space="preserve">88.02 [86.77–89.28]</w:t>
            </w:r>
          </w:p>
        </w:tc>
        <w:tc>
          <w:tcPr>
            <w:tcW w:type="dxa" w:w="1100"/>
            <w:tcMar>
              <w:top w:type="dxa" w:w="60"/>
              <w:left w:type="dxa" w:w="100"/>
              <w:bottom w:type="dxa" w:w="60"/>
              <w:right w:type="dxa" w:w="100"/>
            </w:tcMar>
            <w:vAlign w:val="center"/>
          </w:tcPr>
          <w:p>
            <w:pPr>
              <w:jc w:val="center"/>
            </w:pPr>
            <w:r>
              <w:rPr>
                <w:sz w:val="20"/>
                <w:szCs w:val="20"/>
              </w:rPr>
              <w:t xml:space="preserve">513</w:t>
            </w:r>
          </w:p>
        </w:tc>
        <w:tc>
          <w:tcPr>
            <w:tcW w:type="dxa" w:w="1600"/>
            <w:tcMar>
              <w:top w:type="dxa" w:w="60"/>
              <w:left w:type="dxa" w:w="100"/>
              <w:bottom w:type="dxa" w:w="60"/>
              <w:right w:type="dxa" w:w="100"/>
            </w:tcMar>
            <w:vAlign w:val="center"/>
          </w:tcPr>
          <w:p>
            <w:pPr>
              <w:jc w:val="center"/>
            </w:pPr>
            <w:r>
              <w:rPr>
                <w:sz w:val="20"/>
                <w:szCs w:val="20"/>
              </w:rPr>
              <w:t xml:space="preserve">99.00 [98.79–99.51]</w:t>
            </w:r>
          </w:p>
        </w:tc>
        <w:tc>
          <w:tcPr>
            <w:tcW w:type="dxa" w:w="1100"/>
            <w:tcMar>
              <w:top w:type="dxa" w:w="60"/>
              <w:left w:type="dxa" w:w="100"/>
              <w:bottom w:type="dxa" w:w="60"/>
              <w:right w:type="dxa" w:w="100"/>
            </w:tcMar>
            <w:vAlign w:val="center"/>
          </w:tcPr>
          <w:p>
            <w:pPr>
              <w:jc w:val="center"/>
            </w:pPr>
            <w:r>
              <w:rPr>
                <w:sz w:val="20"/>
                <w:szCs w:val="20"/>
              </w:rPr>
              <w:t xml:space="preserve">204</w:t>
            </w:r>
          </w:p>
        </w:tc>
      </w:tr>
      <w:tr>
        <w:tc>
          <w:tcPr>
            <w:tcW w:type="dxa" w:w="3300"/>
            <w:tcMar>
              <w:top w:type="dxa" w:w="60"/>
              <w:left w:type="dxa" w:w="100"/>
              <w:bottom w:type="dxa" w:w="60"/>
              <w:right w:type="dxa" w:w="100"/>
            </w:tcMar>
            <w:vAlign w:val="center"/>
          </w:tcPr>
          <w:p>
            <w:pPr>
              <w:jc w:val="left"/>
            </w:pPr>
            <w:r>
              <w:rPr>
                <w:sz w:val="20"/>
                <w:szCs w:val="20"/>
              </w:rPr>
              <w:t xml:space="preserve">QAT, calibrated start (5 estimators)</w:t>
            </w:r>
          </w:p>
        </w:tc>
        <w:tc>
          <w:tcPr>
            <w:tcW w:type="dxa" w:w="1600"/>
            <w:tcMar>
              <w:top w:type="dxa" w:w="60"/>
              <w:left w:type="dxa" w:w="100"/>
              <w:bottom w:type="dxa" w:w="60"/>
              <w:right w:type="dxa" w:w="100"/>
            </w:tcMar>
            <w:vAlign w:val="center"/>
          </w:tcPr>
          <w:p>
            <w:pPr>
              <w:jc w:val="center"/>
            </w:pPr>
            <w:r>
              <w:rPr>
                <w:sz w:val="20"/>
                <w:szCs w:val="20"/>
              </w:rPr>
              <w:t xml:space="preserve">87.79–88.18</w:t>
            </w:r>
          </w:p>
        </w:tc>
        <w:tc>
          <w:tcPr>
            <w:tcW w:type="dxa" w:w="1100"/>
            <w:tcMar>
              <w:top w:type="dxa" w:w="60"/>
              <w:left w:type="dxa" w:w="100"/>
              <w:bottom w:type="dxa" w:w="60"/>
              <w:right w:type="dxa" w:w="100"/>
            </w:tcMar>
            <w:vAlign w:val="center"/>
          </w:tcPr>
          <w:p>
            <w:pPr>
              <w:jc w:val="center"/>
            </w:pPr>
            <w:r>
              <w:rPr>
                <w:sz w:val="20"/>
                <w:szCs w:val="20"/>
              </w:rPr>
              <w:t xml:space="preserve">447–664</w:t>
            </w:r>
          </w:p>
        </w:tc>
        <w:tc>
          <w:tcPr>
            <w:tcW w:type="dxa" w:w="1600"/>
            <w:tcMar>
              <w:top w:type="dxa" w:w="60"/>
              <w:left w:type="dxa" w:w="100"/>
              <w:bottom w:type="dxa" w:w="60"/>
              <w:right w:type="dxa" w:w="100"/>
            </w:tcMar>
            <w:vAlign w:val="center"/>
          </w:tcPr>
          <w:p>
            <w:pPr>
              <w:jc w:val="center"/>
            </w:pPr>
            <w:r>
              <w:rPr>
                <w:sz w:val="20"/>
                <w:szCs w:val="20"/>
              </w:rPr>
              <w:t xml:space="preserve">98.99–99.03</w:t>
            </w:r>
          </w:p>
        </w:tc>
        <w:tc>
          <w:tcPr>
            <w:tcW w:type="dxa" w:w="1100"/>
            <w:tcMar>
              <w:top w:type="dxa" w:w="60"/>
              <w:left w:type="dxa" w:w="100"/>
              <w:bottom w:type="dxa" w:w="60"/>
              <w:right w:type="dxa" w:w="100"/>
            </w:tcMar>
            <w:vAlign w:val="center"/>
          </w:tcPr>
          <w:p>
            <w:pPr>
              <w:jc w:val="center"/>
            </w:pPr>
            <w:r>
              <w:rPr>
                <w:sz w:val="20"/>
                <w:szCs w:val="20"/>
              </w:rPr>
              <w:t xml:space="preserve">194–208</w:t>
            </w:r>
          </w:p>
        </w:tc>
      </w:tr>
      <w:tr>
        <w:tc>
          <w:tcPr>
            <w:tcW w:type="dxa" w:w="3300"/>
            <w:tcMar>
              <w:top w:type="dxa" w:w="60"/>
              <w:left w:type="dxa" w:w="100"/>
              <w:bottom w:type="dxa" w:w="60"/>
              <w:right w:type="dxa" w:w="100"/>
            </w:tcMar>
            <w:vAlign w:val="center"/>
          </w:tcPr>
          <w:p>
            <w:pPr>
              <w:jc w:val="left"/>
            </w:pPr>
            <w:r>
              <w:rPr>
                <w:sz w:val="20"/>
                <w:szCs w:val="20"/>
              </w:rPr>
              <w:t xml:space="preserve">QAT, ranges fixed at min/max</w:t>
            </w:r>
          </w:p>
        </w:tc>
        <w:tc>
          <w:tcPr>
            <w:tcW w:type="dxa" w:w="1600"/>
            <w:tcMar>
              <w:top w:type="dxa" w:w="60"/>
              <w:left w:type="dxa" w:w="100"/>
              <w:bottom w:type="dxa" w:w="60"/>
              <w:right w:type="dxa" w:w="100"/>
            </w:tcMar>
            <w:vAlign w:val="center"/>
          </w:tcPr>
          <w:p>
            <w:pPr>
              <w:jc w:val="center"/>
            </w:pPr>
            <w:r>
              <w:rPr>
                <w:sz w:val="20"/>
                <w:szCs w:val="20"/>
              </w:rPr>
              <w:t xml:space="preserve">89.49 [87.41–91.43]</w:t>
            </w:r>
          </w:p>
        </w:tc>
        <w:tc>
          <w:tcPr>
            <w:tcW w:type="dxa" w:w="1100"/>
            <w:tcMar>
              <w:top w:type="dxa" w:w="60"/>
              <w:left w:type="dxa" w:w="100"/>
              <w:bottom w:type="dxa" w:w="60"/>
              <w:right w:type="dxa" w:w="100"/>
            </w:tcMar>
            <w:vAlign w:val="center"/>
          </w:tcPr>
          <w:p>
            <w:pPr>
              <w:jc w:val="center"/>
            </w:pPr>
            <w:r>
              <w:rPr>
                <w:sz w:val="20"/>
                <w:szCs w:val="20"/>
              </w:rPr>
              <w:t xml:space="preserve">757</w:t>
            </w:r>
          </w:p>
        </w:tc>
        <w:tc>
          <w:tcPr>
            <w:tcW w:type="dxa" w:w="1600"/>
            <w:tcMar>
              <w:top w:type="dxa" w:w="60"/>
              <w:left w:type="dxa" w:w="100"/>
              <w:bottom w:type="dxa" w:w="60"/>
              <w:right w:type="dxa" w:w="100"/>
            </w:tcMar>
            <w:vAlign w:val="center"/>
          </w:tcPr>
          <w:p>
            <w:pPr>
              <w:jc w:val="center"/>
            </w:pPr>
            <w:r>
              <w:rPr>
                <w:sz w:val="20"/>
                <w:szCs w:val="20"/>
              </w:rPr>
              <w:t xml:space="preserve">99.46 [99.40–99.53]</w:t>
            </w:r>
          </w:p>
        </w:tc>
        <w:tc>
          <w:tcPr>
            <w:tcW w:type="dxa" w:w="1100"/>
            <w:tcMar>
              <w:top w:type="dxa" w:w="60"/>
              <w:left w:type="dxa" w:w="100"/>
              <w:bottom w:type="dxa" w:w="60"/>
              <w:right w:type="dxa" w:w="100"/>
            </w:tcMar>
            <w:vAlign w:val="center"/>
          </w:tcPr>
          <w:p>
            <w:pPr>
              <w:jc w:val="center"/>
            </w:pPr>
            <w:r>
              <w:rPr>
                <w:sz w:val="20"/>
                <w:szCs w:val="20"/>
              </w:rPr>
              <w:t xml:space="preserve">74</w:t>
            </w:r>
          </w:p>
        </w:tc>
      </w:tr>
      <w:tr>
        <w:tc>
          <w:tcPr>
            <w:tcW w:type="dxa" w:w="3300"/>
            <w:tcMar>
              <w:top w:type="dxa" w:w="60"/>
              <w:left w:type="dxa" w:w="100"/>
              <w:bottom w:type="dxa" w:w="60"/>
              <w:right w:type="dxa" w:w="100"/>
            </w:tcMar>
            <w:vAlign w:val="center"/>
          </w:tcPr>
          <w:p>
            <w:pPr>
              <w:jc w:val="left"/>
            </w:pPr>
            <w:r>
              <w:rPr>
                <w:sz w:val="20"/>
                <w:szCs w:val="20"/>
              </w:rPr>
              <w:t xml:space="preserve">QAT, ranges fixed at percentile 99.99</w:t>
            </w:r>
          </w:p>
        </w:tc>
        <w:tc>
          <w:tcPr>
            <w:tcW w:type="dxa" w:w="1600"/>
            <w:tcMar>
              <w:top w:type="dxa" w:w="60"/>
              <w:left w:type="dxa" w:w="100"/>
              <w:bottom w:type="dxa" w:w="60"/>
              <w:right w:type="dxa" w:w="100"/>
            </w:tcMar>
            <w:vAlign w:val="center"/>
          </w:tcPr>
          <w:p>
            <w:pPr>
              <w:jc w:val="center"/>
            </w:pPr>
            <w:r>
              <w:rPr>
                <w:sz w:val="20"/>
                <w:szCs w:val="20"/>
              </w:rPr>
              <w:t xml:space="preserve">88.58 [87.42–89.95]</w:t>
            </w:r>
          </w:p>
        </w:tc>
        <w:tc>
          <w:tcPr>
            <w:tcW w:type="dxa" w:w="1100"/>
            <w:tcMar>
              <w:top w:type="dxa" w:w="60"/>
              <w:left w:type="dxa" w:w="100"/>
              <w:bottom w:type="dxa" w:w="60"/>
              <w:right w:type="dxa" w:w="100"/>
            </w:tcMar>
            <w:vAlign w:val="center"/>
          </w:tcPr>
          <w:p>
            <w:pPr>
              <w:jc w:val="center"/>
            </w:pPr>
            <w:r>
              <w:rPr>
                <w:sz w:val="20"/>
                <w:szCs w:val="20"/>
              </w:rPr>
              <w:t xml:space="preserve">392</w:t>
            </w:r>
          </w:p>
        </w:tc>
        <w:tc>
          <w:tcPr>
            <w:tcW w:type="dxa" w:w="1600"/>
            <w:tcMar>
              <w:top w:type="dxa" w:w="60"/>
              <w:left w:type="dxa" w:w="100"/>
              <w:bottom w:type="dxa" w:w="60"/>
              <w:right w:type="dxa" w:w="100"/>
            </w:tcMar>
            <w:vAlign w:val="center"/>
          </w:tcPr>
          <w:p>
            <w:pPr>
              <w:jc w:val="center"/>
            </w:pPr>
            <w:r>
              <w:rPr>
                <w:sz w:val="20"/>
                <w:szCs w:val="20"/>
              </w:rPr>
              <w:t xml:space="preserve">99.47 [99.44–99.51]</w:t>
            </w:r>
          </w:p>
        </w:tc>
        <w:tc>
          <w:tcPr>
            <w:tcW w:type="dxa" w:w="1100"/>
            <w:tcMar>
              <w:top w:type="dxa" w:w="60"/>
              <w:left w:type="dxa" w:w="100"/>
              <w:bottom w:type="dxa" w:w="60"/>
              <w:right w:type="dxa" w:w="100"/>
            </w:tcMar>
            <w:vAlign w:val="center"/>
          </w:tcPr>
          <w:p>
            <w:pPr>
              <w:jc w:val="center"/>
            </w:pPr>
            <w:r>
              <w:rPr>
                <w:sz w:val="20"/>
                <w:szCs w:val="20"/>
              </w:rPr>
              <w:t xml:space="preserve">70</w:t>
            </w:r>
          </w:p>
        </w:tc>
      </w:tr>
      <w:tr>
        <w:tc>
          <w:tcPr>
            <w:tcW w:type="dxa" w:w="3300"/>
            <w:tcMar>
              <w:top w:type="dxa" w:w="60"/>
              <w:left w:type="dxa" w:w="100"/>
              <w:bottom w:type="dxa" w:w="60"/>
              <w:right w:type="dxa" w:w="100"/>
            </w:tcMar>
            <w:vAlign w:val="center"/>
          </w:tcPr>
          <w:p>
            <w:pPr>
              <w:jc w:val="left"/>
            </w:pPr>
            <w:r>
              <w:rPr>
                <w:sz w:val="20"/>
                <w:szCs w:val="20"/>
              </w:rPr>
              <w:t xml:space="preserve">QAT, ranges fixed at MSE clip</w:t>
            </w:r>
          </w:p>
        </w:tc>
        <w:tc>
          <w:tcPr>
            <w:tcW w:type="dxa" w:w="1600"/>
            <w:tcMar>
              <w:top w:type="dxa" w:w="60"/>
              <w:left w:type="dxa" w:w="100"/>
              <w:bottom w:type="dxa" w:w="60"/>
              <w:right w:type="dxa" w:w="100"/>
            </w:tcMar>
            <w:vAlign w:val="center"/>
          </w:tcPr>
          <w:p>
            <w:pPr>
              <w:jc w:val="center"/>
            </w:pPr>
            <w:r>
              <w:rPr>
                <w:sz w:val="20"/>
                <w:szCs w:val="20"/>
              </w:rPr>
              <w:t xml:space="preserve">88.62 [87.25–90.08]</w:t>
            </w:r>
          </w:p>
        </w:tc>
        <w:tc>
          <w:tcPr>
            <w:tcW w:type="dxa" w:w="1100"/>
            <w:tcMar>
              <w:top w:type="dxa" w:w="60"/>
              <w:left w:type="dxa" w:w="100"/>
              <w:bottom w:type="dxa" w:w="60"/>
              <w:right w:type="dxa" w:w="100"/>
            </w:tcMar>
            <w:vAlign w:val="center"/>
          </w:tcPr>
          <w:p>
            <w:pPr>
              <w:jc w:val="center"/>
            </w:pPr>
            <w:r>
              <w:rPr>
                <w:sz w:val="20"/>
                <w:szCs w:val="20"/>
              </w:rPr>
              <w:t xml:space="preserve">839</w:t>
            </w:r>
          </w:p>
        </w:tc>
        <w:tc>
          <w:tcPr>
            <w:tcW w:type="dxa" w:w="1600"/>
            <w:tcMar>
              <w:top w:type="dxa" w:w="60"/>
              <w:left w:type="dxa" w:w="100"/>
              <w:bottom w:type="dxa" w:w="60"/>
              <w:right w:type="dxa" w:w="100"/>
            </w:tcMar>
            <w:vAlign w:val="center"/>
          </w:tcPr>
          <w:p>
            <w:pPr>
              <w:jc w:val="center"/>
            </w:pPr>
            <w:r>
              <w:rPr>
                <w:sz w:val="20"/>
                <w:szCs w:val="20"/>
              </w:rPr>
              <w:t xml:space="preserve">99.47 [99.43–99.56]</w:t>
            </w:r>
          </w:p>
        </w:tc>
        <w:tc>
          <w:tcPr>
            <w:tcW w:type="dxa" w:w="1100"/>
            <w:tcMar>
              <w:top w:type="dxa" w:w="60"/>
              <w:left w:type="dxa" w:w="100"/>
              <w:bottom w:type="dxa" w:w="60"/>
              <w:right w:type="dxa" w:w="100"/>
            </w:tcMar>
            <w:vAlign w:val="center"/>
          </w:tcPr>
          <w:p>
            <w:pPr>
              <w:jc w:val="center"/>
            </w:pPr>
            <w:r>
              <w:rPr>
                <w:sz w:val="20"/>
                <w:szCs w:val="20"/>
              </w:rPr>
              <w:t xml:space="preserve">76</w:t>
            </w:r>
          </w:p>
        </w:tc>
      </w:tr>
      <w:tr>
        <w:tc>
          <w:tcPr>
            <w:tcW w:type="dxa" w:w="3300"/>
            <w:tcMar>
              <w:top w:type="dxa" w:w="60"/>
              <w:left w:type="dxa" w:w="100"/>
              <w:bottom w:type="dxa" w:w="60"/>
              <w:right w:type="dxa" w:w="100"/>
            </w:tcMar>
            <w:vAlign w:val="center"/>
          </w:tcPr>
          <w:p>
            <w:pPr>
              <w:jc w:val="left"/>
            </w:pPr>
            <w:r>
              <w:rPr>
                <w:sz w:val="20"/>
                <w:szCs w:val="20"/>
              </w:rPr>
              <w:t xml:space="preserve">QAT, ranges fixed at ±5 SD</w:t>
            </w:r>
          </w:p>
        </w:tc>
        <w:tc>
          <w:tcPr>
            <w:tcW w:type="dxa" w:w="1600"/>
            <w:tcMar>
              <w:top w:type="dxa" w:w="60"/>
              <w:left w:type="dxa" w:w="100"/>
              <w:bottom w:type="dxa" w:w="60"/>
              <w:right w:type="dxa" w:w="100"/>
            </w:tcMar>
            <w:vAlign w:val="center"/>
          </w:tcPr>
          <w:p>
            <w:pPr>
              <w:jc w:val="center"/>
            </w:pPr>
            <w:r>
              <w:rPr>
                <w:sz w:val="20"/>
                <w:szCs w:val="20"/>
              </w:rPr>
              <w:t xml:space="preserve">88.10 [87.43–89.01]</w:t>
            </w:r>
          </w:p>
        </w:tc>
        <w:tc>
          <w:tcPr>
            <w:tcW w:type="dxa" w:w="1100"/>
            <w:tcMar>
              <w:top w:type="dxa" w:w="60"/>
              <w:left w:type="dxa" w:w="100"/>
              <w:bottom w:type="dxa" w:w="60"/>
              <w:right w:type="dxa" w:w="100"/>
            </w:tcMar>
            <w:vAlign w:val="center"/>
          </w:tcPr>
          <w:p>
            <w:pPr>
              <w:jc w:val="center"/>
            </w:pPr>
            <w:r>
              <w:rPr>
                <w:sz w:val="20"/>
                <w:szCs w:val="20"/>
              </w:rPr>
              <w:t xml:space="preserve">598</w:t>
            </w:r>
          </w:p>
        </w:tc>
        <w:tc>
          <w:tcPr>
            <w:tcW w:type="dxa" w:w="1600"/>
            <w:tcMar>
              <w:top w:type="dxa" w:w="60"/>
              <w:left w:type="dxa" w:w="100"/>
              <w:bottom w:type="dxa" w:w="60"/>
              <w:right w:type="dxa" w:w="100"/>
            </w:tcMar>
            <w:vAlign w:val="center"/>
          </w:tcPr>
          <w:p>
            <w:pPr>
              <w:jc w:val="center"/>
            </w:pPr>
            <w:r>
              <w:rPr>
                <w:sz w:val="20"/>
                <w:szCs w:val="20"/>
              </w:rPr>
              <w:t xml:space="preserve">99.34 [99.16–99.43]</w:t>
            </w:r>
          </w:p>
        </w:tc>
        <w:tc>
          <w:tcPr>
            <w:tcW w:type="dxa" w:w="1100"/>
            <w:tcMar>
              <w:top w:type="dxa" w:w="60"/>
              <w:left w:type="dxa" w:w="100"/>
              <w:bottom w:type="dxa" w:w="60"/>
              <w:right w:type="dxa" w:w="100"/>
            </w:tcMar>
            <w:vAlign w:val="center"/>
          </w:tcPr>
          <w:p>
            <w:pPr>
              <w:jc w:val="center"/>
            </w:pPr>
            <w:r>
              <w:rPr>
                <w:sz w:val="20"/>
                <w:szCs w:val="20"/>
              </w:rPr>
              <w:t xml:space="preserve">79</w:t>
            </w:r>
          </w:p>
        </w:tc>
      </w:tr>
      <w:tr>
        <w:tc>
          <w:tcPr>
            <w:tcW w:type="dxa" w:w="3300"/>
            <w:tcMar>
              <w:top w:type="dxa" w:w="60"/>
              <w:left w:type="dxa" w:w="100"/>
              <w:bottom w:type="dxa" w:w="60"/>
              <w:right w:type="dxa" w:w="100"/>
            </w:tcMar>
            <w:vAlign w:val="center"/>
          </w:tcPr>
          <w:p>
            <w:pPr>
              <w:jc w:val="left"/>
            </w:pPr>
            <w:r>
              <w:rPr>
                <w:sz w:val="20"/>
                <w:szCs w:val="20"/>
              </w:rPr>
              <w:t xml:space="preserve">QAT, learned clip (PACT-style, 3 starts)</w:t>
            </w:r>
          </w:p>
        </w:tc>
        <w:tc>
          <w:tcPr>
            <w:tcW w:type="dxa" w:w="1600"/>
            <w:tcMar>
              <w:top w:type="dxa" w:w="60"/>
              <w:left w:type="dxa" w:w="100"/>
              <w:bottom w:type="dxa" w:w="60"/>
              <w:right w:type="dxa" w:w="100"/>
            </w:tcMar>
            <w:vAlign w:val="center"/>
          </w:tcPr>
          <w:p>
            <w:pPr>
              <w:jc w:val="center"/>
            </w:pPr>
            <w:r>
              <w:rPr>
                <w:sz w:val="20"/>
                <w:szCs w:val="20"/>
              </w:rPr>
              <w:t xml:space="preserve">87.67–88.73</w:t>
            </w:r>
          </w:p>
        </w:tc>
        <w:tc>
          <w:tcPr>
            <w:tcW w:type="dxa" w:w="1100"/>
            <w:tcMar>
              <w:top w:type="dxa" w:w="60"/>
              <w:left w:type="dxa" w:w="100"/>
              <w:bottom w:type="dxa" w:w="60"/>
              <w:right w:type="dxa" w:w="100"/>
            </w:tcMar>
            <w:vAlign w:val="center"/>
          </w:tcPr>
          <w:p>
            <w:pPr>
              <w:jc w:val="center"/>
            </w:pPr>
            <w:r>
              <w:rPr>
                <w:sz w:val="20"/>
                <w:szCs w:val="20"/>
              </w:rPr>
              <w:t xml:space="preserve">652–718</w:t>
            </w:r>
          </w:p>
        </w:tc>
        <w:tc>
          <w:tcPr>
            <w:tcW w:type="dxa" w:w="1600"/>
            <w:tcMar>
              <w:top w:type="dxa" w:w="60"/>
              <w:left w:type="dxa" w:w="100"/>
              <w:bottom w:type="dxa" w:w="60"/>
              <w:right w:type="dxa" w:w="100"/>
            </w:tcMar>
            <w:vAlign w:val="center"/>
          </w:tcPr>
          <w:p>
            <w:pPr>
              <w:jc w:val="center"/>
            </w:pPr>
            <w:r>
              <w:rPr>
                <w:sz w:val="20"/>
                <w:szCs w:val="20"/>
              </w:rPr>
              <w:t xml:space="preserve">98.99–99.00</w:t>
            </w:r>
          </w:p>
        </w:tc>
        <w:tc>
          <w:tcPr>
            <w:tcW w:type="dxa" w:w="1100"/>
            <w:tcMar>
              <w:top w:type="dxa" w:w="60"/>
              <w:left w:type="dxa" w:w="100"/>
              <w:bottom w:type="dxa" w:w="60"/>
              <w:right w:type="dxa" w:w="100"/>
            </w:tcMar>
            <w:vAlign w:val="center"/>
          </w:tcPr>
          <w:p>
            <w:pPr>
              <w:jc w:val="center"/>
            </w:pPr>
            <w:r>
              <w:rPr>
                <w:sz w:val="20"/>
                <w:szCs w:val="20"/>
              </w:rPr>
              <w:t xml:space="preserve">199–208</w:t>
            </w:r>
          </w:p>
        </w:tc>
      </w:tr>
    </w:tbl>
    <w:p>
      <w:pPr>
        <w:spacing w:after="240" w:before="80"/>
      </w:pPr>
      <w:r>
        <w:rPr>
          <w:i/>
          <w:iCs/>
          <w:sz w:val="20"/>
          <w:szCs w:val="20"/>
        </w:rPr>
        <w:t xml:space="preserve">Table 16. QAT ranges on the base recipe (prune 50% → client fine-tuning → 2 QAT epochs), five fine-tuning draws of client 0. "Calibrated start": ranges initialized from 2,000 calibration samples of the fine-tuning set and then updated by tfmot (range of the means over 5 estimators); "fixed": held at the calibrated values throughout QAT. Source: runs 2026-10-05_x2_ptq_init_qat and _x4_learned_clip_qat.</w:t>
      </w:r>
    </w:p>
    <w:p>
      <w:pPr>
        <w:spacing w:after="160"/>
      </w:pPr>
      <w:r>
        <w:t xml:space="preserve">Table 16 shows why QAT behaves differently from PTQ. tfmot's default QAT does not learn its ranges in a fine-tuning run this short: activation ranges start at ±6 and follow an exponential moving average with decay 0.999, so after our roughly 140 steps about 87% of the start remains, and the hidden ranges end near [−5.2, 10] although ReLU outputs are non-negative. The input quantizer instead tracks the minimum and maximum of every fine-tuning input (up to 61 standard deviations on CIC-IDS2017 and 85 on TON_IoT, against 12 and 27 at the 99.99th percentile). Starting QAT from calibrated ranges, the PTQ-then-QAT order recommended by Wu et al. [25], changes the hidden ranges but keeps this input range and gives the default's results. Holding all ranges at the calibrated values also keeps the input range, and it is the only variant that helps: TON_IoT misses drop from 204 to 70 (FAR 2.49% → 2.14%) and CIC-IDS2017 misses from 513 to 392. Learning the hidden clips (PACT-style [27], parameterized in log space) does not help. The bottleneck is the input quantization range, not the hidden activations. This also explains why QAT on clipped inputs was the best TON_IoT pipeline in Table 10 and why training-time QAT collapses on CIC-IDS2017 (Section 5.6).</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57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Empirical studies report that deployment and model-conversion faults often produce wrong models without errors [48, 49].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loses less than one F1 point under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except for a second federated training run on TON_IoT, which differs by 0.03 F1 (Table 1), and the repeated fine-tuning draws of Sections 5.9 and 5.12–5.13. Differences below about one F1 point (e.g. near-IID vs. Dirichlet on CIC-IDS2017) should not be over-interpreted until seed variance is measured more broadly.</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Threat model. </w:t>
      </w:r>
      <w:r>
        <w:t xml:space="preserve">Attacks are feature-space perturbations, not realized as traffic. Training-time poisoning and backdoors [36] are out of scope, and the supervised detector does not target unseen attack classes as unsupervised detectors do [38, 39].</w:t>
      </w:r>
    </w:p>
    <w:p>
      <w:pPr>
        <w:spacing w:after="140"/>
      </w:pPr>
      <w:r>
        <w:rPr>
          <w:b/>
          <w:bCs/>
        </w:rPr>
        <w:t xml:space="preserve">Synthetic partitions. </w:t>
      </w:r>
      <w:r>
        <w:t xml:space="preserve">Near-IID and Dirichlet splits are synthetic; per-host splits [37] are more realistic.</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loses less than one F1 point under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R. Banbury, Vijay Janapa Reddi, Max Lam, William Fu, Amin Fazel, Jeremy Holleman, Xinyuan Huang, Robert Hurtado, David Kanter, Anton Lokhmotov, David Patterson, Danilo Pau, Jae-sun Seo, Jeff Sieracki, Urmish Thakker, Marian Verhelst, and Poonam Yadav. 2020. Benchmarking TinyML Systems: Challenges and Direction. arXiv preprint arXiv:2003.04821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pPr>
        <w:spacing w:after="100"/>
      </w:pPr>
      <w:r>
        <w:rPr>
          <w:sz w:val="20"/>
          <w:szCs w:val="20"/>
        </w:rPr>
        <w:t xml:space="preserve">[25] Hao Wu, Patrick Judd, Xiaojie Zhang, Mikhail Isaev, and Paulius Micikevicius. 2020. Integer Quantization for Deep Learning Inference: Principles and Empirical Evaluation. arXiv preprint arXiv:2004.09602 (2020).</w:t>
      </w:r>
    </w:p>
    <w:p>
      <w:pPr>
        <w:spacing w:after="100"/>
      </w:pPr>
      <w:r>
        <w:rPr>
          <w:sz w:val="20"/>
          <w:szCs w:val="20"/>
        </w:rPr>
        <w:t xml:space="preserve">[26] Ron Banner, Yury Nahshan, and Daniel Soudry. 2019. Post Training 4-bit Quantization of Convolutional Networks for Rapid-Deployment. In Advances in Neural Information Processing Systems (NeurIPS).</w:t>
      </w:r>
    </w:p>
    <w:p>
      <w:pPr>
        <w:spacing w:after="100"/>
      </w:pPr>
      <w:r>
        <w:rPr>
          <w:sz w:val="20"/>
          <w:szCs w:val="20"/>
        </w:rPr>
        <w:t xml:space="preserve">[27] Jungwook Choi, Zhuo Wang, Swagath Venkataramani, Pierce I-Jen Chuang, Vijayalakshmi Srinivasan, and Kailash Gopalakrishnan. 2018. PACT: Parameterized Clipping Activation for Quantized Neural Networks. arXiv preprint arXiv:1805.06085 (2018).</w:t>
      </w:r>
    </w:p>
    <w:p>
      <w:pPr>
        <w:spacing w:after="100"/>
      </w:pPr>
      <w:r>
        <w:rPr>
          <w:sz w:val="20"/>
          <w:szCs w:val="20"/>
        </w:rPr>
        <w:t xml:space="preserve">[28] Steven K. Esser, Jeffrey L. McKinstry, Deepika Bablani, Rathinakumar Appuswamy, and Dharmendra S. Modha. 2020. Learned Step Size Quantization. In International Conference on Learning Representations (ICLR).</w:t>
      </w:r>
    </w:p>
    <w:p>
      <w:pPr>
        <w:spacing w:after="100"/>
      </w:pPr>
      <w:r>
        <w:rPr>
          <w:sz w:val="20"/>
          <w:szCs w:val="20"/>
        </w:rPr>
        <w:t xml:space="preserve">[29] Markus Nagel, Mart van Baalen, Tijmen Blankevoort, and Max Welling. 2019. Data-Free Quantization Through Weight Equalization and Bias Correction. In Proceedings of the IEEE/CVF International Conference on Computer Vision (ICCV), 1325–1334.</w:t>
      </w:r>
    </w:p>
    <w:p>
      <w:pPr>
        <w:spacing w:after="100"/>
      </w:pPr>
      <w:r>
        <w:rPr>
          <w:sz w:val="20"/>
          <w:szCs w:val="20"/>
        </w:rPr>
        <w:t xml:space="preserve">[30] Antonio Polino, Razvan Pascanu, and Dan Alistarh. 2018. Model Compression via Distillation and Quantization. In International Conference on Learning Representations (ICLR).</w:t>
      </w:r>
    </w:p>
    <w:p>
      <w:pPr>
        <w:spacing w:after="100"/>
      </w:pPr>
      <w:r>
        <w:rPr>
          <w:sz w:val="20"/>
          <w:szCs w:val="20"/>
        </w:rPr>
        <w:t xml:space="preserve">[31] Amirhossein Reisizadeh, Aryan Mokhtari, Hamed Hassani, Ali Jadbabaie, and Ramtin Pedarsani. 2020. FedPAQ: A Communication-Efficient Federated Learning Method with Periodic Averaging and Quantization. In Proceedings of the 23rd International Conference on Artificial Intelligence and Statistics (AISTATS), PMLR 108, 2021–2031.</w:t>
      </w:r>
    </w:p>
    <w:p>
      <w:pPr>
        <w:spacing w:after="100"/>
      </w:pPr>
      <w:r>
        <w:rPr>
          <w:sz w:val="20"/>
          <w:szCs w:val="20"/>
        </w:rPr>
        <w:t xml:space="preserve">[32] Kartik Gupta, Marios Fournarakis, Matthias Reisser, Christos Louizos, and Markus Nagel. 2023. Quantization Robust Federated Learning for Efficient Inference on Heterogeneous Devices. Transactions on Machine Learning Research (TMLR). arXiv:2206.10844.</w:t>
      </w:r>
    </w:p>
    <w:p>
      <w:pPr>
        <w:spacing w:after="100"/>
      </w:pPr>
      <w:r>
        <w:rPr>
          <w:sz w:val="20"/>
          <w:szCs w:val="20"/>
        </w:rPr>
        <w:t xml:space="preserve">[33] TensorFlow Model Optimization. 2021. Collaborative Optimization: Pruning-Preserving Quantization Aware Training. https://www.tensorflow.org/model_optimization/guide/combine/collaborative_optimization.</w:t>
      </w:r>
    </w:p>
    <w:p>
      <w:pPr>
        <w:spacing w:after="100"/>
      </w:pPr>
      <w:r>
        <w:rPr>
          <w:sz w:val="20"/>
          <w:szCs w:val="20"/>
        </w:rPr>
        <w:t xml:space="preserve">[34] Mingyan Li et al. 2025. Cognitive IoT and Edge Computing for Intrusion Detection with Federated TinyML. In IEEE World AI IoT Congress (AIIoT), 677–684.</w:t>
      </w:r>
    </w:p>
    <w:p>
      <w:pPr>
        <w:spacing w:after="100"/>
      </w:pPr>
      <w:r>
        <w:rPr>
          <w:sz w:val="20"/>
          <w:szCs w:val="20"/>
        </w:rPr>
        <w:t xml:space="preserve">[35] Thien Duc Nguyen, Samuel Marchal, Markus Miettinen, Hossein Fereidooni, N. Asokan, and Ahmad-Reza Sadeghi. 2019. DÏoT: A Federated Self-learning Anomaly Detection System for IoT. In IEEE 39th International Conference on Distributed Computing Systems (ICDCS), 756–767.</w:t>
      </w:r>
    </w:p>
    <w:p>
      <w:pPr>
        <w:spacing w:after="100"/>
      </w:pPr>
      <w:r>
        <w:rPr>
          <w:sz w:val="20"/>
          <w:szCs w:val="20"/>
        </w:rPr>
        <w:t xml:space="preserve">[36] Thien Duc Nguyen, Phillip Rieger, Huili Chen, Hossein Yalame, Helen Möllering, Hossein Fereidooni, Samuel Marchal, Markus Miettinen, Azalia Mirhoseini, Shaza Zeitouni, Farinaz Koushanfar, Ahmad-Reza Sadeghi, and Thomas Schneider. 2022. FLAME: Taming Backdoors in Federated Learning. In 31st USENIX Security Symposium.</w:t>
      </w:r>
    </w:p>
    <w:p>
      <w:pPr>
        <w:spacing w:after="100"/>
      </w:pPr>
      <w:r>
        <w:rPr>
          <w:sz w:val="20"/>
          <w:szCs w:val="20"/>
        </w:rPr>
        <w:t xml:space="preserve">[37] Othmane Belarbi, Theodoros Spyridopoulos, Eirini Anthi, Ioannis Mavromatis, Pietro Carnelli, and Aftab Khan. 2023. Federated Deep Learning for Intrusion Detection in IoT Networks. In IEEE Global Communications Conference (GLOBECOM), 237–242. doi:10.1109/GLOBECOM54140.2023.10437860.</w:t>
      </w:r>
    </w:p>
    <w:p>
      <w:pPr>
        <w:spacing w:after="100"/>
      </w:pPr>
      <w:r>
        <w:rPr>
          <w:sz w:val="20"/>
          <w:szCs w:val="20"/>
        </w:rPr>
        <w:t xml:space="preserve">[38] Yisroel Mirsky, Tomer Doitshman, Yuval Elovici, and Asaf Shabtai. 2018. Kitsune: An Ensemble of Autoencoders for Online Network Intrusion Detection. In Network and Distributed System Security Symposium (NDSS).</w:t>
      </w:r>
    </w:p>
    <w:p>
      <w:pPr>
        <w:spacing w:after="100"/>
      </w:pPr>
      <w:r>
        <w:rPr>
          <w:sz w:val="20"/>
          <w:szCs w:val="20"/>
        </w:rPr>
        <w:t xml:space="preserve">[39] Yutao Dong, Qing Li, Kaidong Wu, et al. 2023. HorusEye: A Realtime IoT Malicious Traffic Detection Framework using Programmable Switches. In 32nd USENIX Security Symposium.</w:t>
      </w:r>
    </w:p>
    <w:p>
      <w:pPr>
        <w:spacing w:after="100"/>
      </w:pPr>
      <w:r>
        <w:rPr>
          <w:sz w:val="20"/>
          <w:szCs w:val="20"/>
        </w:rPr>
        <w:t xml:space="preserve">[40] Guangmeng Zhou, Zhuotao Liu, Chuanpu Fu, Qi Li, and Ke Xu. 2023. An Efficient Design of Intelligent Network Data Plane. In 32nd USENIX Security Symposium.</w:t>
      </w:r>
    </w:p>
    <w:p>
      <w:pPr>
        <w:spacing w:after="100"/>
      </w:pPr>
      <w:r>
        <w:rPr>
          <w:sz w:val="20"/>
          <w:szCs w:val="20"/>
        </w:rPr>
        <w:t xml:space="preserve">[41] Ji Lin, Wei-Ming Chen, Yujun Lin, John Cohn, Chuang Gan, and Song Han. 2020. MCUNet: Tiny Deep Learning on IoT Devices. In Advances in Neural Information Processing Systems (NeurIPS).</w:t>
      </w:r>
    </w:p>
    <w:p>
      <w:pPr>
        <w:spacing w:after="100"/>
      </w:pPr>
      <w:r>
        <w:rPr>
          <w:sz w:val="20"/>
          <w:szCs w:val="20"/>
        </w:rPr>
        <w:t xml:space="preserve">[42] Ji Lin, Ligeng Zhu, Wei-Ming Chen, Wei-Chen Wang, Chuang Gan, and Song Han. 2022. On-Device Training Under 256KB Memory. In Advances in Neural Information Processing Systems (NeurIPS).</w:t>
      </w:r>
    </w:p>
    <w:p>
      <w:pPr>
        <w:spacing w:after="100"/>
      </w:pPr>
      <w:r>
        <w:rPr>
          <w:sz w:val="20"/>
          <w:szCs w:val="20"/>
        </w:rPr>
        <w:t xml:space="preserve">[43] Enmao Diao, Jie Ding, and Vahid Tarokh. 2021. HeteroFL: Computation and Communication Efficient Federated Learning for Heterogeneous Clients. In International Conference on Learning Representations (ICLR).</w:t>
      </w:r>
    </w:p>
    <w:p>
      <w:pPr>
        <w:spacing w:after="100"/>
      </w:pPr>
      <w:r>
        <w:rPr>
          <w:sz w:val="20"/>
          <w:szCs w:val="20"/>
        </w:rPr>
        <w:t xml:space="preserve">[44] Hong Huang, Lan Zhang, Chaoyue Sun, Ruogu Fang, Xiaoyong Yuan, and Dapeng Wu. 2023. Distributed Pruning Towards Tiny Neural Networks in Federated Learning. In IEEE 43rd International Conference on Distributed Computing Systems (ICDCS), 190–201.</w:t>
      </w:r>
    </w:p>
    <w:p>
      <w:pPr>
        <w:spacing w:after="100"/>
      </w:pPr>
      <w:r>
        <w:rPr>
          <w:sz w:val="20"/>
          <w:szCs w:val="20"/>
        </w:rPr>
        <w:t xml:space="preserve">[45] Shikhar Jaiswal, Rahul Kranti Kiran Goli, Aayan Kumar, Vivek Seshadri, and Rahul Sharma. 2023. MinUn: Accurate ML Inference on Microcontrollers. In Proceedings of the 24th ACM SIGPLAN/SIGBED International Conference on Languages, Compilers, and Tools for Embedded Systems (LCTES), 26–39.</w:t>
      </w:r>
    </w:p>
    <w:p>
      <w:pPr>
        <w:spacing w:after="100"/>
      </w:pPr>
      <w:r>
        <w:rPr>
          <w:sz w:val="20"/>
          <w:szCs w:val="20"/>
        </w:rPr>
        <w:t xml:space="preserve">[46] Sridhar Gopinath, Nikhil Ghanathe, Vivek Seshadri, and Rahul Sharma. 2019. Compiling KB-Sized Machine Learning Models to Tiny IoT Devices. In Proceedings of the 40th ACM SIGPLAN Conference on Programming Language Design and Implementation (PLDI).</w:t>
      </w:r>
    </w:p>
    <w:p>
      <w:pPr>
        <w:spacing w:after="100"/>
      </w:pPr>
      <w:r>
        <w:rPr>
          <w:sz w:val="20"/>
          <w:szCs w:val="20"/>
        </w:rPr>
        <w:t xml:space="preserve">[47] Ji Lin, Chuang Gan, and Song Han. 2019. Defensive Quantization: When Efficiency Meets Robustness. In International Conference on Learning Representations (ICLR).</w:t>
      </w:r>
    </w:p>
    <w:p>
      <w:pPr>
        <w:spacing w:after="100"/>
      </w:pPr>
      <w:r>
        <w:rPr>
          <w:sz w:val="20"/>
          <w:szCs w:val="20"/>
        </w:rPr>
        <w:t xml:space="preserve">[48] Zhenpeng Chen, Huihan Yao, Yiling Lou, Yanbin Cao, Yuanqiang Liu, Haoyu Wang, and Xuanzhe Liu. 2021. An Empirical Study on Deployment Faults of Deep Learning Based Mobile Applications. In IEEE/ACM 43rd International Conference on Software Engineering (ICSE).</w:t>
      </w:r>
    </w:p>
    <w:p>
      <w:pPr>
        <w:spacing w:after="100"/>
      </w:pPr>
      <w:r>
        <w:rPr>
          <w:sz w:val="20"/>
          <w:szCs w:val="20"/>
        </w:rPr>
        <w:t xml:space="preserve">[49] Purvish Jajal, Wenxin Jiang, Arav Tewari, Erik Kocinare, Joseph Woo, Anusha Sarraf, Yung-Hsiang Lu, George K. Thiruvathukal, and James C. Davis. 2024. Interoperability in Deep Learning: A User Survey and Failure Analysis of ONNX Model Converters. In Proceedings of the 33rd ACM SIGSOFT International Symposium on Software Testing and Analysis (ISSTA). doi:10.1145/3650212.3680374.</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c06eec00a1912b95ed824f910b00384882d2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2026-10-06T16:09:02.754Z</dcterms:created>
  <dcterms:modified xsi:type="dcterms:W3CDTF">2026-10-06T16:09:02.754Z</dcterms:modified>
</cp:coreProperties>
</file>

<file path=docProps/custom.xml><?xml version="1.0" encoding="utf-8"?>
<Properties xmlns="http://schemas.openxmlformats.org/officeDocument/2006/custom-properties" xmlns:vt="http://schemas.openxmlformats.org/officeDocument/2006/docPropsVTypes"/>
</file>