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sbg0bzdag2v" w:id="0"/>
      <w:bookmarkEnd w:id="0"/>
      <w:r w:rsidDel="00000000" w:rsidR="00000000" w:rsidRPr="00000000">
        <w:rPr>
          <w:rtl w:val="0"/>
        </w:rPr>
        <w:t xml:space="preserve">GADAP_ERP_ROADMAP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fbn5do26s" w:id="1"/>
      <w:bookmarkEnd w:id="1"/>
      <w:r w:rsidDel="00000000" w:rsidR="00000000" w:rsidRPr="00000000">
        <w:rPr>
          <w:rtl w:val="0"/>
        </w:rPr>
        <w:t xml:space="preserve">Plano Estratégico de Engenharia, Lançamento e Evolução (12 a 24 Meses)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5uzz9iw9cyjn" w:id="2"/>
      <w:bookmarkEnd w:id="2"/>
      <w:r w:rsidDel="00000000" w:rsidR="00000000" w:rsidRPr="00000000">
        <w:rPr>
          <w:rtl w:val="0"/>
        </w:rPr>
        <w:t xml:space="preserve">Controle de Versão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DOC-GADAP_ERP_RDM-001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Operacional e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Estratégico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18 de fev.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 &amp; Board Executivo GADAP-ERP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Partes Interessadas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Founder, Engenharia, Consultoria Fiscal, Operações e Clientes Piloto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wfbgulyl9ywy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hyperlink w:anchor="objetivos-estratégicos">
        <w:r w:rsidDel="00000000" w:rsidR="00000000" w:rsidRPr="00000000">
          <w:rPr>
            <w:color w:val="1155cc"/>
            <w:u w:val="single"/>
            <w:rtl w:val="0"/>
          </w:rPr>
          <w:t xml:space="preserve">Objetivos Estratégicos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hyperlink w:anchor="visão-de-12-meses">
        <w:r w:rsidDel="00000000" w:rsidR="00000000" w:rsidRPr="00000000">
          <w:rPr>
            <w:color w:val="1155cc"/>
            <w:u w:val="single"/>
            <w:rtl w:val="0"/>
          </w:rPr>
          <w:t xml:space="preserve">Visão de 12 Meses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hyperlink w:anchor="plano-de-90-dias">
        <w:r w:rsidDel="00000000" w:rsidR="00000000" w:rsidRPr="00000000">
          <w:rPr>
            <w:color w:val="1155cc"/>
            <w:u w:val="single"/>
            <w:rtl w:val="0"/>
          </w:rPr>
          <w:t xml:space="preserve">Plano de 90 Dias (Foco MVP Operacional)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hyperlink w:anchor="roadmap-anual">
        <w:r w:rsidDel="00000000" w:rsidR="00000000" w:rsidRPr="00000000">
          <w:rPr>
            <w:color w:val="1155cc"/>
            <w:u w:val="single"/>
            <w:rtl w:val="0"/>
          </w:rPr>
          <w:t xml:space="preserve">Roadmap Anual (Fases 0 a 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hyperlink w:anchor="fase-0-fundação">
        <w:r w:rsidDel="00000000" w:rsidR="00000000" w:rsidRPr="00000000">
          <w:rPr>
            <w:color w:val="1155cc"/>
            <w:u w:val="single"/>
            <w:rtl w:val="0"/>
          </w:rPr>
          <w:t xml:space="preserve">Fase 0: Fundação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hyperlink w:anchor="fase-1-auth-companies-users-roles">
        <w:r w:rsidDel="00000000" w:rsidR="00000000" w:rsidRPr="00000000">
          <w:rPr>
            <w:color w:val="1155cc"/>
            <w:u w:val="single"/>
            <w:rtl w:val="0"/>
          </w:rPr>
          <w:t xml:space="preserve">Fase 1: Auth, Companies, Users, 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hyperlink w:anchor="fase-2-clients-suppliers-products-services">
        <w:r w:rsidDel="00000000" w:rsidR="00000000" w:rsidRPr="00000000">
          <w:rPr>
            <w:color w:val="1155cc"/>
            <w:u w:val="single"/>
            <w:rtl w:val="0"/>
          </w:rPr>
          <w:t xml:space="preserve">Fase 2: Clients, Suppliers, Products,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hyperlink w:anchor="fase-3-quotes-orders">
        <w:r w:rsidDel="00000000" w:rsidR="00000000" w:rsidRPr="00000000">
          <w:rPr>
            <w:color w:val="1155cc"/>
            <w:u w:val="single"/>
            <w:rtl w:val="0"/>
          </w:rPr>
          <w:t xml:space="preserve">Fase 3: Quotes,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hyperlink w:anchor="fase-4-projects-contracts-measurements">
        <w:r w:rsidDel="00000000" w:rsidR="00000000" w:rsidRPr="00000000">
          <w:rPr>
            <w:color w:val="1155cc"/>
            <w:u w:val="single"/>
            <w:rtl w:val="0"/>
          </w:rPr>
          <w:t xml:space="preserve">Fase 4: Projects, Contracts, Measurements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hyperlink w:anchor="fase-5-finance">
        <w:r w:rsidDel="00000000" w:rsidR="00000000" w:rsidRPr="00000000">
          <w:rPr>
            <w:color w:val="1155cc"/>
            <w:u w:val="single"/>
            <w:rtl w:val="0"/>
          </w:rPr>
          <w:t xml:space="preserve">Fase 5: 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hyperlink w:anchor="fase-6-tax-engine">
        <w:r w:rsidDel="00000000" w:rsidR="00000000" w:rsidRPr="00000000">
          <w:rPr>
            <w:color w:val="1155cc"/>
            <w:u w:val="single"/>
            <w:rtl w:val="0"/>
          </w:rPr>
          <w:t xml:space="preserve">Fase 6: Tax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hyperlink w:anchor="fase-7-nf-e">
        <w:r w:rsidDel="00000000" w:rsidR="00000000" w:rsidRPr="00000000">
          <w:rPr>
            <w:color w:val="1155cc"/>
            <w:u w:val="single"/>
            <w:rtl w:val="0"/>
          </w:rPr>
          <w:t xml:space="preserve">Fase 7: NF-e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hyperlink w:anchor="fase-8-operações-interestaduais">
        <w:r w:rsidDel="00000000" w:rsidR="00000000" w:rsidRPr="00000000">
          <w:rPr>
            <w:color w:val="1155cc"/>
            <w:u w:val="single"/>
            <w:rtl w:val="0"/>
          </w:rPr>
          <w:t xml:space="preserve">Fase 8: Operações Interestaduais (DIFAL / FCP)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hyperlink w:anchor="fase-9-nfs-e">
        <w:r w:rsidDel="00000000" w:rsidR="00000000" w:rsidRPr="00000000">
          <w:rPr>
            <w:color w:val="1155cc"/>
            <w:u w:val="single"/>
            <w:rtl w:val="0"/>
          </w:rPr>
          <w:t xml:space="preserve">Fase 9: NFS-e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hyperlink w:anchor="fase-10-tax-intelligence">
        <w:r w:rsidDel="00000000" w:rsidR="00000000" w:rsidRPr="00000000">
          <w:rPr>
            <w:color w:val="1155cc"/>
            <w:u w:val="single"/>
            <w:rtl w:val="0"/>
          </w:rPr>
          <w:t xml:space="preserve">Fase 10: Tax 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hyperlink w:anchor="fase-11-saas">
        <w:r w:rsidDel="00000000" w:rsidR="00000000" w:rsidRPr="00000000">
          <w:rPr>
            <w:color w:val="1155cc"/>
            <w:u w:val="single"/>
            <w:rtl w:val="0"/>
          </w:rPr>
          <w:t xml:space="preserve">Fase 11: SaaS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hyperlink w:anchor="fase-12-reforma-tributária">
        <w:r w:rsidDel="00000000" w:rsidR="00000000" w:rsidRPr="00000000">
          <w:rPr>
            <w:color w:val="1155cc"/>
            <w:u w:val="single"/>
            <w:rtl w:val="0"/>
          </w:rPr>
          <w:t xml:space="preserve">Fase 12: Reforma Tributária (IBS / CBS / 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hyperlink w:anchor="diretriz-de-escalonamento-financeiro-e-infraestrutura">
        <w:r w:rsidDel="00000000" w:rsidR="00000000" w:rsidRPr="00000000">
          <w:rPr>
            <w:color w:val="1155cc"/>
            <w:u w:val="single"/>
            <w:rtl w:val="0"/>
          </w:rPr>
          <w:t xml:space="preserve">Diretriz de Escalonamento Financeiro e Infraestrutura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hyperlink w:anchor="estratégia-1-módulo-por-dia">
        <w:r w:rsidDel="00000000" w:rsidR="00000000" w:rsidRPr="00000000">
          <w:rPr>
            <w:color w:val="1155cc"/>
            <w:u w:val="single"/>
            <w:rtl w:val="0"/>
          </w:rPr>
          <w:t xml:space="preserve">Estratégia "1 Módulo por Dia"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hyperlink w:anchor="estratégia-de-cliente-piloto">
        <w:r w:rsidDel="00000000" w:rsidR="00000000" w:rsidRPr="00000000">
          <w:rPr>
            <w:color w:val="1155cc"/>
            <w:u w:val="single"/>
            <w:rtl w:val="0"/>
          </w:rPr>
          <w:t xml:space="preserve">Estratégia de Cliente Piloto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hyperlink w:anchor="indicadores-de-sucesso">
        <w:r w:rsidDel="00000000" w:rsidR="00000000" w:rsidRPr="00000000">
          <w:rPr>
            <w:color w:val="1155cc"/>
            <w:u w:val="single"/>
            <w:rtl w:val="0"/>
          </w:rPr>
          <w:t xml:space="preserve">Indicadores de Sucesso (KPIs e OKRs)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hyperlink w:anchor="plano-de-evolução-para-24-meses">
        <w:r w:rsidDel="00000000" w:rsidR="00000000" w:rsidRPr="00000000">
          <w:rPr>
            <w:color w:val="1155cc"/>
            <w:u w:val="single"/>
            <w:rtl w:val="0"/>
          </w:rPr>
          <w:t xml:space="preserve">Plano de Evolução para 24 Meses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dji50uqharcb" w:id="4"/>
      <w:bookmarkEnd w:id="4"/>
      <w:r w:rsidDel="00000000" w:rsidR="00000000" w:rsidRPr="00000000">
        <w:rPr>
          <w:rtl w:val="0"/>
        </w:rPr>
        <w:t xml:space="preserve">Objetivos Estratégicos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Construção de um ERP Operacional-First:</w:t>
      </w:r>
      <w:r w:rsidDel="00000000" w:rsidR="00000000" w:rsidRPr="00000000">
        <w:rPr>
          <w:rtl w:val="0"/>
        </w:rPr>
        <w:t xml:space="preserve"> Posicionar o GADAP-ERP não como um simples software contábil/emissor de notas, mas como o sistema nervoso central do canteiro de obras, reformas e serviços técnicos no Brasil.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Harmonização Físico-Financeira e Fiscal:</w:t>
      </w:r>
      <w:r w:rsidDel="00000000" w:rsidR="00000000" w:rsidRPr="00000000">
        <w:rPr>
          <w:rtl w:val="0"/>
        </w:rPr>
        <w:t xml:space="preserve"> Estabelecer a cadeia inquebrável: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Orçamento com BDI ➔ Execução em Canteiro ➔ Medição Técnica Aprovada ➔ Liquidação Financeira (Pix/Boleto) ➔ Escrituração Fiscal Automática (NF-e/NFS-e)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Pioneirismo na Transição da Reforma Tributária:</w:t>
      </w:r>
      <w:r w:rsidDel="00000000" w:rsidR="00000000" w:rsidRPr="00000000">
        <w:rPr>
          <w:rtl w:val="0"/>
        </w:rPr>
        <w:t xml:space="preserve"> Liderar o mercado de software para a construção civil com motor híbrido dual preparado para a convivência entre o regime legado (ICMS, ISS, PIS/COFINS) e o novo modelo IVA Dual (IBS, CBS e Imposto Seletivo).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Excelência em Eficiência SaaS (Unit Economics):</w:t>
      </w:r>
      <w:r w:rsidDel="00000000" w:rsidR="00000000" w:rsidRPr="00000000">
        <w:rPr>
          <w:rtl w:val="0"/>
        </w:rPr>
        <w:t xml:space="preserve"> Operar com infraestrutura otimizada em custos (PostgreSQL com RLS, Render, Cloudflare R2 com egress zero), mantendo SLA superior a 99,9% e churn bruto inferior a 1,2% ao mês.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xa4g0pjcnz0b" w:id="5"/>
      <w:bookmarkEnd w:id="5"/>
      <w:r w:rsidDel="00000000" w:rsidR="00000000" w:rsidRPr="00000000">
        <w:rPr>
          <w:rtl w:val="0"/>
        </w:rPr>
        <w:t xml:space="preserve">Visão de 12 Meses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horizonte de 12 meses do GADAP-ERP estrutura-se em quatro marcos trimestrais (Q1 a Q4) que levam a solução do código zero à liderança no segmento piloto: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                        HORIZONTE ESTRATÉGICO DE 12 MESES                      │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├────────────────────┬────────────────────┬───────────────────┬────────────────────┤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Q1 (M1 - M3)       │ Q2 (M4 - M6)       │ Q3 (M7 - M9)      │ Q4 (M10 - M12)     │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FUNDAÇÃO &amp; MVP     │ MOTOR FISCAL V1    │ AUTOMAÇÃO INTELIG.│ SAAS &amp; REFORMA     │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├────────────────────┼────────────────────┼───────────────────┼────────────────────┤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• Fases 0 a 5      │ • Fases 6 a 9      │ • Fase 10         │ • Fases 11 e 12    │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• Core, Comercial, │ • Tax Engine, NF-e,│ • OCR de Comprov. │ • Billing SaaS,    │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Engenharia,      │   DIFAL/FCP e      │ • Monitor Legislaç│   Multi-Organizaç.,│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Financeiro       │   NFS-e Nacional   │ • Curva ABC Obras │   Regime IVA Dual  │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• 3 Clientes Piloto│ • Homologação Real │ • 15 Clientes P.  │ • Abertura Pública │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└────────────────────┴────────────────────┴───────────────────┴────────────────────┘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9mu7wj9thbb4" w:id="6"/>
      <w:bookmarkEnd w:id="6"/>
      <w:r w:rsidDel="00000000" w:rsidR="00000000" w:rsidRPr="00000000">
        <w:rPr>
          <w:rtl w:val="0"/>
        </w:rPr>
        <w:t xml:space="preserve">Plano 90 Dias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plano de 90 dias (Meses 1 a 3) tem como foco inegociável colocar o </w:t>
      </w:r>
      <w:r w:rsidDel="00000000" w:rsidR="00000000" w:rsidRPr="00000000">
        <w:rPr>
          <w:b w:val="1"/>
          <w:bCs w:val="1"/>
          <w:rtl w:val="0"/>
        </w:rPr>
        <w:t xml:space="preserve">MVP Operacional</w:t>
      </w:r>
      <w:r w:rsidDel="00000000" w:rsidR="00000000" w:rsidRPr="00000000">
        <w:rPr>
          <w:rtl w:val="0"/>
        </w:rPr>
        <w:t xml:space="preserve"> rodando dentro de obras reais: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                            PLANO DE 90 DIAS (MVP)                             │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├───────────────────┬──────────────────────────────────────────────────────────────┤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Mês 1 (Semanas 1-4)│ Setup Infraestrutura, Core Multi-Tenant e Comercial          │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            │ • Configuração CI/CD, Render, PostgreSQL RLS e Next.js/Tailwind│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            │ • Módulos: Auth, Companies, Users, Clients, Products, Services│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Mês 2 (Semanas 5-8)│ Orçamentação Técnica (BDI), Obras e Medições de Campo        │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            │ • Módulos: Quotes (com BDI), Orders, Projects, Schedules     │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            │ • Medições de Campo com upload de evidências no Cloudflare R2│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Mês 3 (Sem. 9-12) │ Fechamento Financeiro, Conciliação Pix e Piloto Inicial      │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                │ • Módulos: Accounts Receivable/Payable por Obra              │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                │ • Integração de cobrança via Pix Dinâmico e baixa automática │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            │ • Entrada em produção nos primeiros 3 canteiros de obra  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            │ • Disparo automatizado de alertas operacionais, cobranças Pix e DANFEs via WhatsApp (Evolution API).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└───────────────────┴──────────────────────────────────────────────────────────────┘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ju98t27kgsjf" w:id="7"/>
      <w:bookmarkEnd w:id="7"/>
      <w:r w:rsidDel="00000000" w:rsidR="00000000" w:rsidRPr="00000000">
        <w:rPr>
          <w:rtl w:val="0"/>
        </w:rPr>
        <w:t xml:space="preserve">Roadmap Anual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sz5q22g9k9aj" w:id="8"/>
      <w:bookmarkEnd w:id="8"/>
      <w:r w:rsidDel="00000000" w:rsidR="00000000" w:rsidRPr="00000000">
        <w:rPr>
          <w:rtl w:val="0"/>
        </w:rPr>
        <w:t xml:space="preserve">Fase 0: Fundação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Estabelecer a infraestrutura corporativa, repositórios, pipelines de CI/CD, padrões de código e governança arquitetural.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Configuração de monorepo/projetos .NET 8 (Modular Monolith) e Next.js 14+ (App Router); infraestrutura gerenciada no Render, scripts de migração PostgreSQL 16 com RLS forçado, buckets no Cloudflare R2 e WAF perimetral na Cloudflare.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Repositórios Git configurados, pipelines do GitHub 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  <w:t xml:space="preserve">), containers Docker otimizados (non-root) 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operacional.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Pipeline de deploy automatizado concluído em menos de 5 minutos com health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/healthz/live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/healthz/ready</w:t>
      </w:r>
      <w:r w:rsidDel="00000000" w:rsidR="00000000" w:rsidRPr="00000000">
        <w:rPr>
          <w:rtl w:val="0"/>
        </w:rPr>
        <w:t xml:space="preserve"> respondendo HTTP 200.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Latência de configuração de rede entre Render e banco de dados gerenciado. (Mitigação: Provisionar recursos na mesma região física).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5 dias úteis.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plldcv3lgu61" w:id="9"/>
      <w:bookmarkEnd w:id="9"/>
      <w:r w:rsidDel="00000000" w:rsidR="00000000" w:rsidRPr="00000000">
        <w:rPr>
          <w:rtl w:val="0"/>
        </w:rPr>
        <w:t xml:space="preserve">Fase 1: Auth, Companies, Users, Roles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Prover barreira de segurança, controle de acesso baseado em papéis (RBAC) e separação lógica multi-tenant rigorosa.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Autenticação via JWT (RS256) com refresh token rotativo; gestão de empresas filiais/tenants; convites por e-mail; perfis padrão (Admin, Engenheiro, Financeiro, Mestre de Obras) com permissões granulares; guarda segura de certificados digitais A1 criptografados em repouso (AES-GCM).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0.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Endpoints de autenticação, telas de perfil/empresa no Next.js com Shadcn UI, middleware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TenantResolver</w:t>
      </w:r>
      <w:r w:rsidDel="00000000" w:rsidR="00000000" w:rsidRPr="00000000">
        <w:rPr>
          <w:rtl w:val="0"/>
        </w:rPr>
        <w:t xml:space="preserve"> e interceptor EF Core injetando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LOCAL app.current_tenant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100% dos testes de injeção cross-tenant bloqueados pelo banco via RLS; login com MFA (TOTP) funcionando.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Descompasso de relógio ou expiração oculta de tokens em requisições concorrentes. (Mitigação: Implementar leeway de 60 segundos na validação JWT).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7 dias úteis.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2gwe9e4tci3n" w:id="10"/>
      <w:bookmarkEnd w:id="10"/>
      <w:r w:rsidDel="00000000" w:rsidR="00000000" w:rsidRPr="00000000">
        <w:rPr>
          <w:rtl w:val="0"/>
        </w:rPr>
        <w:t xml:space="preserve">Fase 2: Clients, Suppliers, Products, Services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Centralizar cadastros base e padronizar o catálogo de itens para canteiro civil e montagem de piscinas.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Cadastro de clientes/fornecedores com consulta e preenchimento automático por CNPJ (ReceitaWS/BrasilAPI) e CEP; catálogo de produtos com controle de NCM, unidade de medida e custo base; catálogo de serviços técnicos com codificação NBS e Lei Complementar 116/2003.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1.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CRUDs reativos com React Hook Form e Zod; tabelas com TanStack Table com paginação e busca no banco; endpoints RESTful documentados via OpenAPI.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Validação de CPF/CNPJ em tempo de digitação; consulta de CEP com preenchimento em menos de 800ms.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Instabilidade de APIs públicas terceiras de consulta cadastral. (Mitigação: Implementar camada de fallback com cache local).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5 dias úteis.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c9ztqdjvwb08" w:id="11"/>
      <w:bookmarkEnd w:id="11"/>
      <w:r w:rsidDel="00000000" w:rsidR="00000000" w:rsidRPr="00000000">
        <w:rPr>
          <w:rtl w:val="0"/>
        </w:rPr>
        <w:t xml:space="preserve">Fase 3: Quotes, Orders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Habilitar motor comercial robusto capaz de gerar orçamentos analíticos com BDI e convertê-los em pedidos de execução contratual.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Composição de orçamentos mistos (materiais + serviços civis); parametrização de taxa de BDI (</w:t>
      </w:r>
      <w:r w:rsidDel="00000000" w:rsidR="00000000" w:rsidRPr="00000000">
        <w:rPr>
          <w:i w:val="1"/>
          <w:iCs w:val="1"/>
          <w:rtl w:val="0"/>
        </w:rPr>
        <w:t xml:space="preserve">Benefícios e Despesas Indiretas</w:t>
      </w:r>
      <w:r w:rsidDel="00000000" w:rsidR="00000000" w:rsidRPr="00000000">
        <w:rPr>
          <w:rtl w:val="0"/>
        </w:rPr>
        <w:t xml:space="preserve">) e margem de lucro; emissão de proposta técnica executiva em PDF; conversão automática de proposta aprovada em Pedido de Venda/Ordem de Serviço com bloqueio de edição.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2.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Motor de cálculo de BDI no backend (.NET 8); tela de orçamentação dinâmica no Next.js; disparador de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OrcamentoAprovadoEvent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Cálculos monetários e percentuais exatos (precisão de 4 casas decimais); layout do PDF gerado em conformidade com o padrão institucional GADAP-ERP.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Distorção de centavos por arredondamento em propostas com dezenas de itens. (Mitigação: Empregar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e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MidpointRounding.ToEven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8 dias úteis.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5pg27x95nywv" w:id="12"/>
      <w:bookmarkEnd w:id="12"/>
      <w:r w:rsidDel="00000000" w:rsidR="00000000" w:rsidRPr="00000000">
        <w:rPr>
          <w:rtl w:val="0"/>
        </w:rPr>
        <w:t xml:space="preserve">Fase 4: Projects, Contracts, Measurements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Operacionalizar a execução em canteiro, acompanhamento de contratos, cronogramas físico-financeiros e medições de campo.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Cadastro de obras com coordenadas geográficas do canteiro; cronograma por fases/etapas/subetapas com curva de avanço; diário de obra com registro climático e fotos; módulo de medição com validação de saldo físico acumulado e geração de boletim com assinatura do fiscal.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3.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Interface mobile-first para engenheiro no canteiro; upload direto de imagens para Cloudflare R2 via Presigned URLs; evento assíncrono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MedicaoAprovadaEvent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Impossibilidade matemática de medir mais de 100% de um item sem aditivo contratual registrado; fotos de evidência comprimidas e salvas em menos de 3 segundos.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Canteiros com conexão 3G/4G instável falharem no envio de relatórios extensos. (Mitigação: Cache local no frontend com fila de retentativas automáticas via TanStack Query).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10 dias úteis.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udqycpug386w" w:id="13"/>
      <w:bookmarkEnd w:id="13"/>
      <w:r w:rsidDel="00000000" w:rsidR="00000000" w:rsidRPr="00000000">
        <w:rPr>
          <w:rtl w:val="0"/>
        </w:rPr>
        <w:t xml:space="preserve">Fase 5: Finance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Estabelecer a gestão financeira de liquidez, liquidação automática e apropriação exata de custos por obra.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Contas a Receber gerado diretamente de medições aprovadas; Contas a Pagar vinculado a compras de materiais e subempreiteiros; cobrança instantânea via Pix Dinâmico e boleto; conciliação bancária por extratos OFX; centros de custo hierárquicos e projeção analítica de fluxo de caixa.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4.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Módulo financeiro completo no backend e frontend; webhook de retorno de liquidação Pix com baixa em tempo real; relatório DRE gerencial por obra; disparo imediato de cobrança com Pix Copia-e-Cola e Boleto PDF via WhatsApp utilizando Evolution API.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Baixa financeira automática refletida em menos de 3 segundos após callback de liquidação; nenhum lançamento permitido sem centro de custo vinculado.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Divergências entre valores de títulos e retenções de medição. (Mitigação: Validação atômica de integridade referencial entre medição e contas a receber).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8 dias úteis.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ac3wpycrlx2p" w:id="14"/>
      <w:bookmarkEnd w:id="14"/>
      <w:r w:rsidDel="00000000" w:rsidR="00000000" w:rsidRPr="00000000">
        <w:rPr>
          <w:rtl w:val="0"/>
        </w:rPr>
        <w:t xml:space="preserve">Fase 6: Tax Engine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Desenvolver o motor tributário desacoplado, 100% determinístico e auditável, eliminando hardcode de alíquotas na aplicação.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Matriz de parametrização tributária cruzando CNAE, NCM/NBS, CFOP, regimes tributários (Simples Nacional, Lucro Presumido, Lucro Real) e regras de retenção na fonte (ISS, INSS, IRRF, PIS/COFINS/CSLL); validador de consistência fiscal local (</w:t>
      </w:r>
      <w:r w:rsidDel="00000000" w:rsidR="00000000" w:rsidRPr="00000000">
        <w:rPr>
          <w:i w:val="1"/>
          <w:iCs w:val="1"/>
          <w:rtl w:val="0"/>
        </w:rPr>
        <w:t xml:space="preserve">Pre-flight check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5.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Biblioteca de classes desacoplada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GADAP-ERP.TaxEngine</w:t>
      </w:r>
      <w:r w:rsidDel="00000000" w:rsidR="00000000" w:rsidRPr="00000000">
        <w:rPr>
          <w:rtl w:val="0"/>
        </w:rPr>
        <w:t xml:space="preserve">; endpoints para simulação tributária em tempo real; suite com mais de 100 testes unitários cobrindo cenários tributários complexos da construção civil.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100% de determinismo matemático; tempo de cálculo de impostos inferior a 15ms por item.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Variações de jurisprudência em retenções de ISS da construção civil. (Mitigação: Parametrização dinâmica por município de prestação).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10 dias úteis.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7au5ks1xiljn" w:id="15"/>
      <w:bookmarkEnd w:id="15"/>
      <w:r w:rsidDel="00000000" w:rsidR="00000000" w:rsidRPr="00000000">
        <w:rPr>
          <w:rtl w:val="0"/>
        </w:rPr>
        <w:t xml:space="preserve">Fase 7: NF-e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Emitir, autorizar, cancelar e arquivar Notas Fiscais Eletrônicas de mercadorias (Modelo 55) para insumos, tanques de piscinas, filtros e equipamentos.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Geração de XML conforme manual SEFAZ mais recente; assinatura digital via Certificado A1; transmissão e recepção de lote via Web Services da SEFAZ; geração e impressão de DANFE em PDF; armazenamento seguro de XMLs autorizados no Cloudflare R2 por 5 anos.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6.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Motor de mensageria SEFAZ com controle de contingência (SCAN/SVC); visualizador de DANFE no frontend; disparo automático de XML e PDF por e-mail para o cliente; disparo automático e assíncrono do XML e PDF da nota via WhatsApp (Evolution API) ao destinatário após autorização.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Rejeição na primeira transmissão inferior a 0,5%; XML assinado gravado no R2 com chave de acesso indexada.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Instabilidade e quedas intermitentes nos servidores da SEFAZ estadual. (Mitigação: Implementação de contingência automática e fila de retentativas exponenciais).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10 dias úteis.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rxj4ayz4dzmh" w:id="16"/>
      <w:bookmarkEnd w:id="16"/>
      <w:r w:rsidDel="00000000" w:rsidR="00000000" w:rsidRPr="00000000">
        <w:rPr>
          <w:rtl w:val="0"/>
        </w:rPr>
        <w:t xml:space="preserve">Fase 8: Operações Interestaduais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Blindar empresas que fornecem kits de piscinas e materiais técnicos para clientes em outros estados contra autuações fiscais em trânsito.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Cálculo automatizado de partilha de DIFAL (Diferencial de Alíquota) conforme EC 87/2015 e Lei Complementar 190/2022; aplicação de alíquotas do Fundo de Combate à Pobreza (FCP) específicas de cada estado de destino; parametrização de substituição tributária (ICMS-ST) em materiais de construção civil.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7.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Extensão do motor de cálculo com suporte a tabelas interestaduais de alíquotas; geração de guias GNRE quando aplicável; emissão de NF-e com tags interestaduais validadas.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Conformidade matemática em 100% das notas emitidas contra bases interestaduais homologadas.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Constantes atualizações nas alíquotas estaduais de FCP e regimes de ST. (Mitigação: Rotina de atualização semanal de tabelas federativas).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6 dias úteis.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pn78ixku56lp" w:id="17"/>
      <w:bookmarkEnd w:id="17"/>
      <w:r w:rsidDel="00000000" w:rsidR="00000000" w:rsidRPr="00000000">
        <w:rPr>
          <w:rtl w:val="0"/>
        </w:rPr>
        <w:t xml:space="preserve">Fase 9: NFS-e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Viabilizar a emissão automatizada de Notas Fiscais de Serviços Eletrônicas para medições de engenharia civil, reformas e serviços técnicos.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Integração com o Padrão Nacional de NFS-e (Receita Federal) e desenvolvimento de conectores especializados para as prefeituras dos clientes piloto (São Paulo, Campinas, Baixada Santista e capitais estratégicas); controle estrito do local de incidência do ISS (no local da obra vs município sede da empresa).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 6.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Conectores de prefeitura pluggáveis; emissão de NFS-e vinculada diretamente ao clique de aprovação de medição de campo; download de XML e espelho em PDF.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Envio e autorização da NFS-e concluídos em até 10 segundos nos municípios suportados; segregação correta de retenção na fonte.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Heterogeneidade de layouts e instabilidade frequente de web services de prefeituras municipais. (Mitigação: Priorização do layout da NFS-e Nacional e filas assíncronas com tratamento de fila de espera).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12 dias úteis.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hv2fxtkwxk68" w:id="18"/>
      <w:bookmarkEnd w:id="18"/>
      <w:r w:rsidDel="00000000" w:rsidR="00000000" w:rsidRPr="00000000">
        <w:rPr>
          <w:rtl w:val="0"/>
        </w:rPr>
        <w:t xml:space="preserve">Fase 10: Tax Intelligence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Reduzir trabalho manual e alimentar o ERP com leitura inteligente de comprovantes e vigilância legal contínua.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Pipeline de OCR e parser estruturado para leitura de notas fiscais de entrada (PDF e XML) com preenchimento automático no Contas a Pagar e estoque; módulo crawler </w:t>
      </w:r>
      <w:r w:rsidDel="00000000" w:rsidR="00000000" w:rsidRPr="00000000">
        <w:rPr>
          <w:i w:val="1"/>
          <w:iCs w:val="1"/>
          <w:rtl w:val="0"/>
        </w:rPr>
        <w:t xml:space="preserve">Legislation Monitor</w:t>
      </w:r>
      <w:r w:rsidDel="00000000" w:rsidR="00000000" w:rsidRPr="00000000">
        <w:rPr>
          <w:rtl w:val="0"/>
        </w:rPr>
        <w:t xml:space="preserve"> para monitoramento de alterações municipais de ISS e federais da Reforma Tributária; categorização preditiva de despesas de obra.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Fases 5, 7 e 9.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Interface de upload de notas de compra com drag-and-drop; tela de conciliação preditiva com marcação de nível de confiança da IA; painel de alertas legislativos fiscais.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Extração de campos essenciais de notas fiscais de compras concluída em menos de 8 segundos com acurácia superior a 92%; nenhum cálculo financeiro dependente de probabilidade de LLM.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Alucinação de dados em imagens ou comprovantes amassados/ilegíveis. (Mitigação: Exigência obrigatória de conferência visual humana para índices de confiança inferiores a 90%).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10 dias úteis.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5vwtjt5yyn16" w:id="19"/>
      <w:bookmarkEnd w:id="19"/>
      <w:r w:rsidDel="00000000" w:rsidR="00000000" w:rsidRPr="00000000">
        <w:rPr>
          <w:rtl w:val="0"/>
        </w:rPr>
        <w:t xml:space="preserve">Fase 11: SaaS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a solução em plataforma SaaS comercial escalável, self-service e pronta para aquisição massiva de clientes.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Gateway de assinaturas e faturamento recorrente do software (Stripe ou Iugu); controle de planos e limites (número de obras ativas, usuários, armazenamento R2); onboarding guiado (</w:t>
      </w:r>
      <w:r w:rsidDel="00000000" w:rsidR="00000000" w:rsidRPr="00000000">
        <w:rPr>
          <w:i w:val="1"/>
          <w:iCs w:val="1"/>
          <w:rtl w:val="0"/>
        </w:rPr>
        <w:t xml:space="preserve">wizard</w:t>
      </w:r>
      <w:r w:rsidDel="00000000" w:rsidR="00000000" w:rsidRPr="00000000">
        <w:rPr>
          <w:rtl w:val="0"/>
        </w:rPr>
        <w:t xml:space="preserve">) com passo a passo para configuração de certificado A1 e alíquotas; suporte a grupos empresariais e multi-organizações.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Fases 1 a 10.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Portal de autoatendimento de assinatura e upgrade de plano; dashboard de métricas de produto (MRR, Churn, LTV, CAC); fluxo de trial de 14 dias com dados demonstrativos.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Onboarding de um novo tenant completo (do cadastro à emissão teste homologada) em menos de 45 minutos.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Fricção no processo de configuração de certificado digital A1 por usuários leigos. (Mitigação: Validador em tempo real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.pfx</w:t>
      </w:r>
      <w:r w:rsidDel="00000000" w:rsidR="00000000" w:rsidRPr="00000000">
        <w:rPr>
          <w:rtl w:val="0"/>
        </w:rPr>
        <w:t xml:space="preserve"> com diagnóstico visual claro de erro).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10 dias úteis.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8p8fkufuikxj" w:id="20"/>
      <w:bookmarkEnd w:id="20"/>
      <w:r w:rsidDel="00000000" w:rsidR="00000000" w:rsidRPr="00000000">
        <w:rPr>
          <w:rtl w:val="0"/>
        </w:rPr>
        <w:t xml:space="preserve">Fase 12: Reforma Tributária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Blindar as operações dos clientes no período de transição da Emenda Constitucional 132/2023, operando em regime de convivência IVA Dual.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Parametrização e apuração simultânea do regime legado (PIS/COFINS/ICMS/ISS) e do novo modelo (CBS federal, IBS estadual/municipal e Imposto Seletivo); motor de compensação e rastreamento de créditos tributários financeiros sobre aquisições de insumos de obra; adequação aos regimes específicos de tributação imobiliária e construção civil.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Dependências:</w:t>
      </w:r>
      <w:r w:rsidDel="00000000" w:rsidR="00000000" w:rsidRPr="00000000">
        <w:rPr>
          <w:rtl w:val="0"/>
        </w:rPr>
        <w:t xml:space="preserve"> Fases 6, 7 e 9.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Entregáveis:</w:t>
      </w:r>
      <w:r w:rsidDel="00000000" w:rsidR="00000000" w:rsidRPr="00000000">
        <w:rPr>
          <w:rtl w:val="0"/>
        </w:rPr>
        <w:t xml:space="preserve"> Módulo de cálculo dual; relatórios de projeção de impacto tributário na margem da obra; emissão de documentos fiscais adaptados aos novos layouts da Receita Federal.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Aceite:</w:t>
      </w:r>
      <w:r w:rsidDel="00000000" w:rsidR="00000000" w:rsidRPr="00000000">
        <w:rPr>
          <w:rtl w:val="0"/>
        </w:rPr>
        <w:t xml:space="preserve"> 0% de autuação por divergência de créditos acumulados no período de teste oficial; cálculo automático do IBS baseado no local georreferenciado da obra.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Atrasos ou alterações na regulamentação complementar da Reforma por parte do Congresso e Comitê Gestor. (Mitigação: Arquitetura de regras fiscais orientada a dados em matrizes dinâmicas, sem acoplamento a código fixo).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Estimativa:</w:t>
      </w:r>
      <w:r w:rsidDel="00000000" w:rsidR="00000000" w:rsidRPr="00000000">
        <w:rPr>
          <w:rtl w:val="0"/>
        </w:rPr>
        <w:t xml:space="preserve"> 15 dias úteis.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wlqbbl15rgnr" w:id="21"/>
      <w:bookmarkEnd w:id="21"/>
      <w:r w:rsidDel="00000000" w:rsidR="00000000" w:rsidRPr="00000000">
        <w:rPr>
          <w:rtl w:val="0"/>
        </w:rPr>
        <w:t xml:space="preserve">Diretriz de Escalonamento Financeiro e Infraestrutura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GADAP-ERP utilizará infraestrutura gratuita até a validação comercial.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Toda evolução tecnológica deverá ser guiada por receita.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Receita antecede complexidade.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Receita antecede infraestrutura.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Receita antecede escala.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3qjcnal4cdo3" w:id="22"/>
      <w:bookmarkEnd w:id="22"/>
      <w:r w:rsidDel="00000000" w:rsidR="00000000" w:rsidRPr="00000000">
        <w:rPr>
          <w:rtl w:val="0"/>
        </w:rPr>
        <w:t xml:space="preserve">Estratégia 1 Módulo por Dia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Para sustentar a entrega acelerada sem comprometer a estabilidade do sistema, a equipe técnica executará o modelo de </w:t>
      </w:r>
      <w:r w:rsidDel="00000000" w:rsidR="00000000" w:rsidRPr="00000000">
        <w:rPr>
          <w:b w:val="1"/>
          <w:bCs w:val="1"/>
          <w:rtl w:val="0"/>
        </w:rPr>
        <w:t xml:space="preserve">Desenvolvimento Atômico em 4 Blocos</w:t>
      </w:r>
      <w:r w:rsidDel="00000000" w:rsidR="00000000" w:rsidRPr="00000000">
        <w:rPr>
          <w:rtl w:val="0"/>
        </w:rPr>
        <w:t xml:space="preserve">, conforme preconizado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GADAP_ERP_AI_PLAYBOOK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            METODOLOGIA OPERACIONAL: 1 MÓDULO POR DIA                      │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├───────────────────┬──────────────────────────────────────────────────────────────┤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Bloco 1 (Manhã 1) │ Modelagem de Domínio &amp; Banco de Dados (2h)                   │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                │ • Definição de Entidades DDD e Migrations EF Core            │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            │ • Criação de tabelas PostgreSQL com RLS forçado e índices    │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Bloco 2 (Manhã 2) │ Backend, Validações &amp; Regras de Negócio (2h)                 │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            │ • Implementação de regras de negócio em C# / .NET 8          │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                │ • Validadores FluentValidation e endpoints RESTful/RFC 7807  │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Bloco 3 (Tarde 1) │ Frontend Reativo &amp; Experiência de Canteiro (2h)              │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            │ • Schemas Zod espelhados e formulários em React Hook Form    │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               │ • Componentes Shadcn UI e integração de cache TanStack Query │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Bloco 4 (Tarde 2) │ Testes Automatizados, Auditoria &amp; CI/CD Release (2h)         │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                │ • Suite xUnit (happy path + cross-tenant leak prevention)     │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                │ • Execução do checklist de qualidade e merge na branch main  │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└───────────────────┴──────────────────────────────────────────────────────────────┘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Suporte à 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Estritamente Focado:</w:t>
      </w:r>
      <w:r w:rsidDel="00000000" w:rsidR="00000000" w:rsidRPr="00000000">
        <w:rPr>
          <w:rtl w:val="0"/>
        </w:rPr>
        <w:t xml:space="preserve"> Se um módulo for extenso (ex: Módulo Fiscal), ele é decomposto em entregáveis diários atômicos (Dia 1: Regras do Simples; Dia 2: Retenções; Dia 3: Assinatura XML; Dia 4: Transmissão).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Disciplinado da IA (Gemini):</w:t>
      </w:r>
      <w:r w:rsidDel="00000000" w:rsidR="00000000" w:rsidRPr="00000000">
        <w:rPr>
          <w:rtl w:val="0"/>
        </w:rPr>
        <w:t xml:space="preserve"> Disparo exclusivo dos prompts prontos do Playbook com a diretriz mandatória de geração de código 100% completo, sem placeholders.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Imutabilidade de Arquitetura:</w:t>
      </w:r>
      <w:r w:rsidDel="00000000" w:rsidR="00000000" w:rsidRPr="00000000">
        <w:rPr>
          <w:rtl w:val="0"/>
        </w:rPr>
        <w:t xml:space="preserve"> Nenhuma dependência externa nova pode ser adicionada sem abertura prévia de um registro de decisão arquitetural (ADR).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rPr/>
      </w:pPr>
      <w:bookmarkStart w:colFirst="0" w:colLast="0" w:name="_hqb1q2w1oze" w:id="23"/>
      <w:bookmarkEnd w:id="23"/>
      <w:r w:rsidDel="00000000" w:rsidR="00000000" w:rsidRPr="00000000">
        <w:rPr>
          <w:rtl w:val="0"/>
        </w:rPr>
        <w:t xml:space="preserve">Estratégia Cliente Piloto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 programa de Clientes Piloto do GADAP-ERP tem como meta colocar a plataforma para operar sob estresse real desde as primeiras fases do produto.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                  CRONOGRAMA DO PROGRAMA CLIENTE PILOTO                        │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├───────────────────┬──────────────────────────────────────────────────────────────┤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Fase Alpha        │ 3 Clientes Selecionados (Canteiro Civil, Reforma e Piscinas) │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(Meses 2 e 3)     │ • Foco: Usabilidade do canteiro, medições e aprovação Pix    │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                │ • Acompanhamento presencial semanal pelo time de produto     │</w:t>
      </w:r>
    </w:p>
    <w:p w:rsidR="00000000" w:rsidDel="00000000" w:rsidP="00000000" w:rsidRDefault="00000000" w:rsidRPr="00000000" w14:paraId="000001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Fase Beta         │ Expansão para 10 a 15 Empresas Técnicas Parceiras            │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(Meses 4 a 6)     │ • Foco: Emissão fiscal real (NF-e/NFS-e) e conciliação total │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                │ • Suporte técnico dedicado via canal direto prioritário      │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├───────────────────┼──────────────────────────────────────────────────────────────┤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Fase Scale        │ Abertura Controlada (50 tenants) e Transição para SaaS Pago  │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(Meses 7 a 9)     │ • Foco: Onboarding self-service e validação de Unit Economics│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                │ • Conversão dos pilotos em clientes pagantes fundadores      │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└───────────────────┴──────────────────────────────────────────────────────────────┘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 para os Clientes Piloto: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Mensalidade 100% gratuita durante todo o ciclo piloto.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Condição de "Cliente Fundador" com desconto vitalício de 40% na transição comercial.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Prioridade direta no roadmap de customizações técnicas e operacionais.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Obrigações dos Clientes Piloto: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Utilização obrigatória da plataforma em ao menos 2 obras ativas no mês.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Participação em sessões quinzenais de feedback e validação de UX.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Autorização para auditoria anônima de métricas de tempo de medição e faturamento.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qqkuejfws7ux" w:id="24"/>
      <w:bookmarkEnd w:id="24"/>
      <w:r w:rsidDel="00000000" w:rsidR="00000000" w:rsidRPr="00000000">
        <w:rPr>
          <w:rtl w:val="0"/>
        </w:rPr>
        <w:t xml:space="preserve">Indicadores de Sucesso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 progresso do roadmap anual será avaliado segundo OKRs e KPIs corporativos: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(KPI)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em 3 Meses (MVP)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em 6 Meses (Fiscal)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em 12 Meses (SaaS)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Tenants Ativos Operando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empresas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empresas piloto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clientes pagantes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Tempo de Ciclo: Medição ➔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 minutos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minutos (automatizado)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Rejeição de Notas Fiscais na SEFAZ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0,2%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de Disponibilidade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99,0%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99,9%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Onboarding de Novo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Apoiado (2h)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Semi-guiado (1h)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Self-service (&lt; 30 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Promoter Score (NPS)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MRR Churn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 (Piloto)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1,0%</w:t>
            </w:r>
          </w:p>
        </w:tc>
      </w:tr>
    </w:tbl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/>
      </w:pPr>
      <w:bookmarkStart w:colFirst="0" w:colLast="0" w:name="_at06mj5j9sn9" w:id="25"/>
      <w:bookmarkEnd w:id="25"/>
      <w:r w:rsidDel="00000000" w:rsidR="00000000" w:rsidRPr="00000000">
        <w:rPr>
          <w:rtl w:val="0"/>
        </w:rPr>
        <w:t xml:space="preserve">Plano de Evolução para 24 Meses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Após a consolidação dos primeiros 12 meses, o GADAP-ERP executará seu plano de expansão estrutural para o segundo ano (Meses 13 a 24):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                        VISÃO DE FUTURO: MESES 13 A 24                         │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├────────────────────────────┬─────────────────────────────────────────────────────┤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Q5 - Q6 (Meses 13 a 18)    │ Escala de Infraestrutura &amp; Operação Offline         │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                         │ • Introdução do Redis para cache de regras fiscais  │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                     │ • Adoção de RabbitMQ para mensageria assíncrona     │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                     │ • App Mobile Nativo (PWA / Offline-First completo)  │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                         │ • Integração oficial com bases SINAPI / SICRO       │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├────────────────────────────┼─────────────────────────────────────────────────────┤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Q7 - Q8 (Meses 19 a 24)    │ Ecossistema Financeiro, FinTech &amp; Hiperescala       │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                         │ • GADAP-ERP Pay: Conta Digital PJ e antecipação de      │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                         │   recebíveis de medições de contratos de obra       │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                       │ • Marketplace de insumos com cotação automatizada   │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                         │ • Suporte consolidado ao encerramento do ICMS/ISS e │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                         │   plena vigência operacional do IVA Dual (IBS/CBS)  │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└────────────────────────────┴─────────────────────────────────────────────────────┘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5muo8ajeva0x" w:id="26"/>
      <w:bookmarkEnd w:id="26"/>
      <w:r w:rsidDel="00000000" w:rsidR="00000000" w:rsidRPr="00000000">
        <w:rPr>
          <w:rtl w:val="0"/>
        </w:rPr>
        <w:t xml:space="preserve">Histórico de Alterações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 1.2.0</w:t>
      </w:r>
      <w:r w:rsidDel="00000000" w:rsidR="00000000" w:rsidRPr="00000000">
        <w:rPr>
          <w:rtl w:val="0"/>
        </w:rPr>
        <w:t xml:space="preserve"> | Data </w:t>
      </w:r>
      <w:r w:rsidDel="00000000" w:rsidR="00000000" w:rsidRPr="00000000">
        <w:rPr>
          <w:rtl w:val="0"/>
        </w:rPr>
        <w:t xml:space="preserve">2026-10-24</w:t>
      </w:r>
      <w:r w:rsidDel="00000000" w:rsidR="00000000" w:rsidRPr="00000000">
        <w:rPr>
          <w:rtl w:val="0"/>
        </w:rPr>
        <w:t xml:space="preserve"> | Resumo: Inclusão da integração transversal da Evolution API (WhatsApp).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homologado pelo Comitê Executivo e de Engenharia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/>
      </w:pPr>
      <w:bookmarkStart w:colFirst="0" w:colLast="0" w:name="_fndddougttbs" w:id="27"/>
      <w:bookmarkEnd w:id="27"/>
      <w:r w:rsidDel="00000000" w:rsidR="00000000" w:rsidRPr="00000000">
        <w:rPr>
          <w:rtl w:val="0"/>
        </w:rPr>
        <w:t xml:space="preserve">Estratégia de Certificados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 GADAP-ERP não será proprietário de certificados digitais.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Os certificados pertencem ao cliente.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 GADAP-ERP deverá apenas fornecer mecanismos seguros para utilização desses certificados quando necessário.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O GADAP-ERP não será responsável por: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renovação</w:t>
      </w:r>
    </w:p>
    <w:p w:rsidR="00000000" w:rsidDel="00000000" w:rsidP="00000000" w:rsidRDefault="00000000" w:rsidRPr="00000000" w14:paraId="000001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emissão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guarda legal obrigatória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