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roh2xb63i93" w:id="0"/>
      <w:bookmarkEnd w:id="0"/>
      <w:r w:rsidDel="00000000" w:rsidR="00000000" w:rsidRPr="00000000">
        <w:rPr>
          <w:rtl w:val="0"/>
        </w:rPr>
        <w:t xml:space="preserve">GADAP_ERP_TECHNICAL_ARCHITECTURE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eodwwign3g3" w:id="1"/>
      <w:bookmarkEnd w:id="1"/>
      <w:r w:rsidDel="00000000" w:rsidR="00000000" w:rsidRPr="00000000">
        <w:rPr>
          <w:rtl w:val="0"/>
        </w:rPr>
        <w:t xml:space="preserve">Especificação Técnica Oficial de Arquitetura de Software e Infraestrutura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d8tmohilc85" w:id="2"/>
      <w:bookmarkEnd w:id="2"/>
      <w:r w:rsidDel="00000000" w:rsidR="00000000" w:rsidRPr="00000000">
        <w:rPr>
          <w:rtl w:val="0"/>
        </w:rPr>
        <w:t xml:space="preserve">Versionamento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DOC-GADAP-ERP-ARCH-001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de Engenharia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Engenharia Interna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Arquiteto-Chefe &amp; CTO GADAP-ERP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Engenharia, DevOps, Segurança e Contribuintes de Código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qv4f4d48ewp7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Objetivos Arquiteturais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Arquitetura Lógica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Arquitetura Física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Banco de Dados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Multi-Tenant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Observabilidade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Monitoramento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Estratégia de Deploy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Cloudflare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Escalabilidade (v1, v2, v3)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ADRs (Architecture Decision Records)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ADR-001: Multi-Tenant com RLS no PostgreSQL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ADR-002: Modular Monolith em .NET 8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ADR-003: PostgreSQL como Banco Primário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ADR-004: Cloudflare e Cloudflare R2 como Edge e Storage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ADR-005: Tax Engine Determinístico Desacoplado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Roadmap Técnico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a4ti2qei03zo" w:id="4"/>
      <w:bookmarkEnd w:id="4"/>
      <w:r w:rsidDel="00000000" w:rsidR="00000000" w:rsidRPr="00000000">
        <w:rPr>
          <w:rtl w:val="0"/>
        </w:rPr>
        <w:t xml:space="preserve">1. Objetivos Arquiteturais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Confiabilidade Fiscal e Contábil:</w:t>
      </w:r>
      <w:r w:rsidDel="00000000" w:rsidR="00000000" w:rsidRPr="00000000">
        <w:rPr>
          <w:rtl w:val="0"/>
        </w:rPr>
        <w:t xml:space="preserve"> Garantia de integridade matemática e determinismo em 100% das emissões e apurações fiscais (NF-e, NFS-e e Reforma Tributária).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Multi-Tenant Estrito:</w:t>
      </w:r>
      <w:r w:rsidDel="00000000" w:rsidR="00000000" w:rsidRPr="00000000">
        <w:rPr>
          <w:rtl w:val="0"/>
        </w:rPr>
        <w:t xml:space="preserve"> Impossibilidade de vazamento de dados entre empresas clientes sob qualquer falha na camada de aplicação.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em Canteiro de Obras:</w:t>
      </w:r>
      <w:r w:rsidDel="00000000" w:rsidR="00000000" w:rsidRPr="00000000">
        <w:rPr>
          <w:rtl w:val="0"/>
        </w:rPr>
        <w:t xml:space="preserve"> Interfaces web ultra-responsivas, leves, com estratégias de cache resilientes para ambientes com conexões instáveis.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Baixo Custo de Entrada com Alta Escalabilidade:</w:t>
      </w:r>
      <w:r w:rsidDel="00000000" w:rsidR="00000000" w:rsidRPr="00000000">
        <w:rPr>
          <w:rtl w:val="0"/>
        </w:rPr>
        <w:t xml:space="preserve"> Operação lean e enxuta na v1 (Render + Cloudflare R2 + PostgreSQL gerenciado), com caminho de expansão transparente para RabbitMQ e Redis conforme tração de mercado.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Manutenibilidade e Testabilidade:</w:t>
      </w:r>
      <w:r w:rsidDel="00000000" w:rsidR="00000000" w:rsidRPr="00000000">
        <w:rPr>
          <w:rtl w:val="0"/>
        </w:rPr>
        <w:t xml:space="preserve"> Separação limpa de domínios (Modular Monolith) com cobertura de testes unitários e de integração em todos os fluxos fiscais e financeiros.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 da Responsabilidade Compartilhada e Limitação Fiscal: </w:t>
      </w:r>
      <w:r w:rsidDel="00000000" w:rsidR="00000000" w:rsidRPr="00000000">
        <w:rPr>
          <w:rtl w:val="0"/>
        </w:rPr>
        <w:t xml:space="preserve">O GADAP-ERP opera estritamente como ferramenta tecnológica de apoio operacional, fornecendo infraestrutura de software para cálculo determinístico, automação de processos, emissão assistida e organização documental, sob o modelo de Responsabilidade Compartilhada: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a) Escopo e Obrigações do GADAP-ERP: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Fornecer os mecanismos algorítmicos e funcionais para a geração e transmissão de arquivos eletrônicos (XML, DANFE, relatórios gerenciais e exportações contábeis), processados com base unicamente nos parâmetros cadastrais e fiscais imputados pelo Contratante.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Disponibilizar armazenamento em nuvem dos documentos fiscais eletrônicos devidamente autorizados durante a vigência do contrato de prestação de serviços SaaS.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b) Responsabilidade Exclusiva do Contratante (Cliente):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Titularidade, aquisição, guarda, custódia e renovação tempestiva do respectivo Certificado Digital (e-CNPJ A1), mantendo o GADAP-ERP isento de qualquer responsabilidade por expiração, revogação ou mau uso das chaves criptográficas.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Regularidade de credenciamentos, inscrições municipais/estaduais, regimes especiais e autorizações prévias perante a SEFAZ e administrações tributárias municipais.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Veracidade, exatidão e completude de todas as informações fáticas e econômicas inseridas no sistema (dados de clientes, valores, quantitativos e descrições de obra).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c) Responsabilidade Técnica Exclusiva do Contador / Consultor Tributário: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Definição, parametrização, revisão e validação das regras tributárias aplicáveis (CNAE, NCM/NBS, CFOP, alíquotas, regimes de retenção na fonte e diferimentos).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Escrituração contábil e fiscal, apuração dos tributos devidos, geração e transmissão de obrigações acessórias (SPED, DCTF, DEFIS, etc.).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Auditoria final de cada documento fiscal emitido, permanecendo o profissional contábil legalmente habilitado como o único responsável técnico pela conformidade fiscal da empresa perante as Fazendas Públicas (Municipal, Estadual e Federal).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d) Exclusão de Solidariedade e Serviços Contábeis: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 GADAP-ERP não presta serviços de contabilidade, advocacia ou consultoria fiscal, não figurando como sujeito passivo ou responsável tributário solidário (afastando-se a aplicação dos arts. 124, 128 e 135 do CTN).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 GADAP-ERP não responderá por lucros cessantes, multas fiscais, juros de mora ou autuações decorrentes de parametrização fiscal equivocada fornecida pelo cliente/contador ou por indisponibilidade de serviços públicos da SEFAZ/Prefeituras.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lw31tvwzltca" w:id="5"/>
      <w:bookmarkEnd w:id="5"/>
      <w:r w:rsidDel="00000000" w:rsidR="00000000" w:rsidRPr="00000000">
        <w:rPr>
          <w:rtl w:val="0"/>
        </w:rPr>
        <w:t xml:space="preserve">2. Arquitetura Lógica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 GADAP-ERP adota o padrão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fundamentado em </w:t>
      </w:r>
      <w:r w:rsidDel="00000000" w:rsidR="00000000" w:rsidRPr="00000000">
        <w:rPr>
          <w:i w:val="1"/>
          <w:i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. Todos os módulos compartilham o mesmo processo de execução na v1, mas com fronteiras lógicas hermeticamente isoladas via namespaces e projetos de biblioteca de classes (.NET Class Libraries).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+------------------------------------------------------------------------------+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                             FRONTEND SPA/SSR                               |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                Next.js • TypeScript • Tailwind • Shadcn UI                  |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                React Hook Form • Zod • TanStack Query                       |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+--------------------------------------┬---------------------------------------+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            | HTTPS / TLS 1.3 (JSON REST API)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+------------------------------------------------------------------------------+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                        API GATEWAY / HOST (.NET 8)                          |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        Middleware Pipeline: TenantResolver • Auth (JWT) • RateLimit         |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+------------------------------------------------------------------------------+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                             MODULAR MONOLITH                                |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 +--------------------+  +--------------------+  +-------------------------+ |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|  Módulo Comercial  |  | Módulo Engenharia/ |  |    Módulo Financeiro    | |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 |                    |  |      Canteiro      |  |                         | |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 | • Orçamentos &amp; BDI |  | • Diário de Obra   |  | • Contas Pagar/Receber  | |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 | • Propostas Com.   |  | • Medições Campo   |  | • Fluxo de Caixa        | |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 | • Contratos Obra   |  | • Apontamento Téc. |  | • Conciliação Bancária  | |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 +---------┬----------+  +---------┬----------+  +------------┬------------+ |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           |                       |                          |              |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           +-----------------------+--------------------------+              |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                                  v                                         |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                 +-----------------------------+                          |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                   |   Módulo Fiscal &amp; Regras    |                          |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                    |                             |                          |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                    | • Motor Tributário Híbrido  |                          |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                   | • NF-e / NFS-e / Emissão    |                          |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                   | • Reforma Tributária (IVA)  |                          |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                   +--------------┬--------------+                          |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+------------------------------------+-----------------------------------------+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                        SHARED INFRASTRUCTURE LAYER                           |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| EF Core DbContext • Tenant Session • Unit of Work • Domain Events Dispatcher |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+------------------------------------+-----------------------------------------+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        v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+------------------------------------------------------------------------------+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                           POSTGRESQL RELATIONAL DB                          |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                Row-Level Security (tenant_id = current_tenant)             |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+------------------------------------------------------------------------------+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ki4obzdv89gf" w:id="6"/>
      <w:bookmarkEnd w:id="6"/>
      <w:r w:rsidDel="00000000" w:rsidR="00000000" w:rsidRPr="00000000">
        <w:rPr>
          <w:rtl w:val="0"/>
        </w:rPr>
        <w:t xml:space="preserve">3. Arquitetura Física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Topologia de infraestrutura com presença de borda (Edge), computação em containers e armazenamento de objetos distribuído: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 CLIENTES / CANTEIRO / DESKTOP ]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v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+----------------------------------------------+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          CLOUDFLARE EDGE NETWORK            |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 • DNS com DNSSEC                            |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 • SSL/TLS Termination (Strict)              |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 • WAF &amp; Rate Limiting (DDoS Protection)     |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 • Cache de Assets Estáticos (.js, .css, img)|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+----------------------┬-----------------------+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+---------------+---------------+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|                               |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v                               v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+-------------------------+  +-----------------------------------+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   FRONTEND (RENDER)    |  |        BACKEND API (RENDER)       |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 • Next.js SSR / Node   |  |  • ASP.NET Core 8 Web API         |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 • Auto-scaling         |  |  • Container Linux Nativo .NET    |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 • Health Check: /live  |  |  • Health Checks: /healthz        |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+-------------------------+  +-----------------┬-----------------+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                   |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+--------------------------+--------------------------+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|                                                     |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v                                                     v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+-----------------------------------------+  +-----------------------------------------+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         POSTGRESQL GERENCIADO          |  |              CLOUDFLARE R2              |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 • RLS Ativo                            |  |  • XMLs de NF-e e NFS-e                 |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 • Backups Point-in-Time                |  |  • DANFEs / PDFs de Obra                |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 • Connection Pooling                   |  |  • Fotos / Anexos Medição               |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+-----------------------------------------+  +-----------------------------------------+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pp9ajuedm7fh" w:id="7"/>
      <w:bookmarkEnd w:id="7"/>
      <w:r w:rsidDel="00000000" w:rsidR="00000000" w:rsidRPr="00000000">
        <w:rPr>
          <w:rtl w:val="0"/>
        </w:rPr>
        <w:t xml:space="preserve">4. Frontend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14+ (App Router) com React Server Components para páginas de consulta pesada e Client Components para formulários dinâmicos de medição e orçamento.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Tipagem Estrita:</w:t>
      </w:r>
      <w:r w:rsidDel="00000000" w:rsidR="00000000" w:rsidRPr="00000000">
        <w:rPr>
          <w:rtl w:val="0"/>
        </w:rPr>
        <w:t xml:space="preserve"> TypeScript em modo estrito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strict: true</w:t>
      </w:r>
      <w:r w:rsidDel="00000000" w:rsidR="00000000" w:rsidRPr="00000000">
        <w:rPr>
          <w:rtl w:val="0"/>
        </w:rPr>
        <w:t xml:space="preserve">), sem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. Contratos de API sincronizados com modelos do backend.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Estilização &amp; Design System:</w:t>
      </w:r>
      <w:r w:rsidDel="00000000" w:rsidR="00000000" w:rsidRPr="00000000">
        <w:rPr>
          <w:rtl w:val="0"/>
        </w:rPr>
        <w:t xml:space="preserve"> Tailwind CSS associado ao Shadcn UI (componentes acessíveis sobre Radix UI), permitindo customização limpa, leve e moderna voltada para usabilidade em tablets e smartphones de canteiro.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Formulários &amp; Validação: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React Hook Form:</w:t>
      </w:r>
      <w:r w:rsidDel="00000000" w:rsidR="00000000" w:rsidRPr="00000000">
        <w:rPr>
          <w:rtl w:val="0"/>
        </w:rPr>
        <w:t xml:space="preserve"> Gerenciamento performático e descontrolado de campos complexos de medições e composições de itens sem re-renderizações desnecessárias.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Zod:</w:t>
      </w:r>
      <w:r w:rsidDel="00000000" w:rsidR="00000000" w:rsidRPr="00000000">
        <w:rPr>
          <w:rtl w:val="0"/>
        </w:rPr>
        <w:t xml:space="preserve"> Validação de esquemas do lado do cliente com geração de erros amigáveis e inferência de tipos estáticos.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Estado de Servidor: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TanStack Query (React Query):</w:t>
      </w:r>
      <w:r w:rsidDel="00000000" w:rsidR="00000000" w:rsidRPr="00000000">
        <w:rPr>
          <w:rtl w:val="0"/>
        </w:rPr>
        <w:t xml:space="preserve"> Cache inteligente de requisições, retentativas em caso de falha de conexão no canteiro, invalidação precisa de chaves após mutações e optimistic updates em apontamentos rápidos.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8inru6loh20x" w:id="8"/>
      <w:bookmarkEnd w:id="8"/>
      <w:r w:rsidDel="00000000" w:rsidR="00000000" w:rsidRPr="00000000">
        <w:rPr>
          <w:rtl w:val="0"/>
        </w:rPr>
        <w:t xml:space="preserve">5. Backend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.NET 8 LTS com C# 12. Execução sobre ASP.NET Core Minimal APIs / Controllers estruturados por módulos funcionais.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 de Acesso a Dados:</w:t>
      </w:r>
      <w:r w:rsidDel="00000000" w:rsidR="00000000" w:rsidRPr="00000000">
        <w:rPr>
          <w:rtl w:val="0"/>
        </w:rPr>
        <w:t xml:space="preserve"> Entity Framework Core 8 com mapeamento explícito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IEntityTypeConfiguration</w:t>
      </w:r>
      <w:r w:rsidDel="00000000" w:rsidR="00000000" w:rsidRPr="00000000">
        <w:rPr>
          <w:rtl w:val="0"/>
        </w:rPr>
        <w:t xml:space="preserve">, sem dependência de anotações intrusivas nos domínios.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Requisições: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FluentValidation:</w:t>
      </w:r>
      <w:r w:rsidDel="00000000" w:rsidR="00000000" w:rsidRPr="00000000">
        <w:rPr>
          <w:rtl w:val="0"/>
        </w:rPr>
        <w:t xml:space="preserve"> Regras de negócio de entrada isoladas em classes de validação automáticas via pipeline de validação ou Endpoint Filters.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de Execução (Middlewares):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ExceptionHandlingMiddleware</w:t>
      </w:r>
      <w:r w:rsidDel="00000000" w:rsidR="00000000" w:rsidRPr="00000000">
        <w:rPr>
          <w:rtl w:val="0"/>
        </w:rPr>
        <w:t xml:space="preserve">: Captura global de exceções retornando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ProblemDetails</w:t>
      </w:r>
      <w:r w:rsidDel="00000000" w:rsidR="00000000" w:rsidRPr="00000000">
        <w:rPr>
          <w:rtl w:val="0"/>
        </w:rPr>
        <w:t xml:space="preserve"> (RFC 7807) padronizado.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SecurityHeadersMiddleware</w:t>
      </w:r>
      <w:r w:rsidDel="00000000" w:rsidR="00000000" w:rsidRPr="00000000">
        <w:rPr>
          <w:rtl w:val="0"/>
        </w:rPr>
        <w:t xml:space="preserve">: Injeção de HSTS, CSP, X-Frame-Options.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TenantResolutionMiddleware</w:t>
      </w:r>
      <w:r w:rsidDel="00000000" w:rsidR="00000000" w:rsidRPr="00000000">
        <w:rPr>
          <w:rtl w:val="0"/>
        </w:rPr>
        <w:t xml:space="preserve">: Extração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TenantId</w:t>
      </w:r>
      <w:r w:rsidDel="00000000" w:rsidR="00000000" w:rsidRPr="00000000">
        <w:rPr>
          <w:rtl w:val="0"/>
        </w:rPr>
        <w:t xml:space="preserve"> a partir do JWT ou cabeçalho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X-Tenant-ID</w:t>
      </w:r>
      <w:r w:rsidDel="00000000" w:rsidR="00000000" w:rsidRPr="00000000">
        <w:rPr>
          <w:rtl w:val="0"/>
        </w:rPr>
        <w:t xml:space="preserve"> homologado.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 &amp; Authorization</w:t>
      </w:r>
      <w:r w:rsidDel="00000000" w:rsidR="00000000" w:rsidRPr="00000000">
        <w:rPr>
          <w:rtl w:val="0"/>
        </w:rPr>
        <w:t xml:space="preserve">: Validação de JWT assimétrico (RS256) e checagem de claims de papéis (RBAC).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rPr/>
      </w:pPr>
      <w:bookmarkStart w:colFirst="0" w:colLast="0" w:name="_dg1gwknp5cxc" w:id="9"/>
      <w:bookmarkEnd w:id="9"/>
      <w:r w:rsidDel="00000000" w:rsidR="00000000" w:rsidRPr="00000000">
        <w:rPr>
          <w:rtl w:val="0"/>
        </w:rPr>
        <w:t xml:space="preserve">6. Banco de Dados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SGBD:</w:t>
      </w:r>
      <w:r w:rsidDel="00000000" w:rsidR="00000000" w:rsidRPr="00000000">
        <w:rPr>
          <w:rtl w:val="0"/>
        </w:rPr>
        <w:t xml:space="preserve"> PostgreSQL 16+.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Migrações:</w:t>
      </w:r>
      <w:r w:rsidDel="00000000" w:rsidR="00000000" w:rsidRPr="00000000">
        <w:rPr>
          <w:rtl w:val="0"/>
        </w:rPr>
        <w:t xml:space="preserve"> EF Core Migrations aplicadas via pipeline de CI/CD ou container de migração dedicado (nunca na inicialização paralela da API).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Convenções e Padrões: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Nomenclatura integral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para tabelas, colunas, chaves primárias e índices.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Uso obrigatório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UUIDv7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timestamptz</w:t>
      </w:r>
      <w:r w:rsidDel="00000000" w:rsidR="00000000" w:rsidRPr="00000000">
        <w:rPr>
          <w:rtl w:val="0"/>
        </w:rPr>
        <w:t xml:space="preserve"> nas chaves primárias e campos de auditoria temporal.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Campos monetários mapeados estritamente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numeric(18, 4)</w:t>
      </w:r>
      <w:r w:rsidDel="00000000" w:rsidR="00000000" w:rsidRPr="00000000">
        <w:rPr>
          <w:rtl w:val="0"/>
        </w:rPr>
        <w:t xml:space="preserve"> para prevenir erros de arredondamento em BDI, tributos e quantitativos.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de Conexões:</w:t>
      </w:r>
      <w:r w:rsidDel="00000000" w:rsidR="00000000" w:rsidRPr="00000000">
        <w:rPr>
          <w:rtl w:val="0"/>
        </w:rPr>
        <w:t xml:space="preserve"> Pooling nativo via Npgsql com PgBouncer no ambiente de produção para suporte a conexões concorrentes de baixo overhead.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bookmarkStart w:colFirst="0" w:colLast="0" w:name="_jfp0lqqyhh8p" w:id="10"/>
      <w:bookmarkEnd w:id="10"/>
      <w:r w:rsidDel="00000000" w:rsidR="00000000" w:rsidRPr="00000000">
        <w:rPr>
          <w:rtl w:val="0"/>
        </w:rPr>
        <w:t xml:space="preserve">7. Multi-Tenant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 GADAP-ERP implementa uma estratégia de </w:t>
      </w:r>
      <w:r w:rsidDel="00000000" w:rsidR="00000000" w:rsidRPr="00000000">
        <w:rPr>
          <w:b w:val="1"/>
          <w:bCs w:val="1"/>
          <w:rtl w:val="0"/>
        </w:rPr>
        <w:t xml:space="preserve">Banco Único com Isolamento Lógico Forçado via Row-Level Security (RLS)</w:t>
      </w:r>
      <w:r w:rsidDel="00000000" w:rsidR="00000000" w:rsidRPr="00000000">
        <w:rPr>
          <w:rtl w:val="0"/>
        </w:rPr>
        <w:t xml:space="preserve"> no PostgreSQL.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Implementação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-- 1. Todas as tabelas multi-tenant possuem tenant_id obrigatório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ALTER TABLE medicoes ADD COLUMN tenant_id UUID NOT NULL;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-- 2. Habilitação de RLS na tabela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ALTER TABLE medicoes ENABLE ROW LEVEL SECURITY;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ALTER TABLE medicoes FORCE ROW LEVEL SECURITY;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-- 3. Criação de política baseada na sessão do banco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POLICY tenant_isolation_policy ON medicoes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FOR ALL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USING (tenant_id = NULLIF(current_setting('app.current_tenant', true), '')::uuid);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 backend (.NET 8), a sessão do banco de dados recebe a variável de configuração logo após a abertura da conexão via interceptor do EF Core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DbConnectionInterceptor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public override async ValueTask&lt;InterceptionResult&gt; ConnectionOpenedAsync(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DbConnection connection, 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ConnectionEndEventData eventData, 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CancellationToken cancellationToken = default)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var tenantId = _tenantContext.GetCurrentTenantId();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await using var cmd = connection.CreateCommand();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cmd.CommandText = $"SET LOCAL app.current_tenant = '{tenantId}';";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await cmd.ExecuteNonQueryAsync(cancellationToken);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await base.ConnectionOpenedAsync(connection, eventData, cancellationToken);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klxar2yt7dte" w:id="11"/>
      <w:bookmarkEnd w:id="11"/>
      <w:r w:rsidDel="00000000" w:rsidR="00000000" w:rsidRPr="00000000">
        <w:rPr>
          <w:rtl w:val="0"/>
        </w:rPr>
        <w:t xml:space="preserve">8. Segurança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Autenticação:</w:t>
      </w:r>
      <w:r w:rsidDel="00000000" w:rsidR="00000000" w:rsidRPr="00000000">
        <w:rPr>
          <w:rtl w:val="0"/>
        </w:rPr>
        <w:t xml:space="preserve"> Tokens JWT de vida curta (15 minutos) assinados com chaves assimétricas (RS256), complementados por Refresh Tokens com rotação automática e revogação persistida no banco.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Autorização Granular (RBAC):</w:t>
      </w:r>
      <w:r w:rsidDel="00000000" w:rsidR="00000000" w:rsidRPr="00000000">
        <w:rPr>
          <w:rtl w:val="0"/>
        </w:rPr>
        <w:t xml:space="preserve"> Avaliação de escopos e papéis por obra e por módulo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obra:medicao:aprovar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fiscal:nfe:emitir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Segredos e Certificados:</w:t>
      </w:r>
      <w:r w:rsidDel="00000000" w:rsidR="00000000" w:rsidRPr="00000000">
        <w:rPr>
          <w:rtl w:val="0"/>
        </w:rPr>
        <w:t xml:space="preserve"> Certificados digitais A1 de clientes para emissão de notas são criptografados com chave mestre rotacionada via AES-GCM antes de serem persistidos no banco ou no Cloudflare R2.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Proteção contra Ataques Comuns:</w:t>
      </w:r>
      <w:r w:rsidDel="00000000" w:rsidR="00000000" w:rsidRPr="00000000">
        <w:rPr>
          <w:rtl w:val="0"/>
        </w:rPr>
        <w:t xml:space="preserve"> Sanitização contra SQL Injection garantida pelo uso do Npgsql parametrizado, rate limiting na borda (Cloudflare) e validação de payloads via Zod e FluentValidation.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aph8luhr6zp0" w:id="12"/>
      <w:bookmarkEnd w:id="12"/>
      <w:r w:rsidDel="00000000" w:rsidR="00000000" w:rsidRPr="00000000">
        <w:rPr>
          <w:rtl w:val="0"/>
        </w:rPr>
        <w:t xml:space="preserve">9. Observabilidade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 observabilidade é construída sobre o padrão </w:t>
      </w:r>
      <w:r w:rsidDel="00000000" w:rsidR="00000000" w:rsidRPr="00000000">
        <w:rPr>
          <w:b w:val="1"/>
          <w:bCs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 Context Propagado:</w:t>
      </w:r>
      <w:r w:rsidDel="00000000" w:rsidR="00000000" w:rsidRPr="00000000">
        <w:rPr>
          <w:rtl w:val="0"/>
        </w:rPr>
        <w:t xml:space="preserve"> Headers padrão W3C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traceparent</w:t>
      </w:r>
      <w:r w:rsidDel="00000000" w:rsidR="00000000" w:rsidRPr="00000000">
        <w:rPr>
          <w:rtl w:val="0"/>
        </w:rPr>
        <w:t xml:space="preserve">) propagados entre o frontend Next.js, as chamadas de API .NET e integrações externas (SEFAZ, prefeituras).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Checks Padronizados: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/healthz/live</w:t>
      </w:r>
      <w:r w:rsidDel="00000000" w:rsidR="00000000" w:rsidRPr="00000000">
        <w:rPr>
          <w:rtl w:val="0"/>
        </w:rPr>
        <w:t xml:space="preserve">: Liveness probe checando se a aplicação responde.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/healthz/ready</w:t>
      </w:r>
      <w:r w:rsidDel="00000000" w:rsidR="00000000" w:rsidRPr="00000000">
        <w:rPr>
          <w:rtl w:val="0"/>
        </w:rPr>
        <w:t xml:space="preserve">: Readiness probe validando conectividade com PostgreSQL e Cloudflare R2.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dp8cdyxi1i6g" w:id="13"/>
      <w:bookmarkEnd w:id="13"/>
      <w:r w:rsidDel="00000000" w:rsidR="00000000" w:rsidRPr="00000000">
        <w:rPr>
          <w:rtl w:val="0"/>
        </w:rPr>
        <w:t xml:space="preserve">10. Logging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Serilog Estruturado:</w:t>
      </w:r>
      <w:r w:rsidDel="00000000" w:rsidR="00000000" w:rsidRPr="00000000">
        <w:rPr>
          <w:rtl w:val="0"/>
        </w:rPr>
        <w:t xml:space="preserve"> Todos os logs no .NET são emitidos em formato JSON na saída padrão (stdout), eliminando escrita em disco nos containers.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Contextualização Obrigatória:</w:t>
      </w:r>
      <w:r w:rsidDel="00000000" w:rsidR="00000000" w:rsidRPr="00000000">
        <w:rPr>
          <w:rtl w:val="0"/>
        </w:rPr>
        <w:t xml:space="preserve"> Cada entrada de log contém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Mascaramento de Dados Sensíveis:</w:t>
      </w:r>
      <w:r w:rsidDel="00000000" w:rsidR="00000000" w:rsidRPr="00000000">
        <w:rPr>
          <w:rtl w:val="0"/>
        </w:rPr>
        <w:t xml:space="preserve"> Filtros automáticos no Serilog para censurar senhas, CPFs, chaves privadas e payloads confidenciais.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mpnkga5pqrp2" w:id="14"/>
      <w:bookmarkEnd w:id="14"/>
      <w:r w:rsidDel="00000000" w:rsidR="00000000" w:rsidRPr="00000000">
        <w:rPr>
          <w:rtl w:val="0"/>
        </w:rPr>
        <w:t xml:space="preserve">11. Monitoramento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Técnicas:</w:t>
      </w:r>
      <w:r w:rsidDel="00000000" w:rsidR="00000000" w:rsidRPr="00000000">
        <w:rPr>
          <w:rtl w:val="0"/>
        </w:rPr>
        <w:t xml:space="preserve"> Uso de CPU, memória, taxa de requisições por segundo (RPS), latência p95 e p99, e contagem de erros HTTP 5xx monitorados via Render Metrics e APM.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de Negócio:</w:t>
      </w:r>
      <w:r w:rsidDel="00000000" w:rsidR="00000000" w:rsidRPr="00000000">
        <w:rPr>
          <w:rtl w:val="0"/>
        </w:rPr>
        <w:t xml:space="preserve"> Painel de alertas para falhas de transmissão para prefeituras e SEFAZ &gt; 2% em 5 minutos, fila de emissão com tempo de resposta superior a 30 segundos e expiração de certificados digitais A1 (&lt; 30 dias).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rr7kzv9pm87o" w:id="15"/>
      <w:bookmarkEnd w:id="15"/>
      <w:r w:rsidDel="00000000" w:rsidR="00000000" w:rsidRPr="00000000">
        <w:rPr>
          <w:rtl w:val="0"/>
        </w:rPr>
        <w:t xml:space="preserve">12. Estratégia de Deploy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(local via Docker Compose),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(validação pré-produção)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sem Downtime:</w:t>
      </w:r>
      <w:r w:rsidDel="00000000" w:rsidR="00000000" w:rsidRPr="00000000">
        <w:rPr>
          <w:rtl w:val="0"/>
        </w:rPr>
        <w:t xml:space="preserve"> Utilização de deploys atômicos no Render com checagem de saúde prévia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/healthz/ready</w:t>
      </w:r>
      <w:r w:rsidDel="00000000" w:rsidR="00000000" w:rsidRPr="00000000">
        <w:rPr>
          <w:rtl w:val="0"/>
        </w:rPr>
        <w:t xml:space="preserve"> antes do tráfego ser redirecionado para a nova instância.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Imediato:</w:t>
      </w:r>
      <w:r w:rsidDel="00000000" w:rsidR="00000000" w:rsidRPr="00000000">
        <w:rPr>
          <w:rtl w:val="0"/>
        </w:rPr>
        <w:t xml:space="preserve"> Capacidade de reverter para a tag Docker estável anterior em caso de falha pós-deploy com um único comando ou via GitHub Actions.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dd2enoz0acne" w:id="16"/>
      <w:bookmarkEnd w:id="16"/>
      <w:r w:rsidDel="00000000" w:rsidR="00000000" w:rsidRPr="00000000">
        <w:rPr>
          <w:rtl w:val="0"/>
        </w:rPr>
        <w:t xml:space="preserve">13. Docker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Imagens construídas utilizando multi-stage builds para minimizar a pegada do container e maximizar a segurança: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Multi-Stage Build para ASP.NET Core 8 Web API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FROM mcr_sdk_8_image AS build</w:t>
      </w:r>
    </w:p>
    <w:p w:rsidR="00000000" w:rsidDel="00000000" w:rsidP="00000000" w:rsidRDefault="00000000" w:rsidRPr="00000000" w14:paraId="000001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WORKDIR /src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COPY ["src/*/*.csproj", "./"]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RUN for file in $(ls *.csproj); do mkdir -p ${file%.*}/ &amp;&amp; mv $file ${file%.*}/; done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RUN dotnet restore "src/GADAP-ERP.Api/GADAP-ERP.Api.csproj"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WORKDIR "/src/src/GADAP-ERP.Api"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RUN dotnet publish "GADAP-ERP.Api.csproj" -c Release -o /app/publish --no-restore /p:UseAppHost=false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FROM mcr_aspnet_8_image AS final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ENV ASPNETCORE_URLS=http://+:8080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ENV DOTNET_EnableDiagnostics=0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USER 10001:10001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COPY --from=build /app/publish .</w:t>
      </w:r>
    </w:p>
    <w:p w:rsidR="00000000" w:rsidDel="00000000" w:rsidP="00000000" w:rsidRDefault="00000000" w:rsidRPr="00000000" w14:paraId="000001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ENTRYPOINT ["dotnet", "GADAP-ERP.Api.dll"]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9vrlyi3dall" w:id="17"/>
      <w:bookmarkEnd w:id="17"/>
      <w:r w:rsidDel="00000000" w:rsidR="00000000" w:rsidRPr="00000000">
        <w:rPr>
          <w:rtl w:val="0"/>
        </w:rPr>
        <w:t xml:space="preserve">14. GitHub Actions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Pipeline completo de Integração Contínua e Entrega Contínua (CI/CD):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name: CI/CD Pipeline GADAP-ERP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branches: [ main ]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pull_request: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branches: [ main 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validate: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- name: Setup .NET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uses: actions/setup-dotnet@v4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dotnet-version: 8.0.x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- name: Cache NuGet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uses: actions/cache@v4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with: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path: ~/.nuget/packages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key: ${{ runner.os }}-nuget-${{ hashFiles('**/*.csproj') }}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- name: Restore Dependencies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run: dotnet restore</w:t>
      </w:r>
    </w:p>
    <w:p w:rsidR="00000000" w:rsidDel="00000000" w:rsidP="00000000" w:rsidRDefault="00000000" w:rsidRPr="00000000" w14:paraId="000001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- name: Build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run: dotnet build --no-restore --configuration Release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- name: Run Tests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run: dotnet test --no-build --configuration Release --verbosity normal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needs: validate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if: github.ref == 'refs/heads/main' &amp;&amp; github.event_name == 'push'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- name: Trigger Deploy on Render (API)</w:t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curl -X POST "${{ secrets.RENDER_API_DEPLOY_HOOK }}"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- name: Trigger Deploy on Render (Frontend)</w:t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curl -X POST "${{ secrets.RENDER_FRONTEND_DEPLOY_HOOK }}"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cjs0ztwn63d7" w:id="18"/>
      <w:bookmarkEnd w:id="18"/>
      <w:r w:rsidDel="00000000" w:rsidR="00000000" w:rsidRPr="00000000">
        <w:rPr>
          <w:rtl w:val="0"/>
        </w:rPr>
        <w:t xml:space="preserve">15. Cloudflare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&amp; Segurança Perimetral:</w:t>
      </w:r>
      <w:r w:rsidDel="00000000" w:rsidR="00000000" w:rsidRPr="00000000">
        <w:rPr>
          <w:rtl w:val="0"/>
        </w:rPr>
        <w:t xml:space="preserve"> DNSSEC ativado, TLS 1.3 obrigatório, HSTS com preload ativo.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WAF:</w:t>
      </w:r>
      <w:r w:rsidDel="00000000" w:rsidR="00000000" w:rsidRPr="00000000">
        <w:rPr>
          <w:rtl w:val="0"/>
        </w:rPr>
        <w:t xml:space="preserve"> Bloqueio automático de tráfego malicioso conhecido, proteção contra SQLi e Cross-Site Scripting (XSS).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R2 (Object Storage):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Armazenamento de XMLs de NF-e e NFS-e, DANFEs em PDF, recibos, fotos de canteiro e relatórios de medição.</w:t>
      </w:r>
    </w:p>
    <w:p w:rsidR="00000000" w:rsidDel="00000000" w:rsidP="00000000" w:rsidRDefault="00000000" w:rsidRPr="00000000" w14:paraId="000001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Compatível com a API S3, sem taxas de transferência de saída (zero egress fees), garantindo viabilidade financeira para a guarda obrigatória de 5 anos de documentos fiscais.</w:t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Geração de Presigned URLs pelo backend para upload e download ponta a ponta sem onerar a banda do servidor da API.</w:t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/>
      </w:pPr>
      <w:bookmarkStart w:colFirst="0" w:colLast="0" w:name="_73o496c6xhf" w:id="19"/>
      <w:bookmarkEnd w:id="19"/>
      <w:r w:rsidDel="00000000" w:rsidR="00000000" w:rsidRPr="00000000">
        <w:rPr>
          <w:rtl w:val="0"/>
        </w:rPr>
        <w:t xml:space="preserve">16. Escalabilidade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iwvwac1s5gjb" w:id="20"/>
      <w:bookmarkEnd w:id="20"/>
      <w:r w:rsidDel="00000000" w:rsidR="00000000" w:rsidRPr="00000000">
        <w:rPr>
          <w:rtl w:val="0"/>
        </w:rPr>
        <w:t xml:space="preserve">v1: MVP de Alta Tração e Eficiência (Atual)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Arquitetura Modular Monolith hospedada no Render em containers com auto-recovery.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 gerenciado com RLS e pooling interno de conexões.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Armazenamento de arquivos no Cloudflare R2 com URLs assinadas.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Processamento de tarefas fiscais e emissão executadas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BackgroundService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IHostedService</w:t>
      </w:r>
      <w:r w:rsidDel="00000000" w:rsidR="00000000" w:rsidRPr="00000000">
        <w:rPr>
          <w:rtl w:val="0"/>
        </w:rPr>
        <w:t xml:space="preserve"> nativo do .NET 8 com canais assíncronos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System.Threading.Channels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l4lcid2w2xih" w:id="21"/>
      <w:bookmarkEnd w:id="21"/>
      <w:r w:rsidDel="00000000" w:rsidR="00000000" w:rsidRPr="00000000">
        <w:rPr>
          <w:rtl w:val="0"/>
        </w:rPr>
        <w:t xml:space="preserve">v2: Escala Comercial e Concorrência Acentuada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Introdução do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para cache distribuído de tabelas fiscais (IBPT, alíquotas municipais, NCM), sessões de usuários e rate-limiting distribuído.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Separação de réplicas de leitura para o PostgreSQL (Read Replicas), direcionando relatórios de medição pesados e dashboards para leitura secundária.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Processamento em background migrado para </w:t>
      </w:r>
      <w:r w:rsidDel="00000000" w:rsidR="00000000" w:rsidRPr="00000000">
        <w:rPr>
          <w:b w:val="1"/>
          <w:bCs w:val="1"/>
          <w:rtl w:val="0"/>
        </w:rPr>
        <w:t xml:space="preserve">Hangfire</w:t>
      </w:r>
      <w:r w:rsidDel="00000000" w:rsidR="00000000" w:rsidRPr="00000000">
        <w:rPr>
          <w:rtl w:val="0"/>
        </w:rPr>
        <w:t xml:space="preserve"> com persistência no PostgreSQL/Redis.</w:t>
      </w:r>
    </w:p>
    <w:p w:rsidR="00000000" w:rsidDel="00000000" w:rsidP="00000000" w:rsidRDefault="00000000" w:rsidRPr="00000000" w14:paraId="000001D5">
      <w:pPr>
        <w:pStyle w:val="Heading3"/>
        <w:rPr/>
      </w:pPr>
      <w:bookmarkStart w:colFirst="0" w:colLast="0" w:name="_kblbew2h7hrq" w:id="22"/>
      <w:bookmarkEnd w:id="22"/>
      <w:r w:rsidDel="00000000" w:rsidR="00000000" w:rsidRPr="00000000">
        <w:rPr>
          <w:rtl w:val="0"/>
        </w:rPr>
        <w:t xml:space="preserve">v3: Hiperescala Corporativa e Resiliência Nacional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Introdução de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tl w:val="0"/>
        </w:rPr>
        <w:t xml:space="preserve"> como message broker distribuído para isolar completamente o motor de emissão fiscal das requisições web.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Transição do módulo fiscal para microsserviço autônomo (</w:t>
      </w:r>
      <w:r w:rsidDel="00000000" w:rsidR="00000000" w:rsidRPr="00000000">
        <w:rPr>
          <w:i w:val="1"/>
          <w:iCs w:val="1"/>
          <w:rtl w:val="0"/>
        </w:rPr>
        <w:t xml:space="preserve">Fiscal Core Service</w:t>
      </w:r>
      <w:r w:rsidDel="00000000" w:rsidR="00000000" w:rsidRPr="00000000">
        <w:rPr>
          <w:rtl w:val="0"/>
        </w:rPr>
        <w:t xml:space="preserve">), permitindo auto-scaling elástico independente em picos de fechamento contábil e de medição no final do mês.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Cluster PostgreSQL particionado e cluster multi-região para contingência ativa.</w:t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rPr/>
      </w:pPr>
      <w:bookmarkStart w:colFirst="0" w:colLast="0" w:name="_5l6mhg3ubc4l" w:id="23"/>
      <w:bookmarkEnd w:id="23"/>
      <w:r w:rsidDel="00000000" w:rsidR="00000000" w:rsidRPr="00000000">
        <w:rPr>
          <w:rtl w:val="0"/>
        </w:rPr>
        <w:t xml:space="preserve">17. ADRs (Architecture Decision Records)</w:t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fs53h9w265v4" w:id="24"/>
      <w:bookmarkEnd w:id="24"/>
      <w:r w:rsidDel="00000000" w:rsidR="00000000" w:rsidRPr="00000000">
        <w:rPr>
          <w:rtl w:val="0"/>
        </w:rPr>
        <w:t xml:space="preserve">ADR-001: Multi-Tenant com RLS no PostgreSQL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GADAP-ERP atende empresas de construção civil e empreiteiras que exigem garantia absoluta de que seus dados operacionais, custos e orçamentos não sejam visualizados por concorrentes.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Adotar banco relacional compartilhado com isolamento forçado por Row-Level Security (RLS) no PostgreSQL via variável de sessão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app.current_tenant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Excelente custo-benefício de infraestrutura na v1, manutenção simplificada de esquemas e proteção nativa no nível de banco caso haja falha humana de filtro na query do backend.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4mlgjklriv8r" w:id="25"/>
      <w:bookmarkEnd w:id="25"/>
      <w:r w:rsidDel="00000000" w:rsidR="00000000" w:rsidRPr="00000000">
        <w:rPr>
          <w:rtl w:val="0"/>
        </w:rPr>
        <w:t xml:space="preserve">ADR-002: Modular Monolith em .NET 8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complexidade de microsserviços na fase inicial geraria sobrecarga operacional excessiva. No entanto, um monólito desestruturado geraria acoplamento destrutivo.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Desenvolver um Modular Monolith com C# e .NET 8, mantendo domínios desacoplados por projetos de biblioteca e comunicação interna por eventos de domínio.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Rapidez extrema de entrega, simplicidade de deploy em container único e caminho pavimentado para eventual separação de microsserviços na v3.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i21njyzwl8" w:id="26"/>
      <w:bookmarkEnd w:id="26"/>
      <w:r w:rsidDel="00000000" w:rsidR="00000000" w:rsidRPr="00000000">
        <w:rPr>
          <w:rtl w:val="0"/>
        </w:rPr>
        <w:t xml:space="preserve">ADR-003: PostgreSQL como Banco Primário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Necessidade de integridade transacional estrita (ACID), suporte avançado a dados semiestruturados (JSONB para tributação dinâmica) e recursos de segurança avançados.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Escolha do PostgreSQL 16+ como único banco relacional e transacional do GADAP-ERP.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Total suporte a RLS, robustez com tipos numéricos de alta precisão para cálculos fiscais e excelente ecossistema open-source.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xrxjoze8kv30" w:id="27"/>
      <w:bookmarkEnd w:id="27"/>
      <w:r w:rsidDel="00000000" w:rsidR="00000000" w:rsidRPr="00000000">
        <w:rPr>
          <w:rtl w:val="0"/>
        </w:rPr>
        <w:t xml:space="preserve">ADR-004: Cloudflare e Cloudflare R2 como Edge e Storage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Necessidade de proteger as APIs contra ataques volumétricos e armazenar dezenas de milhares de arquivos XML e relatórios fotográficos de obras sem explodir os custos de banda de saída.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Utilizar Cloudflare como proxy reverso/WAF perimetral e Cloudflare R2 para armazenamento de objetos compatível com S3.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Custo de transferência de saída zero no R2, terminação SSL ultra-rápida e mitigação de ataques antes de tocarem na infraestrutura da aplicação.</w:t>
      </w:r>
    </w:p>
    <w:p w:rsidR="00000000" w:rsidDel="00000000" w:rsidP="00000000" w:rsidRDefault="00000000" w:rsidRPr="00000000" w14:paraId="000001F0">
      <w:pPr>
        <w:pStyle w:val="Heading3"/>
        <w:rPr/>
      </w:pPr>
      <w:bookmarkStart w:colFirst="0" w:colLast="0" w:name="_9px68dllkk5w" w:id="28"/>
      <w:bookmarkEnd w:id="28"/>
      <w:r w:rsidDel="00000000" w:rsidR="00000000" w:rsidRPr="00000000">
        <w:rPr>
          <w:rtl w:val="0"/>
        </w:rPr>
        <w:t xml:space="preserve">ADR-005: Tax Engine Determinístico Desacoplado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Aprovado.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legislação tributária brasileira (incluindo a transição para a Reforma Tributária) é dinâmica e volátil. O uso de IA para cálculo direto é arriscado devido ao perigo de alucinação e falta de determinismo.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O cálculo fiscal é 100% determinístico, implementado em um motor de regras isolado baseado em matrizes e tabelas oficiais. A IA atuará exclusivamente como camada auxiliar de suporte, leitura de documentos e categorização contextual.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Blindagem jurídica integral, auditabilidade exata dos centavos calculados e adaptação fluida para o modelo IVA Dual (IBS/CBS).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tciucoywn7fw" w:id="29"/>
      <w:bookmarkEnd w:id="29"/>
      <w:r w:rsidDel="00000000" w:rsidR="00000000" w:rsidRPr="00000000">
        <w:rPr>
          <w:rtl w:val="0"/>
        </w:rPr>
        <w:t xml:space="preserve">18. Roadmap Técnico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2026 Q4 (Out-Dez)           2027 Q1 (Jan-Mar)           2027 Q2 (Abr-Jun)           2027 Q3+ (Jul+)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-----------------           -----------------           -----------------           ---------------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 FUNDAÇÃO &amp; MVP ]          [ COMERCIAL &amp; CANTEIRO ]    [ CONSOLIDAÇÃO FISCAL ]     [ ESCALA &amp; V2 ]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• Setup Modular Monolith    • Módulo Comercial / BDI    • Suporte NFS-e Nacional    • Adoção do Redis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• RLS PostgreSQL e Auth     • Diário de Obra e Medição  • Motor Dual Reforma Trib.  • Filas Hangfire/RabbitMQ</w:t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• CI/CD GitHub Actions      • Upload R2 Presigned URLs  • SPED / Escrituração       • Réplicas de Leitura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• Deploy v1 no Render       • Conciliação Pix no Cante  • Auditoria Pré-Flight      • App Mobile Nativo PWA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/>
      </w:pPr>
      <w:bookmarkStart w:colFirst="0" w:colLast="0" w:name="_84c8polhem7f" w:id="30"/>
      <w:bookmarkEnd w:id="30"/>
      <w:r w:rsidDel="00000000" w:rsidR="00000000" w:rsidRPr="00000000">
        <w:rPr>
          <w:rtl w:val="0"/>
        </w:rPr>
        <w:t xml:space="preserve">Estratégia de Certificados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O GADAP-ERP não será proprietário de certificados digitais.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Os certificados pertencem ao cliente.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 GADAP-ERP deverá apenas fornecer mecanismos seguros para utilização desses certificados quando necessário.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 GADAP-ERP não será responsável por: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renovação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emissão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guarda legal obrigatória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homologado pela Diretoria Técnica de Arquitetura de Software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Engenharia e Confiabilidade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-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-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bullet"/>
      <w:lvlText w:val="-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bullet"/>
      <w:lvlText w:val="-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